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Times New Roman" w:hAnsi="Times New Roman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东莞市人民政府国有资产监督管理委员会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Times New Roman" w:hAnsi="Times New Roman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Times New Roman" w:hAnsi="Times New Roman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年度重大行政决策事项目录</w:t>
      </w:r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4"/>
        <w:tblW w:w="959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5693"/>
        <w:gridCol w:w="26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</w:rPr>
              <w:t>序号</w:t>
            </w:r>
          </w:p>
        </w:tc>
        <w:tc>
          <w:tcPr>
            <w:tcW w:w="5693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</w:rPr>
              <w:t>决策事项名称</w:t>
            </w:r>
          </w:p>
        </w:tc>
        <w:tc>
          <w:tcPr>
            <w:tcW w:w="265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责任科室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6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</w:rPr>
              <w:t>1</w:t>
            </w:r>
          </w:p>
        </w:tc>
        <w:tc>
          <w:tcPr>
            <w:tcW w:w="5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研究制定2023年东莞市市属国有企业物业租金减免工作方案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规划发展科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6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研究制定</w:t>
            </w: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</w:rPr>
              <w:t>东莞市市属国有企业贯彻落实“三重一大”决策制度的意见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法规指导科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63B70"/>
    <w:rsid w:val="4086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2023-07-06T10:34:00Z</dcterms:created>
  <dc:creator>梁永康</dc:creator>
  <cp:lastModifiedBy>梁永康</cp:lastModifiedBy>
  <dcterms:modified xsi:type="dcterms:W3CDTF">2023-07-06T10:35:19Z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