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441900022-2023-00239</w:t>
      </w:r>
    </w:p>
    <w:p>
      <w:pPr>
        <w:jc w:val="center"/>
      </w:pPr>
      <w:r>
        <w:rPr>
          <w:b/>
          <w:sz w:val="24"/>
        </w:rPr>
        <w:t>采购项目编号：</w:t>
      </w:r>
      <w:r>
        <w:rPr>
          <w:b/>
          <w:sz w:val="24"/>
        </w:rPr>
        <w:t>441900022-2023-00239</w:t>
      </w:r>
    </w:p>
    <w:p>
      <w:pPr>
        <w:jc w:val="center"/>
      </w:pPr>
      <w:r>
        <w:rPr>
          <w:b/>
          <w:sz w:val="24"/>
        </w:rPr>
        <w:t>项目名称：</w:t>
      </w:r>
      <w:r>
        <w:rPr>
          <w:b/>
          <w:sz w:val="24"/>
        </w:rPr>
        <w:t>黄江镇第一小学家具项目</w:t>
      </w:r>
    </w:p>
    <w:p>
      <w:pPr>
        <w:jc w:val="center"/>
      </w:pPr>
      <w:r>
        <w:rPr>
          <w:b/>
          <w:sz w:val="24"/>
        </w:rPr>
        <w:t>采购人：</w:t>
      </w:r>
      <w:r>
        <w:rPr>
          <w:b/>
          <w:sz w:val="24"/>
        </w:rPr>
        <w:t>东莞市黄江镇教育管理中心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东莞市黄江镇教育管理中心</w:t>
      </w:r>
      <w:r>
        <w:rPr/>
        <w:t>的委托，采用</w:t>
      </w:r>
      <w:r>
        <w:rPr/>
        <w:t>公开招标</w:t>
      </w:r>
      <w:r>
        <w:rPr/>
        <w:t>方式组织采购</w:t>
      </w:r>
      <w:r>
        <w:rPr/>
        <w:t>黄江镇第一小学家具项目</w:t>
      </w:r>
      <w:r>
        <w:rPr/>
        <w:t>。欢迎符合资格条件的国内供应商参加投标。</w:t>
      </w:r>
    </w:p>
    <w:p>
      <w:r>
        <w:rPr>
          <w:b/>
          <w:sz w:val="28"/>
        </w:rPr>
        <w:t>一.项目概述</w:t>
      </w:r>
    </w:p>
    <w:p>
      <w:r>
        <w:rPr>
          <w:b/>
          <w:sz w:val="24"/>
        </w:rPr>
        <w:t>1.名称与编号</w:t>
      </w:r>
    </w:p>
    <w:p>
      <w:pPr>
        <w:ind w:firstLine="480"/>
      </w:pPr>
      <w:r>
        <w:rPr/>
        <w:t>项目名称：</w:t>
      </w:r>
      <w:r>
        <w:rPr/>
        <w:t>黄江镇第一小学家具项目</w:t>
      </w:r>
    </w:p>
    <w:p>
      <w:pPr>
        <w:ind w:firstLine="480"/>
      </w:pPr>
      <w:r>
        <w:rPr/>
        <w:t>采购计划编号：</w:t>
      </w:r>
      <w:r>
        <w:rPr/>
        <w:t>441900022-2023-00239</w:t>
      </w:r>
    </w:p>
    <w:p>
      <w:pPr>
        <w:ind w:firstLine="480"/>
      </w:pPr>
      <w:r>
        <w:rPr/>
        <w:t>采购项目编号：</w:t>
      </w:r>
      <w:r>
        <w:rPr/>
        <w:t>441900022-2023-00239</w:t>
      </w:r>
    </w:p>
    <w:p>
      <w:pPr>
        <w:ind w:firstLine="480"/>
      </w:pPr>
      <w:r>
        <w:rPr/>
        <w:t>采购方式：</w:t>
      </w:r>
      <w:r>
        <w:rPr/>
        <w:t>公开招标</w:t>
      </w:r>
    </w:p>
    <w:p>
      <w:pPr>
        <w:ind w:firstLine="480"/>
      </w:pPr>
      <w:r>
        <w:rPr/>
        <w:t>预算金额：</w:t>
      </w:r>
      <w:r>
        <w:rPr/>
        <w:t>5,587,216.90</w:t>
      </w:r>
      <w:r>
        <w:rPr/>
        <w:t>元</w:t>
      </w:r>
    </w:p>
    <w:p>
      <w:r>
        <w:rPr>
          <w:b/>
          <w:sz w:val="24"/>
        </w:rPr>
        <w:t>2.项目内容及需求情况（采购项目技术规格、参数及要求）</w:t>
      </w:r>
    </w:p>
    <w:p>
      <w:pPr>
        <w:ind w:firstLine="480"/>
      </w:pPr>
    </w:p>
    <w:p/>
    <w:p>
      <w:r>
        <w:rPr/>
        <w:t>采购包1(黄江镇第一小学家具项目):</w:t>
      </w:r>
    </w:p>
    <w:p>
      <w:r>
        <w:rPr/>
        <w:t>采购包预算金额：5,587,216.90元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其他家具</w:t>
            </w:r>
          </w:p>
        </w:tc>
        <w:tc>
          <w:tcPr>
            <w:tcW w:type="dxa" w:w="2136"/>
          </w:tcPr>
          <w:p>
            <w:r>
              <w:rPr/>
              <w:t>黄江镇第一小学家具项目</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合同履行期限：与标的提供的时间要求一致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采购包1（黄江镇第一小学家具项目）：</w:t>
      </w:r>
      <w:r>
        <w:rPr/>
        <w:t>本项目不属于专门面向中小企业采购项目。</w:t>
      </w:r>
    </w:p>
    <w:p/>
    <w:p>
      <w:r>
        <w:rPr>
          <w:b/>
          <w:sz w:val="24"/>
        </w:rPr>
        <w:t>3.本项目特定的资格要求：</w:t>
      </w:r>
    </w:p>
    <w:p>
      <w:pPr>
        <w:ind w:firstLine="480"/>
      </w:pPr>
    </w:p>
    <w:p/>
    <w:p>
      <w:r>
        <w:rPr/>
        <w:t>采购包1（黄江镇第一小学家具项目）：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东莞市黄江镇教育管理中心</w:t>
      </w:r>
    </w:p>
    <w:p>
      <w:pPr>
        <w:ind w:firstLine="480"/>
      </w:pPr>
      <w:r>
        <w:rPr/>
        <w:t>地址：</w:t>
      </w:r>
      <w:r>
        <w:rPr/>
        <w:t>东莞市黄江镇莞樟路黄江段26号104三楼教育管理中心</w:t>
      </w:r>
    </w:p>
    <w:p>
      <w:pPr>
        <w:ind w:firstLine="480"/>
      </w:pPr>
      <w:r>
        <w:rPr/>
        <w:t>联系方式：</w:t>
      </w:r>
      <w:r>
        <w:rPr/>
        <w:t>0769-83517822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东莞市黄江镇第一小学新校项目位于东莞市黄江镇田美社区，紧邻中泰峰境小区，东临规划工业九路，南临规划工业八路，学校占地面积</w:t>
      </w:r>
      <w:r>
        <w:rPr>
          <w:sz w:val="21"/>
        </w:rPr>
        <w:t>3.62</w:t>
      </w:r>
      <w:r>
        <w:rPr>
          <w:sz w:val="21"/>
        </w:rPr>
        <w:t>万平方米，总建筑面积约</w:t>
      </w:r>
      <w:r>
        <w:rPr>
          <w:sz w:val="21"/>
        </w:rPr>
        <w:t>6.5</w:t>
      </w:r>
      <w:r>
        <w:rPr>
          <w:sz w:val="21"/>
        </w:rPr>
        <w:t>万平方米，主要建筑有教学楼、宿舍楼、体育馆</w:t>
      </w:r>
      <w:r>
        <w:rPr>
          <w:sz w:val="21"/>
        </w:rPr>
        <w:t>、</w:t>
      </w:r>
      <w:r>
        <w:rPr>
          <w:sz w:val="21"/>
        </w:rPr>
        <w:t>综合楼、图书馆、门卫室及地下室、运动场地等</w:t>
      </w:r>
      <w:r>
        <w:rPr>
          <w:sz w:val="21"/>
        </w:rPr>
        <w:t>。学校建成后可提供</w:t>
      </w:r>
      <w:r>
        <w:rPr>
          <w:sz w:val="21"/>
        </w:rPr>
        <w:t>60</w:t>
      </w:r>
      <w:r>
        <w:rPr>
          <w:sz w:val="21"/>
        </w:rPr>
        <w:t>个班（预留扩到</w:t>
      </w:r>
      <w:r>
        <w:rPr>
          <w:sz w:val="21"/>
        </w:rPr>
        <w:t>66</w:t>
      </w:r>
      <w:r>
        <w:rPr>
          <w:sz w:val="21"/>
        </w:rPr>
        <w:t>个班）、</w:t>
      </w:r>
      <w:r>
        <w:rPr>
          <w:sz w:val="21"/>
        </w:rPr>
        <w:t>2700</w:t>
      </w:r>
      <w:r>
        <w:rPr>
          <w:sz w:val="21"/>
        </w:rPr>
        <w:t>个公办学位。学校将以“臻美教育”办学理念，打造环境优美、文化氛围浓厚、教育教学质量一流的品牌学校。该项目是黄江镇政府对于增加公办学位供给、优化教育资源配置的一项重要举措，对黄江镇创建“东莞市推进教育现代化先进镇”具有重要意义，按照省级品牌学校的建设标准，严格贯彻落实工程安全、进度及质量要求，确保将黄江镇第一小学建成环境优美、文化氛围浓厚、教育教学质量一流的标杆工程、精品工程。</w:t>
      </w:r>
    </w:p>
    <w:p>
      <w:pPr>
        <w:ind w:firstLine="480"/>
        <w:jc w:val="both"/>
      </w:pPr>
      <w:r>
        <w:rPr>
          <w:sz w:val="21"/>
        </w:rPr>
        <w:t>根据学校需要，为各种办公室、功能室、活动场所配置满足基本需要的家具和课桌椅等。</w:t>
      </w:r>
    </w:p>
    <w:p>
      <w:pPr>
        <w:ind w:firstLine="420"/>
        <w:jc w:val="both"/>
      </w:pPr>
      <w:r>
        <w:rPr>
          <w:sz w:val="21"/>
        </w:rPr>
        <w:t>投标人需要提供生产设备、检测设备的购买或租用的发票复印件，证明投标人对本项目中货物的生产及检测能力。</w:t>
      </w:r>
    </w:p>
    <w:p/>
    <w:p>
      <w:pPr>
        <w:ind w:firstLine="480"/>
      </w:pPr>
    </w:p>
    <w:p/>
    <w:p>
      <w:r>
        <w:rPr/>
        <w:t>采购包1（黄江镇第一小学家具项目）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签订合同后，中标人收到采购人通知发货之日起40天内完成送货、安装、调试并交付使用。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1期：支付比例30%,合同签定后，采购人应在收到中标人提供的请款报告及相关资料之日起30个工作日内，向中标人支付合同总价的30%的款项。</w:t>
            </w:r>
          </w:p>
          <w:p/>
          <w:p>
            <w:r>
              <w:rPr/>
              <w:t>2期：支付比例50%,货物送至采购人指定地点，采购人清点完毕并现场确认，采购人应在收到中标人提供的请款报告及相关资料之日起30个工作日内，向中标人支付合同总价的50%的款项。</w:t>
            </w:r>
          </w:p>
          <w:p/>
          <w:p>
            <w:r>
              <w:rPr/>
              <w:t>3期：支付比例20%,所有货物最终验收合格后，采购人应在收到中标人提供的请款报告及相关资料之日起30个工作日内，向中标人支付合同余下全部款项。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交接验收：（1）货物到达交货地点后，采购人（含采购人委托的第三方）、中标人共同验货。双方按照合同、国家相关法律法规以及规范的要求等相关的规定，对货物的材质（包括但不限于板材、配件等）、品牌、产地、型号规格、结构、工艺、数量、外观质量、资料进行清点和全面的检验，并作详细的记录，中标人需提供货物相关的检测报告，包括但不限于质量检测报告、甲醛释放量报告等。（2）如发现货物的材质（包括但不限于板材、配件等）、品牌、产地、型号规格、结构、工艺、数量、外观质量、资料与合同不符，或货物短缺、质次、损坏等问题，应作详细记录，且采购人有权拒绝收货及拒绝付款，中标人应在采购人规定的时间内立即、无条件为采购人更换、补齐或无条件退货。更换或补齐后的货物，采购人有权按照本条有关验收的约定进行验收，由此产生的制造、修理和运费及保险费等费用均由中标人负担。（3）由于非采购人原因而引起货物的修理或更换的时间，如中标人在交货期前完成修理或更换并按合同约定时间交货的，则不视为逾期交货，否则将视为中标人逾期交货。（4）交接验收合格后，采购人出具相关签收手续。 2.最终验收：（1）所有货物在安装完成后，须向采购人提供书面申请最终验收，在接到中标人申请后，采购人组织最终验收。采购人（含采购人委托的第三方）、中标人一起对货物的完整性，安装与采购需求的符合性和合理性进行最终检验。 （2）中标人在货物安装过程中，应做好详细的检验记录，检验结果应符合本合同及其附件、报价文件、国家环保要求及标准，以及相关法律法规、规范的规定标准。（当多个标准不一致时，以最高标准作为验收标准）。 3.其他要求：（1）采购人在进行任何一次验收时发现货物不符合相关要求的，可拒绝收货或要求中标人承担更换或退货责任，中标人应将该等产品在3日内自行拆除及运回，采购人不承担因验收造成的产品损耗且不对产品承担保管责任，因此产生的一切费用及风险由中标人承担。中标人逾期未将退、换货物拆除及运回的，采购人有权自行或委托第三方对前述退、换货物进行拆除及处置，由此产生的一切费用及损失由中标人承担，且采购人有权从应付未付货款、履约担保，直接抵扣前述费用。（2）采购人根据本条约定对货物所做出的验收，仅作为起算付款，不视为采购人对于货物质量的最终认定。货物经最终验收合格后，中标人对产品质量承担保证责任。（3）在全部货物经最终验收合格前，其损耗、毁损、灭失等风险及责任由中标人承担，如因发生前述情形，导致中标人所供应的货物不能通过采购人验收的，中标人应按采购人要求予以更换、补齐或退货，由此产生的一切费用均由中标人负担。（4）验收过程中，如对检验记录不能取得一致意见时，可委托双方确认的货物交付地有资质的第三方检验机构联合进行检验。检验结果具有约束力，检验费用由中标人负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投标报价要求</w:t>
            </w:r>
          </w:p>
        </w:tc>
        <w:tc>
          <w:tcPr>
            <w:tcW w:type="dxa" w:w="2076"/>
          </w:tcPr>
          <w:p>
            <w:pPr>
              <w:jc w:val="left"/>
            </w:pPr>
            <w:r>
              <w:rPr/>
              <w:t>本项目以人民币进行报价，实行总价包干，报价中须包含（不限于）：项目方案、货物生产、供货、运输费、装卸费、安装费（含安装所需材料）、调试费、验收费、保险费、售后服务费、维保费、税费、中标服务费、人工费、第三方检验费、合同实施过程中应预见及不可预见费等完成本项目内容所需的一切费用。（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售后服务</w:t>
            </w:r>
          </w:p>
        </w:tc>
        <w:tc>
          <w:tcPr>
            <w:tcW w:type="dxa" w:w="2076"/>
          </w:tcPr>
          <w:p>
            <w:pPr>
              <w:jc w:val="left"/>
            </w:pPr>
            <w:r>
              <w:rPr/>
              <w:t>1）、质保期:项目验收合格之日起3年。 2）、质保期内，中标人负责对其提供的货物实行包修、包换、包退、包维护保养，不再收取任何费用，但采购人人为原因造成损坏和不可抗力造成的故障除外。 3）、所有货物质保服务方式均为中标人上门服务，即由中标人派员到货物使用现场维修，由此产生的一切费用均由中标人承担。</w:t>
            </w:r>
          </w:p>
        </w:tc>
      </w:tr>
      <w:tr>
        <w:tc>
          <w:tcPr>
            <w:tcW w:type="dxa" w:w="2076"/>
          </w:tcPr>
          <w:p>
            <w:pPr>
              <w:jc w:val="center"/>
            </w:pPr>
          </w:p>
        </w:tc>
        <w:tc>
          <w:tcPr>
            <w:tcW w:type="dxa" w:w="2076"/>
          </w:tcPr>
          <w:p>
            <w:pPr>
              <w:jc w:val="center"/>
            </w:pPr>
            <w:r>
              <w:rPr/>
              <w:t>3</w:t>
            </w:r>
          </w:p>
        </w:tc>
        <w:tc>
          <w:tcPr>
            <w:tcW w:type="dxa" w:w="2076"/>
          </w:tcPr>
          <w:p>
            <w:pPr>
              <w:jc w:val="left"/>
            </w:pPr>
            <w:r>
              <w:rPr/>
              <w:t>节能、环境标志产品</w:t>
            </w:r>
          </w:p>
        </w:tc>
        <w:tc>
          <w:tcPr>
            <w:tcW w:type="dxa" w:w="2076"/>
          </w:tcPr>
          <w:p>
            <w:pPr>
              <w:jc w:val="left"/>
            </w:pPr>
            <w:r>
              <w:rPr/>
              <w:t>本项目采购产品中，属于政府强制采购节能产品，投标人需提供所投产品有效的节能产品认证证书复印件加盖投标人公章，不满足的将作为无效投标处理；属于政府优先采购的节能产品，投标人需提供所投产品有效的节能产品认证证书复印件加盖投标人公章；属于政府优先采购的环境标志产品，投标人需提供所投产品有效的环境标志产品产品认证证书复印件加盖投标人公章。</w:t>
            </w:r>
          </w:p>
        </w:tc>
      </w:tr>
      <w:tr>
        <w:tc>
          <w:tcPr>
            <w:tcW w:type="dxa" w:w="2076"/>
          </w:tcPr>
          <w:p>
            <w:pPr>
              <w:jc w:val="center"/>
            </w:pPr>
          </w:p>
        </w:tc>
        <w:tc>
          <w:tcPr>
            <w:tcW w:type="dxa" w:w="2076"/>
          </w:tcPr>
          <w:p>
            <w:pPr>
              <w:jc w:val="center"/>
            </w:pPr>
            <w:r>
              <w:rPr/>
              <w:t>4</w:t>
            </w:r>
          </w:p>
        </w:tc>
        <w:tc>
          <w:tcPr>
            <w:tcW w:type="dxa" w:w="2076"/>
          </w:tcPr>
          <w:p>
            <w:pPr>
              <w:jc w:val="left"/>
            </w:pPr>
            <w:r>
              <w:rPr/>
              <w:t>本项目的核心产品</w:t>
            </w:r>
          </w:p>
        </w:tc>
        <w:tc>
          <w:tcPr>
            <w:tcW w:type="dxa" w:w="2076"/>
          </w:tcPr>
          <w:p>
            <w:pPr>
              <w:jc w:val="left"/>
            </w:pPr>
            <w:r>
              <w:rPr/>
              <w:t>△礼堂椅（固定脚）</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其他家具</w:t>
            </w:r>
          </w:p>
        </w:tc>
        <w:tc>
          <w:tcPr>
            <w:tcW w:type="dxa" w:w="831"/>
          </w:tcPr>
          <w:p>
            <w:pPr>
              <w:jc w:val="left"/>
            </w:pPr>
            <w:r>
              <w:rPr/>
              <w:t>黄江镇第一小学家具项目</w:t>
            </w:r>
          </w:p>
        </w:tc>
        <w:tc>
          <w:tcPr>
            <w:tcW w:type="dxa" w:w="831"/>
          </w:tcPr>
          <w:p>
            <w:pPr>
              <w:jc w:val="left"/>
            </w:pPr>
            <w:r>
              <w:rPr/>
              <w:t>批</w:t>
            </w:r>
          </w:p>
        </w:tc>
        <w:tc>
          <w:tcPr>
            <w:tcW w:type="dxa" w:w="831"/>
          </w:tcPr>
          <w:p>
            <w:pPr>
              <w:jc w:val="right"/>
            </w:pPr>
            <w:r>
              <w:rPr/>
              <w:t>1.00</w:t>
            </w:r>
          </w:p>
        </w:tc>
        <w:tc>
          <w:tcPr>
            <w:tcW w:type="dxa" w:w="831"/>
          </w:tcPr>
          <w:p>
            <w:pPr>
              <w:jc w:val="right"/>
            </w:pPr>
            <w:r>
              <w:rPr/>
              <w:t>5,587,216.90</w:t>
            </w:r>
          </w:p>
        </w:tc>
        <w:tc>
          <w:tcPr>
            <w:tcW w:type="dxa" w:w="831"/>
          </w:tcPr>
          <w:p>
            <w:pPr>
              <w:jc w:val="right"/>
            </w:pPr>
            <w:r>
              <w:rPr/>
              <w:t>5,587,216.90</w:t>
            </w:r>
          </w:p>
        </w:tc>
        <w:tc>
          <w:tcPr>
            <w:tcW w:type="dxa" w:w="831"/>
          </w:tcPr>
          <w:p>
            <w:r>
              <w:rPr/>
              <w:t>工业</w:t>
            </w:r>
          </w:p>
        </w:tc>
        <w:tc>
          <w:tcPr>
            <w:tcW w:type="dxa" w:w="831"/>
          </w:tcPr>
          <w:p>
            <w:r>
              <w:rPr/>
              <w:t>详见附表一</w:t>
            </w:r>
          </w:p>
        </w:tc>
      </w:tr>
    </w:tbl>
    <w:p/>
    <w:p>
      <w:r>
        <w:rPr>
          <w:b/>
        </w:rPr>
        <w:t>附表</w:t>
      </w:r>
      <w:r>
        <w:rPr>
          <w:b/>
        </w:rPr>
        <w:t>一</w:t>
      </w:r>
      <w:r>
        <w:rPr>
          <w:b/>
        </w:rPr>
        <w:t>：</w:t>
      </w:r>
      <w:r>
        <w:rPr>
          <w:b/>
        </w:rPr>
        <w:t>黄江镇第一小学家具项目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、基本技术要求</w:t>
            </w:r>
          </w:p>
          <w:p>
            <w:pPr>
              <w:jc w:val="both"/>
            </w:pPr>
            <w:r>
              <w:rPr>
                <w:sz w:val="21"/>
              </w:rPr>
              <w:t>（一）质量要求和技术标准</w:t>
            </w:r>
          </w:p>
          <w:p>
            <w:pPr>
              <w:jc w:val="both"/>
            </w:pPr>
            <w:r>
              <w:rPr>
                <w:sz w:val="21"/>
              </w:rPr>
              <w:t>1.</w:t>
            </w:r>
            <w:r>
              <w:rPr>
                <w:sz w:val="21"/>
              </w:rPr>
              <w:t>中标人提供的货物是用优良的工艺和优质材料制造而成的并符合最新的中华人民共和国国家安全环保标准、国家有关产品质量认证标准。</w:t>
            </w:r>
          </w:p>
          <w:p>
            <w:pPr>
              <w:jc w:val="both"/>
            </w:pPr>
            <w:r>
              <w:rPr>
                <w:sz w:val="21"/>
              </w:rPr>
              <w:t>2.</w:t>
            </w:r>
            <w:r>
              <w:rPr>
                <w:sz w:val="21"/>
              </w:rPr>
              <w:t>中标人提供的货物（含零配件、随机工具等）是全新、表面和内部均无瑕疵的原厂正品，并需随货物装箱提供制造厂的设备检验、测试报告、设备检验合格证书、质量保证书和保修书等证明文件。</w:t>
            </w:r>
          </w:p>
          <w:p>
            <w:pPr>
              <w:jc w:val="both"/>
            </w:pPr>
            <w:r>
              <w:rPr>
                <w:sz w:val="21"/>
              </w:rPr>
              <w:t>3.</w:t>
            </w:r>
            <w:r>
              <w:rPr>
                <w:sz w:val="21"/>
              </w:rPr>
              <w:t>所有家具及安装应坚固、实用、安全、美观（端正平整）。</w:t>
            </w:r>
          </w:p>
          <w:p>
            <w:pPr>
              <w:jc w:val="both"/>
            </w:pPr>
            <w:r>
              <w:rPr>
                <w:sz w:val="21"/>
              </w:rPr>
              <w:t>4.</w:t>
            </w:r>
            <w:r>
              <w:rPr>
                <w:sz w:val="21"/>
              </w:rPr>
              <w:t>所有面材、基材、油漆、胶水、五金配件、台面工艺等符合采购文件要求</w:t>
            </w:r>
            <w:r>
              <w:rPr>
                <w:sz w:val="21"/>
              </w:rPr>
              <w:t>,</w:t>
            </w:r>
            <w:r>
              <w:rPr>
                <w:sz w:val="21"/>
              </w:rPr>
              <w:t>其技术要求应等同或优于采购文件所规定的技术要求，投标人应提供必要的证明文件以证明该产品的技术性能，可靠性、安全性及耐用性。如果采用的材料及配件不符合招标文件要求的，中标后采购人有权要求中标人按采购文件的要求选用材料及配件，但价格不予调整。</w:t>
            </w:r>
          </w:p>
          <w:p>
            <w:pPr>
              <w:jc w:val="both"/>
            </w:pPr>
            <w:r>
              <w:rPr>
                <w:sz w:val="21"/>
              </w:rPr>
              <w:t>5.</w:t>
            </w:r>
            <w:r>
              <w:rPr>
                <w:sz w:val="21"/>
              </w:rPr>
              <w:t>产品包装整齐，装配后紧密牢固，分缝＜</w:t>
            </w:r>
            <w:r>
              <w:rPr>
                <w:sz w:val="21"/>
              </w:rPr>
              <w:t>2.0</w:t>
            </w:r>
            <w:r>
              <w:rPr>
                <w:sz w:val="21"/>
              </w:rPr>
              <w:t>㎜。所有产品的木材、板面经喷油、打磨，光滑以确保人体免受损伤，油漆采用国家现行相关标准环保漆。产品符合国家现行相关标准和厂家出厂标准，要严格经过杀菌、杀虫处理，技术上不会变形，生虫，含水率符合使用地区平均平衡含水率。面材、基材（素板）、油漆、胶水中的甲醛、甲苯与二甲苯等苯系物质的释放量均应符合需求清单中材质要求所列出的限量标准。</w:t>
            </w:r>
          </w:p>
          <w:p>
            <w:pPr>
              <w:jc w:val="both"/>
            </w:pPr>
            <w:r>
              <w:rPr>
                <w:sz w:val="21"/>
              </w:rPr>
              <w:t>6.</w:t>
            </w:r>
            <w:r>
              <w:rPr>
                <w:sz w:val="21"/>
              </w:rPr>
              <w:t>投标人的投标产品应具备由质量监督检验机构出具的产品成品的检测报告复印件（监督抽查）</w:t>
            </w:r>
            <w:r>
              <w:rPr>
                <w:sz w:val="21"/>
              </w:rPr>
              <w:t>,</w:t>
            </w:r>
            <w:r>
              <w:rPr>
                <w:sz w:val="21"/>
              </w:rPr>
              <w:t>如果是委托送样或抽样检测，符合实验室认可资质的检验机构的报告均可，需满足的技术参数包括但不限于：</w:t>
            </w:r>
          </w:p>
          <w:p>
            <w:pPr>
              <w:jc w:val="both"/>
            </w:pPr>
            <w:r>
              <w:rPr>
                <w:sz w:val="21"/>
              </w:rPr>
              <w:t>（</w:t>
            </w:r>
            <w:r>
              <w:rPr>
                <w:sz w:val="21"/>
              </w:rPr>
              <w:t>1</w:t>
            </w:r>
            <w:r>
              <w:rPr>
                <w:sz w:val="21"/>
              </w:rPr>
              <w:t>）符合力学性能</w:t>
            </w:r>
            <w:r>
              <w:rPr>
                <w:sz w:val="21"/>
              </w:rPr>
              <w:t>(</w:t>
            </w:r>
            <w:r>
              <w:rPr>
                <w:sz w:val="21"/>
              </w:rPr>
              <w:t>稳定性全项、符合采购需求的强度及耐久性全项）；</w:t>
            </w:r>
          </w:p>
          <w:p>
            <w:pPr>
              <w:jc w:val="both"/>
            </w:pPr>
            <w:r>
              <w:rPr>
                <w:sz w:val="21"/>
              </w:rPr>
              <w:t>（</w:t>
            </w:r>
            <w:r>
              <w:rPr>
                <w:sz w:val="21"/>
              </w:rPr>
              <w:t>2</w:t>
            </w:r>
            <w:r>
              <w:rPr>
                <w:sz w:val="21"/>
              </w:rPr>
              <w:t>）符合产品涉及的表面理化性能（如：漆膜、软硬质覆面、金属件、封边条表面胶合强度等）；</w:t>
            </w:r>
          </w:p>
          <w:p>
            <w:pPr>
              <w:jc w:val="both"/>
            </w:pPr>
            <w:r>
              <w:rPr>
                <w:sz w:val="21"/>
              </w:rPr>
              <w:t>（</w:t>
            </w:r>
            <w:r>
              <w:rPr>
                <w:sz w:val="21"/>
              </w:rPr>
              <w:t>3</w:t>
            </w:r>
            <w:r>
              <w:rPr>
                <w:sz w:val="21"/>
              </w:rPr>
              <w:t>）满足安全性能和有害物质限量。</w:t>
            </w:r>
          </w:p>
        </w:tc>
      </w:tr>
      <w:tr>
        <w:tc>
          <w:tcPr>
            <w:tcW w:type="dxa" w:w="2076"/>
          </w:tcPr>
          <w:p>
            <w:r>
              <w:rPr/>
              <w:t>▲</w:t>
            </w:r>
          </w:p>
        </w:tc>
        <w:tc>
          <w:tcPr>
            <w:tcW w:type="dxa" w:w="415"/>
          </w:tcPr>
          <w:p>
            <w:r>
              <w:rPr/>
              <w:t>2</w:t>
            </w:r>
          </w:p>
        </w:tc>
        <w:tc>
          <w:tcPr>
            <w:tcW w:type="dxa" w:w="5814"/>
          </w:tcPr>
          <w:p>
            <w:pPr>
              <w:jc w:val="both"/>
            </w:pPr>
            <w:r>
              <w:rPr>
                <w:sz w:val="21"/>
              </w:rPr>
              <w:t>7</w:t>
            </w:r>
            <w:r>
              <w:rPr>
                <w:sz w:val="21"/>
              </w:rPr>
              <w:t>.</w:t>
            </w:r>
            <w:r>
              <w:rPr>
                <w:sz w:val="21"/>
              </w:rPr>
              <w:t>以下</w:t>
            </w:r>
            <w:r>
              <w:rPr>
                <w:sz w:val="21"/>
              </w:rPr>
              <w:t>“</w:t>
            </w:r>
            <w:r>
              <w:rPr>
                <w:b/>
                <w:sz w:val="21"/>
              </w:rPr>
              <w:t>▲</w:t>
            </w:r>
            <w:r>
              <w:rPr>
                <w:sz w:val="21"/>
              </w:rPr>
              <w:t>”</w:t>
            </w:r>
            <w:r>
              <w:rPr>
                <w:sz w:val="21"/>
              </w:rPr>
              <w:t>需</w:t>
            </w:r>
            <w:r>
              <w:rPr>
                <w:sz w:val="21"/>
              </w:rPr>
              <w:t>提供</w:t>
            </w:r>
            <w:r>
              <w:rPr>
                <w:sz w:val="21"/>
              </w:rPr>
              <w:t>2022</w:t>
            </w:r>
            <w:r>
              <w:rPr>
                <w:sz w:val="21"/>
              </w:rPr>
              <w:t>年</w:t>
            </w:r>
            <w:r>
              <w:rPr>
                <w:sz w:val="21"/>
              </w:rPr>
              <w:t>1</w:t>
            </w:r>
            <w:r>
              <w:rPr>
                <w:sz w:val="21"/>
              </w:rPr>
              <w:t>月</w:t>
            </w:r>
            <w:r>
              <w:rPr>
                <w:sz w:val="21"/>
              </w:rPr>
              <w:t>1</w:t>
            </w:r>
            <w:r>
              <w:rPr>
                <w:sz w:val="21"/>
              </w:rPr>
              <w:t>日</w:t>
            </w:r>
            <w:r>
              <w:rPr>
                <w:sz w:val="21"/>
              </w:rPr>
              <w:t>至投标文件递交截止之日</w:t>
            </w:r>
            <w:r>
              <w:rPr>
                <w:sz w:val="21"/>
              </w:rPr>
              <w:t>国家认可的第三方检测机构出具的检测报告复印件并加盖投标人公章，检测报告上需体现</w:t>
            </w:r>
            <w:r>
              <w:rPr>
                <w:sz w:val="21"/>
              </w:rPr>
              <w:t>“</w:t>
            </w:r>
            <w:r>
              <w:rPr>
                <w:sz w:val="21"/>
              </w:rPr>
              <w:t>CMA</w:t>
            </w:r>
            <w:r>
              <w:rPr>
                <w:sz w:val="21"/>
              </w:rPr>
              <w:t>”及“</w:t>
            </w:r>
            <w:r>
              <w:rPr>
                <w:sz w:val="21"/>
              </w:rPr>
              <w:t>CNAS"</w:t>
            </w:r>
            <w:r>
              <w:rPr>
                <w:sz w:val="21"/>
              </w:rPr>
              <w:t>标志，检测结果为合格，且检测报告须体现成品检测内容，检测依据参照现行国家标准，检测结果须满足或优于清单技术要求。（检测报告须是投标人送检或原材料生产厂家送检）</w:t>
            </w:r>
          </w:p>
          <w:p>
            <w:pPr>
              <w:jc w:val="both"/>
            </w:pPr>
            <w:r>
              <w:rPr>
                <w:b/>
                <w:sz w:val="21"/>
              </w:rPr>
              <w:t>▲</w:t>
            </w:r>
            <w:r>
              <w:rPr>
                <w:b/>
                <w:sz w:val="21"/>
              </w:rPr>
              <w:t>（</w:t>
            </w:r>
            <w:r>
              <w:rPr>
                <w:b/>
                <w:sz w:val="21"/>
              </w:rPr>
              <w:t>1</w:t>
            </w:r>
            <w:r>
              <w:rPr>
                <w:b/>
                <w:sz w:val="21"/>
              </w:rPr>
              <w:t>）</w:t>
            </w:r>
            <w:r>
              <w:rPr>
                <w:b/>
                <w:sz w:val="21"/>
              </w:rPr>
              <w:t>实木多层板：</w:t>
            </w:r>
            <w:r>
              <w:rPr>
                <w:sz w:val="21"/>
              </w:rPr>
              <w:t>甲醛释放量</w:t>
            </w:r>
            <w:r>
              <w:rPr>
                <w:sz w:val="21"/>
              </w:rPr>
              <w:t>≤</w:t>
            </w:r>
            <w:r>
              <w:rPr>
                <w:sz w:val="21"/>
              </w:rPr>
              <w:t>0.01</w:t>
            </w:r>
            <w:r>
              <w:rPr>
                <w:sz w:val="21"/>
              </w:rPr>
              <w:t xml:space="preserve"> mg/</w:t>
            </w:r>
            <w:r>
              <w:rPr>
                <w:sz w:val="21"/>
              </w:rPr>
              <w:t>m</w:t>
            </w:r>
            <w:r>
              <w:rPr>
                <w:sz w:val="21"/>
              </w:rPr>
              <w:t>³</w:t>
            </w:r>
            <w:r>
              <w:rPr>
                <w:sz w:val="21"/>
              </w:rPr>
              <w:t>。</w:t>
            </w:r>
            <w:r>
              <w:rPr>
                <w:sz w:val="21"/>
              </w:rPr>
              <w:t>静曲强度（顺纹）</w:t>
            </w:r>
            <w:r>
              <w:rPr>
                <w:sz w:val="21"/>
              </w:rPr>
              <w:t>≥37M</w:t>
            </w:r>
            <w:r>
              <w:rPr>
                <w:sz w:val="21"/>
              </w:rPr>
              <w:t>p</w:t>
            </w:r>
            <w:r>
              <w:rPr>
                <w:sz w:val="21"/>
              </w:rPr>
              <w:t>a,</w:t>
            </w:r>
            <w:r>
              <w:rPr>
                <w:sz w:val="21"/>
              </w:rPr>
              <w:t>静曲强度（横纹）</w:t>
            </w:r>
            <w:r>
              <w:rPr>
                <w:sz w:val="21"/>
              </w:rPr>
              <w:t>≥30M</w:t>
            </w:r>
            <w:r>
              <w:rPr>
                <w:sz w:val="21"/>
              </w:rPr>
              <w:t>p</w:t>
            </w:r>
            <w:r>
              <w:rPr>
                <w:sz w:val="21"/>
              </w:rPr>
              <w:t>a，弹性模</w:t>
            </w:r>
            <w:r>
              <w:rPr>
                <w:sz w:val="21"/>
              </w:rPr>
              <w:t>量</w:t>
            </w:r>
            <w:r>
              <w:rPr>
                <w:sz w:val="21"/>
              </w:rPr>
              <w:t>(顺纹)≥5700M</w:t>
            </w:r>
            <w:r>
              <w:rPr>
                <w:sz w:val="21"/>
              </w:rPr>
              <w:t>p</w:t>
            </w:r>
            <w:r>
              <w:rPr>
                <w:sz w:val="21"/>
              </w:rPr>
              <w:t>a，弹性模</w:t>
            </w:r>
            <w:r>
              <w:rPr>
                <w:sz w:val="21"/>
              </w:rPr>
              <w:t>量</w:t>
            </w:r>
            <w:r>
              <w:rPr>
                <w:sz w:val="21"/>
              </w:rPr>
              <w:t>(</w:t>
            </w:r>
            <w:r>
              <w:rPr>
                <w:sz w:val="21"/>
              </w:rPr>
              <w:t>横</w:t>
            </w:r>
            <w:r>
              <w:rPr>
                <w:sz w:val="21"/>
              </w:rPr>
              <w:t>纹</w:t>
            </w:r>
            <w:r>
              <w:rPr>
                <w:sz w:val="21"/>
              </w:rPr>
              <w:t>)≥4500M</w:t>
            </w:r>
            <w:r>
              <w:rPr>
                <w:sz w:val="21"/>
              </w:rPr>
              <w:t>p</w:t>
            </w:r>
            <w:r>
              <w:rPr>
                <w:sz w:val="21"/>
              </w:rPr>
              <w:t>a，</w:t>
            </w:r>
            <w:r>
              <w:rPr>
                <w:sz w:val="21"/>
              </w:rPr>
              <w:t>苯</w:t>
            </w:r>
            <w:r>
              <w:rPr>
                <w:sz w:val="21"/>
              </w:rPr>
              <w:t>未检出，甲苯未检出，二甲苯未检出，总挥发性有机化合物</w:t>
            </w:r>
            <w:r>
              <w:rPr>
                <w:sz w:val="21"/>
              </w:rPr>
              <w:t>( TVOC)</w:t>
            </w:r>
            <w:r>
              <w:rPr>
                <w:sz w:val="21"/>
              </w:rPr>
              <w:t>未检出，通过平板状建筑材料及制品的燃烧性能</w:t>
            </w:r>
            <w:r>
              <w:rPr>
                <w:sz w:val="21"/>
              </w:rPr>
              <w:t>B1(B)</w:t>
            </w:r>
            <w:r>
              <w:rPr>
                <w:sz w:val="21"/>
              </w:rPr>
              <w:t>级测试，</w:t>
            </w:r>
            <w:r>
              <w:rPr>
                <w:sz w:val="21"/>
              </w:rPr>
              <w:t>符合</w:t>
            </w:r>
            <w:r>
              <w:rPr>
                <w:sz w:val="21"/>
              </w:rPr>
              <w:t>GB 8624-2012</w:t>
            </w:r>
            <w:r>
              <w:rPr>
                <w:sz w:val="21"/>
              </w:rPr>
              <w:t>﹔</w:t>
            </w:r>
            <w:r>
              <w:rPr>
                <w:sz w:val="21"/>
              </w:rPr>
              <w:t>GB/T 35601-2017</w:t>
            </w:r>
            <w:r>
              <w:rPr>
                <w:sz w:val="21"/>
              </w:rPr>
              <w:t>﹔</w:t>
            </w:r>
            <w:r>
              <w:rPr>
                <w:sz w:val="21"/>
              </w:rPr>
              <w:t>GB 18580-2017</w:t>
            </w:r>
            <w:r>
              <w:rPr>
                <w:sz w:val="21"/>
              </w:rPr>
              <w:t>﹔</w:t>
            </w:r>
            <w:r>
              <w:rPr>
                <w:sz w:val="21"/>
              </w:rPr>
              <w:t>GB/T 9846-2015</w:t>
            </w:r>
            <w:r>
              <w:rPr>
                <w:sz w:val="21"/>
              </w:rPr>
              <w:t>﹔</w:t>
            </w:r>
            <w:r>
              <w:rPr>
                <w:sz w:val="21"/>
              </w:rPr>
              <w:t>GB/T 39600-2021</w:t>
            </w:r>
            <w:r>
              <w:rPr>
                <w:sz w:val="21"/>
              </w:rPr>
              <w:t>标准</w:t>
            </w:r>
            <w:r>
              <w:rPr>
                <w:sz w:val="21"/>
              </w:rPr>
              <w:t>；</w:t>
            </w:r>
          </w:p>
          <w:p>
            <w:pPr>
              <w:jc w:val="left"/>
            </w:pPr>
            <w:r>
              <w:rPr>
                <w:b/>
                <w:sz w:val="21"/>
              </w:rPr>
              <w:t>▲</w:t>
            </w:r>
            <w:r>
              <w:rPr>
                <w:b/>
                <w:sz w:val="21"/>
              </w:rPr>
              <w:t>（</w:t>
            </w:r>
            <w:r>
              <w:rPr>
                <w:b/>
                <w:sz w:val="21"/>
              </w:rPr>
              <w:t>2</w:t>
            </w:r>
            <w:r>
              <w:rPr>
                <w:b/>
                <w:sz w:val="21"/>
              </w:rPr>
              <w:t>）</w:t>
            </w:r>
            <w:r>
              <w:rPr>
                <w:b/>
                <w:sz w:val="21"/>
              </w:rPr>
              <w:t>海绵：</w:t>
            </w:r>
            <w:r>
              <w:rPr>
                <w:sz w:val="21"/>
              </w:rPr>
              <w:t>拉</w:t>
            </w:r>
            <w:r>
              <w:rPr>
                <w:sz w:val="21"/>
              </w:rPr>
              <w:t>伸强度</w:t>
            </w:r>
            <w:r>
              <w:rPr>
                <w:sz w:val="21"/>
              </w:rPr>
              <w:t>≥165 K</w:t>
            </w:r>
            <w:r>
              <w:rPr>
                <w:sz w:val="21"/>
              </w:rPr>
              <w:t>p</w:t>
            </w:r>
            <w:r>
              <w:rPr>
                <w:sz w:val="21"/>
              </w:rPr>
              <w:t>a,伸长率≥204%，撕裂强度≥7N/cm,</w:t>
            </w:r>
            <w:r>
              <w:rPr>
                <w:sz w:val="21"/>
              </w:rPr>
              <w:t>回弹性</w:t>
            </w:r>
            <w:r>
              <w:rPr>
                <w:sz w:val="21"/>
              </w:rPr>
              <w:t>≥58%,</w:t>
            </w:r>
            <w:r>
              <w:rPr>
                <w:sz w:val="21"/>
              </w:rPr>
              <w:t>75%</w:t>
            </w:r>
            <w:r>
              <w:rPr>
                <w:sz w:val="21"/>
              </w:rPr>
              <w:t>压缩永久变形</w:t>
            </w:r>
            <w:r>
              <w:rPr>
                <w:sz w:val="21"/>
              </w:rPr>
              <w:t>≤</w:t>
            </w:r>
            <w:r>
              <w:rPr>
                <w:sz w:val="21"/>
              </w:rPr>
              <w:t>2.1%</w:t>
            </w:r>
            <w:r>
              <w:rPr>
                <w:sz w:val="21"/>
              </w:rPr>
              <w:t>，甲</w:t>
            </w:r>
            <w:r>
              <w:rPr>
                <w:sz w:val="21"/>
              </w:rPr>
              <w:t>醛释放量未检出，</w:t>
            </w:r>
            <w:r>
              <w:rPr>
                <w:sz w:val="21"/>
              </w:rPr>
              <w:t>TVOC</w:t>
            </w:r>
            <w:r>
              <w:rPr>
                <w:sz w:val="21"/>
              </w:rPr>
              <w:t>未检出，通过抗引燃特性一模拟火柴火焰，</w:t>
            </w:r>
            <w:r>
              <w:rPr>
                <w:sz w:val="21"/>
              </w:rPr>
              <w:t>符合</w:t>
            </w:r>
            <w:r>
              <w:rPr>
                <w:sz w:val="21"/>
              </w:rPr>
              <w:t>GB/T10802-2006</w:t>
            </w:r>
            <w:r>
              <w:rPr>
                <w:sz w:val="21"/>
              </w:rPr>
              <w:t>﹔</w:t>
            </w:r>
            <w:r>
              <w:rPr>
                <w:sz w:val="21"/>
              </w:rPr>
              <w:t>QB/T 2280-2016</w:t>
            </w:r>
            <w:r>
              <w:rPr>
                <w:sz w:val="21"/>
              </w:rPr>
              <w:t>﹔</w:t>
            </w:r>
            <w:r>
              <w:rPr>
                <w:sz w:val="21"/>
              </w:rPr>
              <w:t>GB 17927.2-2011</w:t>
            </w:r>
            <w:r>
              <w:rPr>
                <w:sz w:val="21"/>
              </w:rPr>
              <w:t>标准</w:t>
            </w:r>
            <w:r>
              <w:rPr>
                <w:sz w:val="21"/>
              </w:rPr>
              <w:t>；</w:t>
            </w:r>
          </w:p>
          <w:p>
            <w:pPr>
              <w:jc w:val="left"/>
            </w:pPr>
            <w:r>
              <w:rPr>
                <w:b/>
                <w:sz w:val="21"/>
              </w:rPr>
              <w:t>▲</w:t>
            </w:r>
            <w:r>
              <w:rPr>
                <w:b/>
                <w:sz w:val="21"/>
              </w:rPr>
              <w:t>（</w:t>
            </w:r>
            <w:r>
              <w:rPr>
                <w:b/>
                <w:sz w:val="21"/>
              </w:rPr>
              <w:t>3</w:t>
            </w:r>
            <w:r>
              <w:rPr>
                <w:b/>
                <w:sz w:val="21"/>
              </w:rPr>
              <w:t>）</w:t>
            </w:r>
            <w:r>
              <w:rPr>
                <w:b/>
                <w:sz w:val="21"/>
              </w:rPr>
              <w:t>水性面漆：</w:t>
            </w:r>
            <w:r>
              <w:rPr>
                <w:sz w:val="21"/>
              </w:rPr>
              <w:t>VOC含量未检出,游离甲醛未检出，总铅（Pb）含量（限色漆、腻子和醇酸清漆）≤2mg/kg，可溶性重金属（限色漆、腻子和醇酸清漆）汞、镉、铬均未检出，苯系物总和含量［限苯、甲苯、二甲苯（含乙苯）］未检出，符合GB18581-2020、HJ2537-2014、GB/T 23993-2009标准；</w:t>
            </w:r>
          </w:p>
          <w:p>
            <w:pPr>
              <w:jc w:val="left"/>
            </w:pPr>
            <w:r>
              <w:rPr>
                <w:b/>
                <w:sz w:val="21"/>
              </w:rPr>
              <w:t>▲</w:t>
            </w:r>
            <w:r>
              <w:rPr>
                <w:b/>
                <w:sz w:val="21"/>
              </w:rPr>
              <w:t>（</w:t>
            </w:r>
            <w:r>
              <w:rPr>
                <w:b/>
                <w:sz w:val="21"/>
              </w:rPr>
              <w:t>4</w:t>
            </w:r>
            <w:r>
              <w:rPr>
                <w:b/>
                <w:sz w:val="21"/>
              </w:rPr>
              <w:t>）</w:t>
            </w:r>
            <w:r>
              <w:rPr>
                <w:b/>
                <w:sz w:val="21"/>
              </w:rPr>
              <w:t>热熔胶：</w:t>
            </w:r>
            <w:r>
              <w:rPr>
                <w:sz w:val="21"/>
              </w:rPr>
              <w:t>游离甲醛未检出，苯未检出，甲苯</w:t>
            </w:r>
            <w:r>
              <w:rPr>
                <w:sz w:val="21"/>
              </w:rPr>
              <w:t>+二甲苯未检出，总挥发性有机物未检出，符合</w:t>
            </w:r>
            <w:r>
              <w:rPr>
                <w:sz w:val="21"/>
              </w:rPr>
              <w:t>GB18583-2008《室内装饰装修材料 胶粘剂中有害物质限量》标准；</w:t>
            </w:r>
          </w:p>
          <w:p>
            <w:pPr>
              <w:jc w:val="both"/>
            </w:pPr>
            <w:r>
              <w:rPr>
                <w:b/>
                <w:sz w:val="21"/>
              </w:rPr>
              <w:t>▲</w:t>
            </w:r>
            <w:r>
              <w:rPr>
                <w:b/>
                <w:sz w:val="21"/>
              </w:rPr>
              <w:t>（</w:t>
            </w:r>
            <w:r>
              <w:rPr>
                <w:b/>
                <w:sz w:val="21"/>
              </w:rPr>
              <w:t>5</w:t>
            </w:r>
            <w:r>
              <w:rPr>
                <w:b/>
                <w:sz w:val="21"/>
              </w:rPr>
              <w:t>）</w:t>
            </w:r>
            <w:r>
              <w:rPr>
                <w:b/>
                <w:sz w:val="21"/>
              </w:rPr>
              <w:t>中纤板：</w:t>
            </w:r>
            <w:r>
              <w:rPr>
                <w:sz w:val="21"/>
              </w:rPr>
              <w:t>含水率</w:t>
            </w:r>
            <w:r>
              <w:rPr>
                <w:sz w:val="21"/>
              </w:rPr>
              <w:t>≤6.5%，静曲强度≥35Mpa，表面胶合强度≥1.65Mpa，吸水厚度膨胀率≤2.0%，内胶合强度≥0.6Mpa，甲醛释放量≤0.015mg/m³，苯未检出,甲苯未检出,二甲苯未检出，总挥发性有机化合物（TVOC）未检出，符合GB/T35601-2017、GB/T11718-2021、GB18580-2017、GB/T39600-2021、GB/T17657-2013标准；</w:t>
            </w:r>
          </w:p>
          <w:p>
            <w:pPr>
              <w:jc w:val="both"/>
            </w:pPr>
            <w:r>
              <w:rPr>
                <w:b/>
                <w:sz w:val="21"/>
              </w:rPr>
              <w:t>▲（</w:t>
            </w:r>
            <w:r>
              <w:rPr>
                <w:b/>
                <w:sz w:val="21"/>
              </w:rPr>
              <w:t>6</w:t>
            </w:r>
            <w:r>
              <w:rPr>
                <w:b/>
                <w:sz w:val="21"/>
              </w:rPr>
              <w:t>）</w:t>
            </w:r>
            <w:r>
              <w:rPr>
                <w:b/>
                <w:sz w:val="21"/>
              </w:rPr>
              <w:t>螺丝：</w:t>
            </w:r>
            <w:r>
              <w:rPr>
                <w:sz w:val="21"/>
              </w:rPr>
              <w:t>铜加速乙酸盐雾试验</w:t>
            </w:r>
            <w:r>
              <w:rPr>
                <w:sz w:val="21"/>
              </w:rPr>
              <w:t>连续喷雾</w:t>
            </w:r>
            <w:r>
              <w:rPr>
                <w:sz w:val="21"/>
              </w:rPr>
              <w:t>≥18h，镀(涂)层本身耐腐蚀等级≥10级，镀（涂)层对基体的保护等级≥10级，乙酸盐雾试验连续喷雾≥120h，镀(涂)层本身耐腐蚀等级≥10级，镀（涂)层对基体的保护等级≥10级，</w:t>
            </w:r>
            <w:r>
              <w:rPr>
                <w:sz w:val="21"/>
              </w:rPr>
              <w:t>符合</w:t>
            </w:r>
            <w:r>
              <w:rPr>
                <w:sz w:val="21"/>
              </w:rPr>
              <w:t>GB/T 10125-2021</w:t>
            </w:r>
            <w:r>
              <w:rPr>
                <w:sz w:val="21"/>
              </w:rPr>
              <w:t>﹔</w:t>
            </w:r>
            <w:r>
              <w:rPr>
                <w:sz w:val="21"/>
              </w:rPr>
              <w:t>QB/T 3832-1999</w:t>
            </w:r>
            <w:r>
              <w:rPr>
                <w:sz w:val="21"/>
              </w:rPr>
              <w:t>﹔</w:t>
            </w:r>
            <w:r>
              <w:rPr>
                <w:sz w:val="21"/>
              </w:rPr>
              <w:t>QB/T 3827-1999</w:t>
            </w:r>
            <w:r>
              <w:rPr>
                <w:sz w:val="21"/>
              </w:rPr>
              <w:t>、</w:t>
            </w:r>
            <w:r>
              <w:rPr>
                <w:sz w:val="21"/>
              </w:rPr>
              <w:t>GB/T 3325-2017标准</w:t>
            </w:r>
            <w:r>
              <w:rPr>
                <w:sz w:val="21"/>
              </w:rPr>
              <w:t>；</w:t>
            </w:r>
          </w:p>
          <w:p>
            <w:pPr>
              <w:jc w:val="both"/>
            </w:pPr>
            <w:r>
              <w:rPr>
                <w:b/>
                <w:sz w:val="21"/>
              </w:rPr>
              <w:t>▲（</w:t>
            </w:r>
            <w:r>
              <w:rPr>
                <w:b/>
                <w:sz w:val="21"/>
              </w:rPr>
              <w:t>7</w:t>
            </w:r>
            <w:r>
              <w:rPr>
                <w:b/>
                <w:sz w:val="21"/>
              </w:rPr>
              <w:t>）</w:t>
            </w:r>
            <w:r>
              <w:rPr>
                <w:b/>
                <w:sz w:val="21"/>
              </w:rPr>
              <w:t>万向脚轮：</w:t>
            </w:r>
            <w:r>
              <w:rPr>
                <w:sz w:val="21"/>
              </w:rPr>
              <w:t>抗冲击性、导电性符合检测均合格，可溶性铅、可溶性镉、可溶性铬、可溶性汞均</w:t>
            </w:r>
            <w:r>
              <w:rPr>
                <w:sz w:val="21"/>
              </w:rPr>
              <w:t>≤6mg/kg ,</w:t>
            </w:r>
            <w:r>
              <w:rPr>
                <w:sz w:val="21"/>
              </w:rPr>
              <w:t>符合</w:t>
            </w:r>
            <w:r>
              <w:rPr>
                <w:sz w:val="21"/>
              </w:rPr>
              <w:t>QB/T4765-2014;GB 28481-2012</w:t>
            </w:r>
            <w:r>
              <w:rPr>
                <w:sz w:val="21"/>
              </w:rPr>
              <w:t>标准</w:t>
            </w:r>
            <w:r>
              <w:rPr>
                <w:sz w:val="21"/>
              </w:rPr>
              <w:t>；</w:t>
            </w:r>
          </w:p>
          <w:p>
            <w:pPr>
              <w:jc w:val="left"/>
            </w:pPr>
            <w:r>
              <w:rPr>
                <w:b/>
                <w:sz w:val="21"/>
              </w:rPr>
              <w:t>▲</w:t>
            </w:r>
            <w:r>
              <w:rPr>
                <w:b/>
                <w:sz w:val="21"/>
              </w:rPr>
              <w:t>（</w:t>
            </w:r>
            <w:r>
              <w:rPr>
                <w:b/>
                <w:sz w:val="21"/>
              </w:rPr>
              <w:t>8</w:t>
            </w:r>
            <w:r>
              <w:rPr>
                <w:b/>
                <w:sz w:val="21"/>
              </w:rPr>
              <w:t>）</w:t>
            </w:r>
            <w:r>
              <w:rPr>
                <w:b/>
                <w:sz w:val="21"/>
              </w:rPr>
              <w:t xml:space="preserve"> </w:t>
            </w:r>
            <w:r>
              <w:rPr>
                <w:b/>
                <w:sz w:val="21"/>
              </w:rPr>
              <w:t>缓冲铰链：</w:t>
            </w:r>
            <w:r>
              <w:rPr>
                <w:sz w:val="21"/>
              </w:rPr>
              <w:t>耐久性</w:t>
            </w:r>
            <w:r>
              <w:rPr>
                <w:sz w:val="21"/>
              </w:rPr>
              <w:t>≥160000次、乙酸盐雾试验≥300h，镀（涂）层本身的耐腐蚀等级≥10级，镀（涂）层对基体的保护等级≥10级；符合QB/T 3832-1999、</w:t>
            </w:r>
            <w:r>
              <w:rPr>
                <w:b/>
                <w:sz w:val="21"/>
              </w:rPr>
              <w:t>QB/T 3827-1999</w:t>
            </w:r>
            <w:r>
              <w:rPr>
                <w:sz w:val="21"/>
              </w:rPr>
              <w:t>、</w:t>
            </w:r>
            <w:r>
              <w:rPr>
                <w:sz w:val="21"/>
              </w:rPr>
              <w:t>QB/T 2189-2013标准；</w:t>
            </w:r>
          </w:p>
          <w:p>
            <w:pPr>
              <w:jc w:val="both"/>
            </w:pPr>
            <w:r>
              <w:rPr>
                <w:b/>
                <w:sz w:val="21"/>
              </w:rPr>
              <w:t>▲（</w:t>
            </w:r>
            <w:r>
              <w:rPr>
                <w:b/>
                <w:sz w:val="21"/>
              </w:rPr>
              <w:t>9</w:t>
            </w:r>
            <w:r>
              <w:rPr>
                <w:b/>
                <w:sz w:val="21"/>
              </w:rPr>
              <w:t>）</w:t>
            </w:r>
            <w:r>
              <w:rPr>
                <w:b/>
                <w:sz w:val="21"/>
              </w:rPr>
              <w:t>钢架：</w:t>
            </w:r>
            <w:r>
              <w:rPr>
                <w:sz w:val="21"/>
              </w:rPr>
              <w:t>金属喷漆</w:t>
            </w:r>
            <w:r>
              <w:rPr>
                <w:sz w:val="21"/>
              </w:rPr>
              <w:t>(塑)涂层硬度≥4H, 耐腐蚀: 100h内,观察在溶液中样板上划道两则3mm以外,无鼓泡产生，100h后,检查划道两侧3mm外，无锈迹、剥落、起皱、变色和失光等现象，附着力≥1级，符合</w:t>
            </w:r>
            <w:r>
              <w:rPr>
                <w:sz w:val="21"/>
              </w:rPr>
              <w:t>GB/T 3325-2017标准</w:t>
            </w:r>
            <w:r>
              <w:rPr>
                <w:sz w:val="21"/>
              </w:rPr>
              <w:t>；</w:t>
            </w:r>
          </w:p>
          <w:p>
            <w:pPr>
              <w:jc w:val="both"/>
            </w:pPr>
            <w:r>
              <w:rPr>
                <w:b/>
                <w:sz w:val="21"/>
              </w:rPr>
              <w:t>▲（</w:t>
            </w:r>
            <w:r>
              <w:rPr>
                <w:b/>
                <w:sz w:val="21"/>
              </w:rPr>
              <w:t>10</w:t>
            </w:r>
            <w:r>
              <w:rPr>
                <w:b/>
                <w:sz w:val="21"/>
              </w:rPr>
              <w:t>）</w:t>
            </w:r>
            <w:r>
              <w:rPr>
                <w:b/>
                <w:sz w:val="21"/>
              </w:rPr>
              <w:t>锁</w:t>
            </w:r>
            <w:r>
              <w:rPr>
                <w:sz w:val="21"/>
              </w:rPr>
              <w:t>：金属喷漆（塑</w:t>
            </w:r>
            <w:r>
              <w:rPr>
                <w:sz w:val="21"/>
              </w:rPr>
              <w:t>）</w:t>
            </w:r>
            <w:r>
              <w:rPr>
                <w:sz w:val="21"/>
              </w:rPr>
              <w:t>涂层硬度</w:t>
            </w:r>
            <w:r>
              <w:rPr>
                <w:sz w:val="21"/>
              </w:rPr>
              <w:t>≥3H,附着力≥1级，乙酸盐雾试验≥300h，镀（涂）层本身的耐腐蚀等级≥10级，镀（涂）层对基体的保护等级≥10级；符合QB/T 1621-2015、QB/T 3832-1999、</w:t>
            </w:r>
            <w:r>
              <w:rPr>
                <w:b/>
                <w:sz w:val="21"/>
              </w:rPr>
              <w:t>QB/T 3827-1999</w:t>
            </w:r>
            <w:r>
              <w:rPr>
                <w:sz w:val="21"/>
              </w:rPr>
              <w:t>、</w:t>
            </w:r>
            <w:r>
              <w:rPr>
                <w:sz w:val="21"/>
              </w:rPr>
              <w:t>GB/T 3325 -2017标准。</w:t>
            </w:r>
          </w:p>
          <w:p>
            <w:r>
              <w:rPr>
                <w:b/>
                <w:sz w:val="21"/>
              </w:rPr>
              <w:t>▲（</w:t>
            </w:r>
            <w:r>
              <w:rPr>
                <w:b/>
                <w:sz w:val="21"/>
              </w:rPr>
              <w:t>11</w:t>
            </w:r>
            <w:r>
              <w:rPr>
                <w:b/>
                <w:sz w:val="21"/>
              </w:rPr>
              <w:t>）</w:t>
            </w:r>
            <w:r>
              <w:rPr>
                <w:b/>
                <w:sz w:val="21"/>
              </w:rPr>
              <w:t>礼堂椅：</w:t>
            </w:r>
            <w:r>
              <w:rPr>
                <w:color w:val="000000"/>
                <w:sz w:val="21"/>
              </w:rPr>
              <w:t>甲醛释放量</w:t>
            </w:r>
            <w:r>
              <w:rPr>
                <w:color w:val="000000"/>
                <w:sz w:val="21"/>
              </w:rPr>
              <w:t>≤0.1mg/L，符合 GB18584-2001《室内装饰装修材料木家具中有害物质限量》； QB/T 2602 -2013《影剧院公共座椅》； GB/T 10357.3-2013《椅凳类强度和耐久性》； GB 17927. 2-2011《软体家具床垫和沙发抗引燃特性的评定第2部分:模拟火柴火焰》标准；</w:t>
            </w:r>
          </w:p>
          <w:p>
            <w:r>
              <w:rPr>
                <w:b/>
                <w:sz w:val="21"/>
              </w:rPr>
              <w:t>▲（</w:t>
            </w:r>
            <w:r>
              <w:rPr>
                <w:b/>
                <w:sz w:val="21"/>
              </w:rPr>
              <w:t>12</w:t>
            </w:r>
            <w:r>
              <w:rPr>
                <w:b/>
                <w:sz w:val="21"/>
              </w:rPr>
              <w:t>）</w:t>
            </w:r>
            <w:r>
              <w:rPr>
                <w:b/>
                <w:sz w:val="21"/>
              </w:rPr>
              <w:t>屏风（工作卡位）：</w:t>
            </w:r>
            <w:r>
              <w:rPr>
                <w:color w:val="000000"/>
                <w:sz w:val="21"/>
              </w:rPr>
              <w:t>甲醛释放量</w:t>
            </w:r>
            <w:r>
              <w:rPr>
                <w:color w:val="000000"/>
                <w:sz w:val="21"/>
              </w:rPr>
              <w:t>≤0.01</w:t>
            </w:r>
            <w:r>
              <w:rPr>
                <w:color w:val="000000"/>
                <w:sz w:val="21"/>
              </w:rPr>
              <w:t>mg/</w:t>
            </w:r>
            <w:r>
              <w:rPr>
                <w:color w:val="000000"/>
                <w:sz w:val="21"/>
              </w:rPr>
              <w:t>m³，苯≤0.01</w:t>
            </w:r>
            <w:r>
              <w:rPr>
                <w:color w:val="000000"/>
                <w:sz w:val="21"/>
              </w:rPr>
              <w:t>mg/</w:t>
            </w:r>
            <w:r>
              <w:rPr>
                <w:color w:val="000000"/>
                <w:sz w:val="21"/>
              </w:rPr>
              <w:t>m³，甲苯≤0.01</w:t>
            </w:r>
            <w:r>
              <w:rPr>
                <w:color w:val="000000"/>
                <w:sz w:val="21"/>
              </w:rPr>
              <w:t>mg/</w:t>
            </w:r>
            <w:r>
              <w:rPr>
                <w:color w:val="000000"/>
                <w:sz w:val="21"/>
              </w:rPr>
              <w:t>m³，二甲苯≤0.01</w:t>
            </w:r>
            <w:r>
              <w:rPr>
                <w:color w:val="000000"/>
                <w:sz w:val="21"/>
              </w:rPr>
              <w:t>mg/</w:t>
            </w:r>
            <w:r>
              <w:rPr>
                <w:color w:val="000000"/>
                <w:sz w:val="21"/>
              </w:rPr>
              <w:t>m³，总挥发性有机化合物</w:t>
            </w:r>
            <w:r>
              <w:rPr>
                <w:color w:val="000000"/>
                <w:sz w:val="21"/>
              </w:rPr>
              <w:t>(TV0C)</w:t>
            </w:r>
            <w:r>
              <w:rPr>
                <w:color w:val="000000"/>
                <w:sz w:val="21"/>
              </w:rPr>
              <w:t xml:space="preserve"> </w:t>
            </w:r>
            <w:r>
              <w:rPr>
                <w:color w:val="000000"/>
                <w:sz w:val="21"/>
              </w:rPr>
              <w:t>≤0.01</w:t>
            </w:r>
            <w:r>
              <w:rPr>
                <w:color w:val="000000"/>
                <w:sz w:val="21"/>
              </w:rPr>
              <w:t>mg/</w:t>
            </w:r>
            <w:r>
              <w:rPr>
                <w:color w:val="000000"/>
                <w:sz w:val="21"/>
              </w:rPr>
              <w:t>m³，符合GB 18584-2001《室内装饰装修材料木家具中有害物质限量》; GB/T 22792. 1-2009《办公家具屏风第1部分:尺寸》; GB 22792.2 -2008 《办公家具屏风第2部分:安全要求》; GB/T22792.3- 2008《办公家具屏风第3部分:试验方法》; GB/T35607-2017 《绿色产品评价家具》:GB/T 3325-2017 《金属家具通用技术条件》标准；</w:t>
            </w:r>
          </w:p>
          <w:p>
            <w:pPr>
              <w:jc w:val="both"/>
            </w:pPr>
            <w:r>
              <w:rPr>
                <w:b/>
                <w:sz w:val="21"/>
              </w:rPr>
              <w:t>▲（</w:t>
            </w:r>
            <w:r>
              <w:rPr>
                <w:b/>
                <w:sz w:val="21"/>
              </w:rPr>
              <w:t>13</w:t>
            </w:r>
            <w:r>
              <w:rPr>
                <w:b/>
                <w:sz w:val="21"/>
              </w:rPr>
              <w:t>）</w:t>
            </w:r>
            <w:r>
              <w:rPr>
                <w:b/>
                <w:sz w:val="21"/>
              </w:rPr>
              <w:t>条形桌</w:t>
            </w:r>
            <w:r>
              <w:rPr>
                <w:b/>
                <w:sz w:val="21"/>
              </w:rPr>
              <w:t>:</w:t>
            </w:r>
            <w:r>
              <w:rPr>
                <w:color w:val="000000"/>
                <w:sz w:val="21"/>
              </w:rPr>
              <w:t>甲醛释放量</w:t>
            </w:r>
            <w:r>
              <w:rPr>
                <w:color w:val="000000"/>
                <w:sz w:val="21"/>
              </w:rPr>
              <w:t>≤0.2mg/L，符合GB/T 3324-2017《木家具通用技术条件》; GB 18584-2001 《室内装饰装修材料木家具中有害物质限量》；GB/T 10357.1-2013《家具力学性能试验 第1部分：桌类强度和耐久性》标准；</w:t>
            </w:r>
          </w:p>
          <w:p>
            <w:pPr>
              <w:jc w:val="both"/>
            </w:pPr>
            <w:r>
              <w:rPr>
                <w:b/>
                <w:sz w:val="21"/>
              </w:rPr>
              <w:t>▲（</w:t>
            </w:r>
            <w:r>
              <w:rPr>
                <w:b/>
                <w:sz w:val="21"/>
              </w:rPr>
              <w:t>14</w:t>
            </w:r>
            <w:r>
              <w:rPr>
                <w:b/>
                <w:sz w:val="21"/>
              </w:rPr>
              <w:t>）</w:t>
            </w:r>
            <w:r>
              <w:rPr>
                <w:b/>
                <w:sz w:val="21"/>
              </w:rPr>
              <w:t>电视柜</w:t>
            </w:r>
            <w:r>
              <w:rPr>
                <w:b/>
                <w:sz w:val="21"/>
              </w:rPr>
              <w:t>:</w:t>
            </w:r>
            <w:r>
              <w:rPr>
                <w:color w:val="000000"/>
                <w:sz w:val="21"/>
              </w:rPr>
              <w:t>甲醛释放量</w:t>
            </w:r>
            <w:r>
              <w:rPr>
                <w:color w:val="000000"/>
                <w:sz w:val="21"/>
              </w:rPr>
              <w:t>≤0.2mg/L，符合GB/T 3324-2017《木家具通用技术条件》；GB 18584-2001 《室内装饰装修材料木家具中有害物质限量》标准 ；GB/T 4893.4-2013《家具表面漆膜理化性能试验 第4部分：附着力交叉切割测定法》；GB/T 4893.8-2013 《家具表面漆膜理化性能试验 第8部分：耐磨性测定法》；GB/T 4893.9-2013《家具表面漆膜理化性能试验 第9部分：抗冲击测定法》；GB/T 10357.5-2011 《家具力学性能试验  第5部分：柜类强度和耐久性》标准；</w:t>
            </w:r>
          </w:p>
          <w:p>
            <w:r>
              <w:rPr>
                <w:b/>
                <w:sz w:val="21"/>
              </w:rPr>
              <w:t>▲（</w:t>
            </w:r>
            <w:r>
              <w:rPr>
                <w:b/>
                <w:sz w:val="21"/>
              </w:rPr>
              <w:t>15</w:t>
            </w:r>
            <w:r>
              <w:rPr>
                <w:b/>
                <w:sz w:val="21"/>
              </w:rPr>
              <w:t>）</w:t>
            </w:r>
            <w:r>
              <w:rPr>
                <w:b/>
                <w:sz w:val="21"/>
              </w:rPr>
              <w:t>课椅</w:t>
            </w:r>
            <w:r>
              <w:rPr>
                <w:b/>
                <w:sz w:val="21"/>
              </w:rPr>
              <w:t>:</w:t>
            </w:r>
            <w:r>
              <w:rPr>
                <w:color w:val="000000"/>
                <w:sz w:val="21"/>
              </w:rPr>
              <w:t>甲醛释放量</w:t>
            </w:r>
            <w:r>
              <w:rPr>
                <w:color w:val="000000"/>
                <w:sz w:val="21"/>
              </w:rPr>
              <w:t>≤0.2mg/L，符合GB 18584-2001 《室内装饰装修材料木家具中有害物质限量》； GB/T 10357.3-2013《椅凳类强度和耐久性》； QB/T 4071 -2021《课桌椅》； QB  18580-2017 《室内装饰装修材料人造板及制品中甲醛释放限量》； QB/T 17657-2013《人造板及饰面人造板理化性能试验方法》标准；</w:t>
            </w:r>
          </w:p>
          <w:p>
            <w:r>
              <w:rPr>
                <w:b/>
                <w:sz w:val="21"/>
              </w:rPr>
              <w:t>▲（</w:t>
            </w:r>
            <w:r>
              <w:rPr>
                <w:b/>
                <w:sz w:val="21"/>
              </w:rPr>
              <w:t>16</w:t>
            </w:r>
            <w:r>
              <w:rPr>
                <w:b/>
                <w:sz w:val="21"/>
              </w:rPr>
              <w:t>）</w:t>
            </w:r>
            <w:r>
              <w:rPr>
                <w:b/>
                <w:sz w:val="21"/>
              </w:rPr>
              <w:t>课桌</w:t>
            </w:r>
            <w:r>
              <w:rPr>
                <w:b/>
                <w:sz w:val="21"/>
              </w:rPr>
              <w:t>:</w:t>
            </w:r>
            <w:r>
              <w:rPr>
                <w:color w:val="000000"/>
                <w:sz w:val="21"/>
              </w:rPr>
              <w:t>甲醛释放量</w:t>
            </w:r>
            <w:r>
              <w:rPr>
                <w:color w:val="000000"/>
                <w:sz w:val="21"/>
              </w:rPr>
              <w:t>≤0.2mg/L，符合GB 18584-2001 《室内装饰装修材料木家具中有害物质限量》； GB/T 10357.1-2013《家具力学性能试验 第1部分： 桌类强度和耐久性》； QB/T 4071 -2021《课桌椅》； QB 18580-2017 《室内装饰装修材料人造板及制品中甲醛释放限量》； QB/T 17657-2013《人造板及饰面人造板理化性能试验方法》标准；</w:t>
            </w:r>
          </w:p>
          <w:p>
            <w:pPr>
              <w:jc w:val="both"/>
            </w:pPr>
            <w:r>
              <w:rPr>
                <w:b/>
                <w:sz w:val="21"/>
              </w:rPr>
              <w:t>▲</w:t>
            </w:r>
            <w:r>
              <w:rPr>
                <w:b/>
                <w:sz w:val="21"/>
              </w:rPr>
              <w:t>（</w:t>
            </w:r>
            <w:r>
              <w:rPr>
                <w:b/>
                <w:sz w:val="21"/>
              </w:rPr>
              <w:t>17</w:t>
            </w:r>
            <w:r>
              <w:rPr>
                <w:b/>
                <w:sz w:val="21"/>
              </w:rPr>
              <w:t>）</w:t>
            </w:r>
            <w:r>
              <w:rPr>
                <w:b/>
                <w:sz w:val="21"/>
              </w:rPr>
              <w:t>书架</w:t>
            </w:r>
            <w:r>
              <w:rPr>
                <w:b/>
                <w:sz w:val="21"/>
              </w:rPr>
              <w:t>:</w:t>
            </w:r>
            <w:r>
              <w:rPr>
                <w:color w:val="000000"/>
                <w:sz w:val="21"/>
              </w:rPr>
              <w:t>甲醛释放量</w:t>
            </w:r>
            <w:r>
              <w:rPr>
                <w:color w:val="000000"/>
                <w:sz w:val="21"/>
              </w:rPr>
              <w:t>≤0.2mg/L，符合GB/T 3325-2017 《金属家具通用技术条件》</w:t>
            </w:r>
            <w:r>
              <w:rPr>
                <w:color w:val="000000"/>
                <w:sz w:val="21"/>
              </w:rPr>
              <w:t>；</w:t>
            </w:r>
            <w:r>
              <w:rPr>
                <w:color w:val="000000"/>
                <w:sz w:val="21"/>
              </w:rPr>
              <w:t>GB 1858</w:t>
            </w:r>
            <w:r>
              <w:rPr>
                <w:color w:val="000000"/>
                <w:sz w:val="21"/>
              </w:rPr>
              <w:t>0</w:t>
            </w:r>
            <w:r>
              <w:rPr>
                <w:color w:val="000000"/>
                <w:sz w:val="21"/>
              </w:rPr>
              <w:t>-20</w:t>
            </w:r>
            <w:r>
              <w:rPr>
                <w:color w:val="000000"/>
                <w:sz w:val="21"/>
              </w:rPr>
              <w:t>17</w:t>
            </w:r>
            <w:r>
              <w:rPr>
                <w:color w:val="000000"/>
                <w:sz w:val="21"/>
              </w:rPr>
              <w:t xml:space="preserve"> </w:t>
            </w:r>
            <w:r>
              <w:rPr>
                <w:color w:val="000000"/>
                <w:sz w:val="21"/>
              </w:rPr>
              <w:t>《室内装饰装修材料</w:t>
            </w:r>
            <w:r>
              <w:rPr>
                <w:color w:val="000000"/>
                <w:sz w:val="21"/>
              </w:rPr>
              <w:t>人造板及其制品中甲醛释放限量</w:t>
            </w:r>
            <w:r>
              <w:rPr>
                <w:color w:val="000000"/>
                <w:sz w:val="21"/>
              </w:rPr>
              <w:t>》；</w:t>
            </w:r>
            <w:r>
              <w:rPr>
                <w:color w:val="000000"/>
                <w:sz w:val="21"/>
              </w:rPr>
              <w:t>QB/T 17</w:t>
            </w:r>
            <w:r>
              <w:rPr>
                <w:color w:val="000000"/>
                <w:sz w:val="21"/>
              </w:rPr>
              <w:t>657-2013《人造板及饰面人造板理化性能试验方法》标准；</w:t>
            </w:r>
          </w:p>
          <w:p>
            <w:r>
              <w:rPr>
                <w:b/>
                <w:sz w:val="21"/>
              </w:rPr>
              <w:t>▲（</w:t>
            </w:r>
            <w:r>
              <w:rPr>
                <w:b/>
                <w:sz w:val="21"/>
              </w:rPr>
              <w:t>18</w:t>
            </w:r>
            <w:r>
              <w:rPr>
                <w:b/>
                <w:sz w:val="21"/>
              </w:rPr>
              <w:t>）</w:t>
            </w:r>
            <w:r>
              <w:rPr>
                <w:b/>
                <w:sz w:val="21"/>
              </w:rPr>
              <w:t>床头柜</w:t>
            </w:r>
            <w:r>
              <w:rPr>
                <w:b/>
                <w:sz w:val="21"/>
              </w:rPr>
              <w:t>:</w:t>
            </w:r>
            <w:r>
              <w:rPr>
                <w:color w:val="000000"/>
                <w:sz w:val="21"/>
              </w:rPr>
              <w:t>甲醛释放量</w:t>
            </w:r>
            <w:r>
              <w:rPr>
                <w:color w:val="000000"/>
                <w:sz w:val="21"/>
              </w:rPr>
              <w:t>≤0.2mg/L，符合GB/T 3324-2017《木家具通用技术条件》; GB 18584-2001 《室内装饰装修材料木家具中有害物质限量》；GB/T 10357.5-2011 《家具力学性能试验  第5部分：柜类强度和耐久性》； QB/T 17657-2013《人造板及饰面人造板理化性能试验方法》标准；</w:t>
            </w:r>
          </w:p>
          <w:p>
            <w:pPr>
              <w:jc w:val="both"/>
            </w:pPr>
            <w:r>
              <w:rPr>
                <w:b/>
                <w:sz w:val="21"/>
              </w:rPr>
              <w:t>▲（</w:t>
            </w:r>
            <w:r>
              <w:rPr>
                <w:b/>
                <w:sz w:val="21"/>
              </w:rPr>
              <w:t>19</w:t>
            </w:r>
            <w:r>
              <w:rPr>
                <w:b/>
                <w:sz w:val="21"/>
              </w:rPr>
              <w:t>）</w:t>
            </w:r>
            <w:r>
              <w:rPr>
                <w:b/>
                <w:sz w:val="21"/>
              </w:rPr>
              <w:t>床垫</w:t>
            </w:r>
            <w:r>
              <w:rPr>
                <w:b/>
                <w:sz w:val="21"/>
              </w:rPr>
              <w:t>:</w:t>
            </w:r>
            <w:r>
              <w:rPr>
                <w:color w:val="000000"/>
                <w:sz w:val="21"/>
              </w:rPr>
              <w:t>甲醛释放量</w:t>
            </w:r>
            <w:r>
              <w:rPr>
                <w:color w:val="000000"/>
                <w:sz w:val="21"/>
              </w:rPr>
              <w:t>≤0.2mg/L，符合 GB 17927. 2-2011《软体家具床垫和沙发抗引燃特性的评定第2部分:模拟火柴火焰》； QB/T 1952.2 -2011《软体家具 弹簧软床垫》标准；</w:t>
            </w:r>
          </w:p>
          <w:p>
            <w:pPr>
              <w:jc w:val="both"/>
            </w:pPr>
            <w:r>
              <w:rPr>
                <w:b/>
                <w:sz w:val="21"/>
              </w:rPr>
              <w:t>▲（</w:t>
            </w:r>
            <w:r>
              <w:rPr>
                <w:b/>
                <w:sz w:val="21"/>
              </w:rPr>
              <w:t>20</w:t>
            </w:r>
            <w:r>
              <w:rPr>
                <w:b/>
                <w:sz w:val="21"/>
              </w:rPr>
              <w:t>）</w:t>
            </w:r>
            <w:r>
              <w:rPr>
                <w:b/>
                <w:sz w:val="21"/>
              </w:rPr>
              <w:t>网椅</w:t>
            </w:r>
            <w:r>
              <w:rPr>
                <w:b/>
                <w:sz w:val="21"/>
              </w:rPr>
              <w:t>:</w:t>
            </w:r>
            <w:r>
              <w:rPr>
                <w:color w:val="000000"/>
                <w:sz w:val="21"/>
              </w:rPr>
              <w:t>甲醛释放量</w:t>
            </w:r>
            <w:r>
              <w:rPr>
                <w:color w:val="000000"/>
                <w:sz w:val="21"/>
              </w:rPr>
              <w:t>≤0.2mg/L，符合 QB 18580-2017 《室内装饰装修材料人造板及制品中甲醛释放限量》；GB/T 3325-2017 《金属家具通用技术条件》；GB/T 10357.3-2013《椅凳类强度和耐久性》标准。</w:t>
            </w:r>
          </w:p>
        </w:tc>
      </w:tr>
      <w:tr>
        <w:tc>
          <w:tcPr>
            <w:tcW w:type="dxa" w:w="2076"/>
          </w:tcPr>
          <w:p/>
        </w:tc>
        <w:tc>
          <w:tcPr>
            <w:tcW w:type="dxa" w:w="415"/>
          </w:tcPr>
          <w:p>
            <w:r>
              <w:rPr/>
              <w:t>3</w:t>
            </w:r>
          </w:p>
        </w:tc>
        <w:tc>
          <w:tcPr>
            <w:tcW w:type="dxa" w:w="5814"/>
          </w:tcPr>
          <w:p>
            <w:pPr>
              <w:jc w:val="both"/>
            </w:pPr>
            <w:r>
              <w:rPr>
                <w:sz w:val="21"/>
              </w:rPr>
              <w:t>（二）包装和运输</w:t>
            </w:r>
          </w:p>
          <w:p>
            <w:pPr>
              <w:jc w:val="both"/>
            </w:pPr>
            <w:r>
              <w:rPr>
                <w:sz w:val="21"/>
              </w:rPr>
              <w:t>中标人应采取防湿、防锈、防潮、防雨、防腐及防碰撞等相应措施对货物进行包装，确保货物在正常作业和装卸条件下安全无损地到达合同指定地点。</w:t>
            </w:r>
          </w:p>
        </w:tc>
      </w:tr>
      <w:tr>
        <w:tc>
          <w:tcPr>
            <w:tcW w:type="dxa" w:w="2076"/>
          </w:tcPr>
          <w:p/>
        </w:tc>
        <w:tc>
          <w:tcPr>
            <w:tcW w:type="dxa" w:w="415"/>
          </w:tcPr>
          <w:p>
            <w:r>
              <w:rPr/>
              <w:t>4</w:t>
            </w:r>
          </w:p>
        </w:tc>
        <w:tc>
          <w:tcPr>
            <w:tcW w:type="dxa" w:w="5814"/>
          </w:tcPr>
          <w:p>
            <w:pPr>
              <w:jc w:val="both"/>
            </w:pPr>
            <w:r>
              <w:rPr>
                <w:sz w:val="21"/>
              </w:rPr>
              <w:t>（三）安装、调试</w:t>
            </w:r>
          </w:p>
          <w:p>
            <w:pPr>
              <w:jc w:val="both"/>
            </w:pPr>
            <w:r>
              <w:rPr>
                <w:sz w:val="21"/>
              </w:rPr>
              <w:t>1.</w:t>
            </w:r>
            <w:r>
              <w:rPr>
                <w:sz w:val="21"/>
              </w:rPr>
              <w:t>中标人需委派专门的技术人员将货物安装调试至正常运行的最佳使用状态。</w:t>
            </w:r>
          </w:p>
          <w:p>
            <w:pPr>
              <w:jc w:val="both"/>
            </w:pPr>
            <w:r>
              <w:rPr>
                <w:sz w:val="21"/>
              </w:rPr>
              <w:t>2.</w:t>
            </w:r>
            <w:r>
              <w:rPr>
                <w:sz w:val="21"/>
              </w:rPr>
              <w:t>在家具安装过程中，出现争议的，以采购人意见为准。</w:t>
            </w:r>
          </w:p>
          <w:p>
            <w:pPr>
              <w:jc w:val="both"/>
            </w:pPr>
            <w:r>
              <w:rPr>
                <w:sz w:val="21"/>
              </w:rPr>
              <w:t>3.</w:t>
            </w:r>
            <w:r>
              <w:rPr>
                <w:sz w:val="21"/>
              </w:rPr>
              <w:t>中标人在安装施工期间做到安全文明施工，不损伤或损坏采购人原有设备设施，否则需按市场重置价赔偿给采购人。</w:t>
            </w:r>
          </w:p>
          <w:p>
            <w:pPr>
              <w:jc w:val="both"/>
            </w:pPr>
            <w:r>
              <w:rPr>
                <w:sz w:val="21"/>
              </w:rPr>
              <w:t>4.</w:t>
            </w:r>
            <w:r>
              <w:rPr>
                <w:sz w:val="21"/>
              </w:rPr>
              <w:t>板材拼接处接缝整齐、过渡自然、结构稳固、经久耐用。</w:t>
            </w:r>
          </w:p>
        </w:tc>
      </w:tr>
      <w:tr>
        <w:tc>
          <w:tcPr>
            <w:tcW w:type="dxa" w:w="2076"/>
          </w:tcPr>
          <w:p/>
        </w:tc>
        <w:tc>
          <w:tcPr>
            <w:tcW w:type="dxa" w:w="415"/>
          </w:tcPr>
          <w:p>
            <w:r>
              <w:rPr/>
              <w:t>5</w:t>
            </w:r>
          </w:p>
        </w:tc>
        <w:tc>
          <w:tcPr>
            <w:tcW w:type="dxa" w:w="5814"/>
          </w:tcPr>
          <w:p>
            <w:pPr>
              <w:jc w:val="both"/>
            </w:pPr>
            <w:r>
              <w:rPr>
                <w:sz w:val="21"/>
              </w:rPr>
              <w:t>（四）投标样品要求</w:t>
            </w:r>
            <w:r>
              <w:rPr>
                <w:sz w:val="21"/>
              </w:rPr>
              <w:t>:</w:t>
            </w:r>
          </w:p>
          <w:p>
            <w:pPr>
              <w:jc w:val="left"/>
            </w:pPr>
            <w:r>
              <w:rPr>
                <w:b/>
                <w:sz w:val="21"/>
              </w:rPr>
              <w:t>1</w:t>
            </w:r>
            <w:r>
              <w:rPr>
                <w:b/>
                <w:sz w:val="21"/>
              </w:rPr>
              <w:t>、投标样品要求：</w:t>
            </w:r>
            <w:r>
              <w:rPr>
                <w:color w:val="000000"/>
                <w:sz w:val="21"/>
              </w:rPr>
              <w:t>学生课桌椅</w:t>
            </w:r>
            <w:r>
              <w:rPr>
                <w:color w:val="000000"/>
                <w:sz w:val="21"/>
              </w:rPr>
              <w:t>1套和礼堂椅1张，以上按照1:1成品提供；办公台、文件柜所使用的板材，各提供三聚氰胺板各一块，规格:长200mm×宽150mm×厚25mm，共两块；学生床板为实木板材，提供一块，规格:长200mm×宽150mm×厚12mm。</w:t>
            </w:r>
          </w:p>
          <w:p>
            <w:pPr>
              <w:jc w:val="left"/>
            </w:pPr>
            <w:r>
              <w:rPr>
                <w:b/>
                <w:sz w:val="21"/>
              </w:rPr>
              <w:t>2</w:t>
            </w:r>
            <w:r>
              <w:rPr>
                <w:b/>
                <w:sz w:val="21"/>
              </w:rPr>
              <w:t>、样品送交时间</w:t>
            </w:r>
            <w:r>
              <w:rPr>
                <w:b/>
                <w:sz w:val="21"/>
              </w:rPr>
              <w:t>:</w:t>
            </w:r>
            <w:r>
              <w:rPr>
                <w:sz w:val="21"/>
              </w:rPr>
              <w:t>投标截止时间当天</w:t>
            </w:r>
            <w:r>
              <w:rPr>
                <w:sz w:val="21"/>
              </w:rPr>
              <w:t>08:30</w:t>
            </w:r>
            <w:r>
              <w:rPr>
                <w:sz w:val="21"/>
              </w:rPr>
              <w:t>至</w:t>
            </w:r>
            <w:r>
              <w:rPr>
                <w:sz w:val="21"/>
              </w:rPr>
              <w:t>09:</w:t>
            </w:r>
            <w:r>
              <w:rPr>
                <w:sz w:val="21"/>
              </w:rPr>
              <w:t>30</w:t>
            </w:r>
            <w:r>
              <w:rPr>
                <w:sz w:val="21"/>
              </w:rPr>
              <w:t>或投标截止时间前一天</w:t>
            </w:r>
            <w:r>
              <w:rPr>
                <w:sz w:val="21"/>
              </w:rPr>
              <w:t>8</w:t>
            </w:r>
            <w:r>
              <w:rPr>
                <w:sz w:val="21"/>
              </w:rPr>
              <w:t>:</w:t>
            </w:r>
            <w:r>
              <w:rPr>
                <w:sz w:val="21"/>
              </w:rPr>
              <w:t>3</w:t>
            </w:r>
            <w:r>
              <w:rPr>
                <w:sz w:val="21"/>
              </w:rPr>
              <w:t>0</w:t>
            </w:r>
            <w:r>
              <w:rPr>
                <w:sz w:val="21"/>
              </w:rPr>
              <w:t>至</w:t>
            </w:r>
            <w:r>
              <w:rPr>
                <w:sz w:val="21"/>
              </w:rPr>
              <w:t>12:00</w:t>
            </w:r>
            <w:r>
              <w:rPr>
                <w:sz w:val="21"/>
              </w:rPr>
              <w:t>，</w:t>
            </w:r>
            <w:r>
              <w:rPr>
                <w:sz w:val="21"/>
              </w:rPr>
              <w:t>14:30</w:t>
            </w:r>
            <w:r>
              <w:rPr>
                <w:sz w:val="21"/>
              </w:rPr>
              <w:t>至</w:t>
            </w:r>
            <w:r>
              <w:rPr>
                <w:sz w:val="21"/>
              </w:rPr>
              <w:t>17</w:t>
            </w:r>
            <w:r>
              <w:rPr>
                <w:sz w:val="21"/>
              </w:rPr>
              <w:t>：</w:t>
            </w:r>
            <w:r>
              <w:rPr>
                <w:sz w:val="21"/>
              </w:rPr>
              <w:t>30</w:t>
            </w:r>
            <w:r>
              <w:rPr>
                <w:sz w:val="21"/>
              </w:rPr>
              <w:t>；投标截止时间一到，停止安装，所有投标人及安装人员必须离场。</w:t>
            </w:r>
          </w:p>
          <w:p>
            <w:pPr>
              <w:jc w:val="both"/>
            </w:pPr>
            <w:r>
              <w:rPr>
                <w:sz w:val="21"/>
              </w:rPr>
              <w:t>3</w:t>
            </w:r>
            <w:r>
              <w:rPr>
                <w:sz w:val="21"/>
              </w:rPr>
              <w:t>、样品送交地点</w:t>
            </w:r>
            <w:r>
              <w:rPr>
                <w:sz w:val="21"/>
              </w:rPr>
              <w:t>:</w:t>
            </w:r>
            <w:r>
              <w:rPr>
                <w:sz w:val="21"/>
              </w:rPr>
              <w:t xml:space="preserve"> </w:t>
            </w:r>
            <w:r>
              <w:rPr>
                <w:sz w:val="21"/>
              </w:rPr>
              <w:t>东莞市黄江镇招投标服务所</w:t>
            </w:r>
            <w:r>
              <w:rPr>
                <w:sz w:val="21"/>
              </w:rPr>
              <w:t>。</w:t>
            </w:r>
          </w:p>
          <w:p>
            <w:pPr>
              <w:jc w:val="both"/>
            </w:pPr>
            <w:r>
              <w:rPr>
                <w:sz w:val="21"/>
              </w:rPr>
              <w:t>注意事项</w:t>
            </w:r>
            <w:r>
              <w:rPr>
                <w:sz w:val="21"/>
              </w:rPr>
              <w:t>:</w:t>
            </w:r>
            <w:r>
              <w:rPr>
                <w:sz w:val="21"/>
              </w:rPr>
              <w:t>每个样品应标识清楚（投标人名称、项目名称）。为避免泄露商业秘密，建议投标人提供样品时，自带布料覆盖于样品上。</w:t>
            </w:r>
          </w:p>
          <w:p>
            <w:pPr>
              <w:jc w:val="both"/>
            </w:pPr>
            <w:r>
              <w:rPr>
                <w:sz w:val="21"/>
              </w:rPr>
              <w:t>4</w:t>
            </w:r>
            <w:r>
              <w:rPr>
                <w:sz w:val="21"/>
              </w:rPr>
              <w:t>、</w:t>
            </w:r>
            <w:r>
              <w:rPr>
                <w:sz w:val="21"/>
              </w:rPr>
              <w:t>样品摆放联系人：</w:t>
            </w:r>
            <w:r>
              <w:rPr>
                <w:sz w:val="21"/>
              </w:rPr>
              <w:t>袁小姐</w:t>
            </w:r>
            <w:r>
              <w:rPr>
                <w:sz w:val="21"/>
              </w:rPr>
              <w:t xml:space="preserve"> </w:t>
            </w:r>
            <w:r>
              <w:rPr>
                <w:sz w:val="21"/>
              </w:rPr>
              <w:t>0769-83360090</w:t>
            </w:r>
          </w:p>
          <w:p>
            <w:pPr>
              <w:jc w:val="both"/>
            </w:pPr>
            <w:r>
              <w:rPr>
                <w:sz w:val="21"/>
              </w:rPr>
              <w:t>5</w:t>
            </w:r>
            <w:r>
              <w:rPr>
                <w:sz w:val="21"/>
              </w:rPr>
              <w:t>、</w:t>
            </w:r>
            <w:r>
              <w:rPr>
                <w:sz w:val="21"/>
              </w:rPr>
              <w:t>中标人的样品封存于采购人单位，作为履约验收的参考，待验收合格后采购人退还给中标人，由中标人负责搬运，费用由中标人承担。采购人及采购代理机构对投标人所递交样品的破损或质量不负任何责任。未中标的投标人应接到采购代理机构通知后及时至采购代理机构取回投标样品。通知后</w:t>
            </w:r>
            <w:r>
              <w:rPr>
                <w:sz w:val="21"/>
              </w:rPr>
              <w:t>3</w:t>
            </w:r>
            <w:r>
              <w:rPr>
                <w:sz w:val="21"/>
              </w:rPr>
              <w:t>个工作日内投标人不取回样品，则视为同意采购代理机构自行处置相关样品。</w:t>
            </w:r>
          </w:p>
        </w:tc>
      </w:tr>
      <w:tr>
        <w:tc>
          <w:tcPr>
            <w:tcW w:type="dxa" w:w="2076"/>
          </w:tcPr>
          <w:p/>
        </w:tc>
        <w:tc>
          <w:tcPr>
            <w:tcW w:type="dxa" w:w="415"/>
          </w:tcPr>
          <w:p>
            <w:r>
              <w:rPr/>
              <w:t>6</w:t>
            </w:r>
          </w:p>
        </w:tc>
        <w:tc>
          <w:tcPr>
            <w:tcW w:type="dxa" w:w="5814"/>
          </w:tcPr>
          <w:p>
            <w:pPr>
              <w:jc w:val="both"/>
            </w:pPr>
            <w:r>
              <w:rPr>
                <w:sz w:val="21"/>
              </w:rPr>
              <w:t>二、项目采购清单及技术参数</w:t>
            </w:r>
          </w:p>
          <w:p>
            <w:pPr>
              <w:jc w:val="both"/>
            </w:pPr>
            <w:r>
              <w:rPr>
                <w:sz w:val="21"/>
              </w:rPr>
              <w:t>详见</w:t>
            </w:r>
            <w:r>
              <w:rPr>
                <w:sz w:val="21"/>
              </w:rPr>
              <w:t>公告</w:t>
            </w:r>
            <w:r>
              <w:rPr>
                <w:sz w:val="21"/>
              </w:rPr>
              <w:t>附件：</w:t>
            </w:r>
            <w:r>
              <w:rPr>
                <w:b/>
                <w:sz w:val="21"/>
              </w:rPr>
              <w:t>《</w:t>
            </w:r>
            <w:r>
              <w:rPr>
                <w:b/>
                <w:sz w:val="21"/>
              </w:rPr>
              <w:t>黄江镇第一小学家具项目采购清单及技术参数</w:t>
            </w:r>
            <w:r>
              <w:rPr>
                <w:b/>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采购包1：保证金人民币：110,000.00元整。</w:t>
            </w:r>
          </w:p>
          <w:p>
            <w:r>
              <w:rPr/>
              <w:t>开户单位：</w:t>
            </w:r>
            <w:r>
              <w:rPr/>
              <w:t>东莞市黄江镇招投标服务所</w:t>
            </w:r>
          </w:p>
          <w:p>
            <w:r>
              <w:rPr/>
              <w:t>开户账号：</w:t>
            </w:r>
            <w:r>
              <w:rPr/>
              <w:t>580003701004308000042</w:t>
            </w:r>
          </w:p>
          <w:p>
            <w:r>
              <w:rPr/>
              <w:t>开户银行：</w:t>
            </w:r>
            <w:r>
              <w:rPr/>
              <w:t>东莞银行股份有限公司黄江支行</w:t>
            </w:r>
          </w:p>
          <w:p>
            <w:r>
              <w:rPr/>
              <w:t>支票提交方式：</w:t>
            </w:r>
            <w:r>
              <w:rPr/>
              <w:t>单独密封，并交到招投标服务所</w:t>
            </w:r>
          </w:p>
          <w:p>
            <w:r>
              <w:rPr/>
              <w:t>汇票、本票提交方式：</w:t>
            </w:r>
            <w:r>
              <w:rPr/>
              <w:t>单独密封，并交到招投标服务所</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采购包1(黄江镇第一小学家具项目)：综合评分法,是指投标文件满足招标文件全部实质性要求，且按照评审因素的量化指标评审得分最高的投标人为中标候选人的评标方法。（最低报价不是中标的唯一依据。）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采购包1（黄江镇第一小学家具项目）：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采购包1（黄江镇第一小学家具项目）：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采购包1（黄江镇第一小学家具项目）：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投标文件按照招标文件要求 签署、盖章</w:t>
            </w:r>
          </w:p>
        </w:tc>
        <w:tc>
          <w:tcPr>
            <w:tcW w:type="dxa" w:w="4238"/>
          </w:tcPr>
          <w:p>
            <w:r>
              <w:rPr/>
              <w:t>投标文件已按照招标文件要求签署、盖章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投标报价未超过招标文件中 规定的预算金额 或最高限价</w:t>
            </w:r>
          </w:p>
        </w:tc>
        <w:tc>
          <w:tcPr>
            <w:tcW w:type="dxa" w:w="4238"/>
          </w:tcPr>
          <w:p>
            <w:r>
              <w:rPr/>
              <w:t>投标报价未超过招标文件中规定的预算金额或最高限价</w:t>
            </w:r>
          </w:p>
        </w:tc>
      </w:tr>
      <w:tr>
        <w:tc>
          <w:tcPr>
            <w:tcW w:type="dxa" w:w="890"/>
          </w:tcPr>
          <w:p>
            <w:r>
              <w:rPr/>
              <w:t>4</w:t>
            </w:r>
          </w:p>
        </w:tc>
        <w:tc>
          <w:tcPr>
            <w:tcW w:type="dxa" w:w="3178"/>
          </w:tcPr>
          <w:p>
            <w:r>
              <w:rPr/>
              <w:t>满足招标文件用户需求中带“ ★”要求的</w:t>
            </w:r>
          </w:p>
        </w:tc>
        <w:tc>
          <w:tcPr>
            <w:tcW w:type="dxa" w:w="4238"/>
          </w:tcPr>
          <w:p>
            <w:r>
              <w:rPr/>
              <w:t>满足招标文件用户需求中带“★”要求的</w:t>
            </w:r>
          </w:p>
        </w:tc>
      </w:tr>
      <w:tr>
        <w:tc>
          <w:tcPr>
            <w:tcW w:type="dxa" w:w="890"/>
          </w:tcPr>
          <w:p>
            <w:r>
              <w:rPr/>
              <w:t>5</w:t>
            </w:r>
          </w:p>
        </w:tc>
        <w:tc>
          <w:tcPr>
            <w:tcW w:type="dxa" w:w="3178"/>
          </w:tcPr>
          <w:p>
            <w:r>
              <w:rPr/>
              <w:t>投标文件没有招标文件中规 定的其它无效投 标条款的</w:t>
            </w:r>
          </w:p>
        </w:tc>
        <w:tc>
          <w:tcPr>
            <w:tcW w:type="dxa" w:w="4238"/>
          </w:tcPr>
          <w:p>
            <w:r>
              <w:rPr/>
              <w:t>投标文件没有招标文件中规 定的其它无效投标条款的</w:t>
            </w:r>
          </w:p>
        </w:tc>
      </w:tr>
      <w:tr>
        <w:tc>
          <w:tcPr>
            <w:tcW w:type="dxa" w:w="890"/>
          </w:tcPr>
          <w:p>
            <w:r>
              <w:rPr/>
              <w:t>6</w:t>
            </w:r>
          </w:p>
        </w:tc>
        <w:tc>
          <w:tcPr>
            <w:tcW w:type="dxa" w:w="3178"/>
          </w:tcPr>
          <w:p>
            <w:r>
              <w:rPr/>
              <w:t>符合法律、法规和招标文件 规定的其他要求</w:t>
            </w:r>
          </w:p>
        </w:tc>
        <w:tc>
          <w:tcPr>
            <w:tcW w:type="dxa" w:w="4238"/>
          </w:tcPr>
          <w:p>
            <w:r>
              <w:rPr/>
              <w:t>符合法律、法规和招标文件规定的其他要求。</w:t>
            </w:r>
          </w:p>
        </w:tc>
      </w:tr>
      <w:tr>
        <w:tc>
          <w:tcPr>
            <w:tcW w:type="dxa" w:w="890"/>
          </w:tcPr>
          <w:p>
            <w:r>
              <w:rPr/>
              <w:t>7</w:t>
            </w:r>
          </w:p>
        </w:tc>
        <w:tc>
          <w:tcPr>
            <w:tcW w:type="dxa" w:w="3178"/>
          </w:tcPr>
          <w:p>
            <w:r>
              <w:rPr/>
              <w:t>按照招标文件的规定提交投 标保证金的</w:t>
            </w:r>
          </w:p>
        </w:tc>
        <w:tc>
          <w:tcPr>
            <w:tcW w:type="dxa" w:w="4238"/>
          </w:tcPr>
          <w:p>
            <w:r>
              <w:rPr/>
              <w:t>按照招标文件的规定提交投标保证金的（投标保证金包括：银行转账、支票、本票、汇票、电子保函和纸质保函等）；</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采购包1(黄江镇第一小学家具项目):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(20.0分)</w:t>
            </w:r>
          </w:p>
        </w:tc>
        <w:tc>
          <w:tcPr>
            <w:tcW w:type="dxa" w:w="5076"/>
          </w:tcPr>
          <w:p>
            <w:pPr>
              <w:jc w:val="left"/>
            </w:pPr>
            <w:r>
              <w:rPr/>
              <w:t>根据各投标人对《第二章采购需求》中“ 技术标准与要求”中带“▲”号条款技术参数的响应情况进行评审：“▲”号条款技术参数为“正偏离”或“无偏离”的，全部提供得20分；响应为“负偏离”或“无响应”的则相应扣1分，扣完为止。  注：投标人提供2022年1月1日至投标文件递交截止之日国家认可的第三方检测机构出具的检测报告复印件并加盖投标人公章，检测报告上需体现“CMA”及“CNAS"标志，检测结果为合格，且检测报告须体现成品检测内容，检测依据参照现行国家标准，检测结果须满足或优于清单技术要求，否则不得分。（检测报告须是投标人送检或原材料生产厂家送检）</w:t>
            </w:r>
          </w:p>
        </w:tc>
      </w:tr>
      <w:tr>
        <w:tc>
          <w:tcPr>
            <w:tcW w:type="dxa" w:w="922"/>
            <w:gridSpan w:val="2"/>
            <w:vMerge/>
          </w:tcPr>
          <w:p/>
        </w:tc>
        <w:tc>
          <w:tcPr>
            <w:tcW w:type="dxa" w:w="2307"/>
          </w:tcPr>
          <w:p>
            <w:pPr>
              <w:jc w:val="left"/>
            </w:pPr>
            <w:r>
              <w:rPr/>
              <w:t>生产保障 (10.0分)</w:t>
            </w:r>
          </w:p>
        </w:tc>
        <w:tc>
          <w:tcPr>
            <w:tcW w:type="dxa" w:w="5076"/>
          </w:tcPr>
          <w:p>
            <w:pPr>
              <w:jc w:val="left"/>
            </w:pPr>
            <w:r>
              <w:rPr/>
              <w:t>投标人提供生产设备、检测设备情况进行评审：  （1）激光切割机；（2）数控钻孔中心；（3）催化燃烧废气处理设备；（4）斜边封边机；（5）VOC在线检测设备；（6）紫外线老化试验箱；（7）光氧环保设备；（8）椅背耐用测试机；（9）漆膜耐磨试验机；（10）冷冻式干燥机； 每提供一份得1分，本项满分为10分, 不提供的不得分。  注：投标文件中须提供购买的设备发票复印件（提供的发票名称必须与所投家具生产厂家名称一致），租赁的设备需提供相应的租赁合同复印件及租赁发票复印件。</w:t>
            </w:r>
          </w:p>
        </w:tc>
      </w:tr>
      <w:tr>
        <w:tc>
          <w:tcPr>
            <w:tcW w:type="dxa" w:w="922"/>
            <w:gridSpan w:val="2"/>
            <w:vMerge/>
          </w:tcPr>
          <w:p/>
        </w:tc>
        <w:tc>
          <w:tcPr>
            <w:tcW w:type="dxa" w:w="2307"/>
          </w:tcPr>
          <w:p>
            <w:pPr>
              <w:jc w:val="left"/>
            </w:pPr>
            <w:r>
              <w:rPr/>
              <w:t>对本项目背景理解及整体方案实施响应情况 (10.0分)</w:t>
            </w:r>
            <w:r>
              <w:rPr/>
              <w:t>，（等次分值选择：</w:t>
            </w:r>
            <w:r>
              <w:rPr/>
              <w:t>0.0;</w:t>
            </w:r>
            <w:r>
              <w:rPr/>
              <w:t>2.0;</w:t>
            </w:r>
            <w:r>
              <w:rPr/>
              <w:t>6.0;</w:t>
            </w:r>
            <w:r>
              <w:rPr/>
              <w:t>10.0;</w:t>
            </w:r>
            <w:r>
              <w:rPr/>
              <w:t>）</w:t>
            </w:r>
          </w:p>
        </w:tc>
        <w:tc>
          <w:tcPr>
            <w:tcW w:type="dxa" w:w="5076"/>
          </w:tcPr>
          <w:p>
            <w:pPr>
              <w:jc w:val="left"/>
            </w:pPr>
            <w:r>
              <w:rPr/>
              <w:t>根据投标人针对本项目现场环境，包含教学楼、宿舍楼、体育馆、综合楼、图书馆、门卫室等区域（详见公告附件：《平面设计图》）的现场环境有充分的熟悉和深刻理解，能否针对用户的实际情况提供整体实施方案设计，项目实施方案是否专业、完善、合理、针对性强（包括但不限于现场设计效果图、交货进度安排、安装进度计划、项目验收方案、文明安装措施）等进行评审： ①投标人对项目背景充分理解及熟悉，且制定方案具体可行、详细明确，交货及安装进度安排非常合理，项目验收方案非常详细，文明安装措施非常完善、系统全面，可行性非常强的得10分； ②投标人对项目背景理解一般，且制定方案基本可行，基本满足项目需求，交货及安装进度安排基本合理，项目验收方案及文明安装措施基本完善，具有一定可行性的得6分； ③投标人对项目背景不够理解，且制定方案只能部分满足项目需求，交货及安装进度安排不太合理，项目验收方案简单，文明安装措施有所欠缺，可行性较弱的得2分；  ④未提供对应方案不得分。</w:t>
            </w:r>
          </w:p>
        </w:tc>
      </w:tr>
      <w:tr>
        <w:tc>
          <w:tcPr>
            <w:tcW w:type="dxa" w:w="922"/>
            <w:gridSpan w:val="2"/>
            <w:vMerge/>
          </w:tcPr>
          <w:p/>
        </w:tc>
        <w:tc>
          <w:tcPr>
            <w:tcW w:type="dxa" w:w="2307"/>
          </w:tcPr>
          <w:p>
            <w:pPr>
              <w:jc w:val="left"/>
            </w:pPr>
            <w:r>
              <w:rPr/>
              <w:t>售后服务方案 (4.0分)</w:t>
            </w:r>
            <w:r>
              <w:rPr/>
              <w:t>，（等次分值选择：</w:t>
            </w:r>
            <w:r>
              <w:rPr/>
              <w:t>0.0;</w:t>
            </w:r>
            <w:r>
              <w:rPr/>
              <w:t>1.0;</w:t>
            </w:r>
            <w:r>
              <w:rPr/>
              <w:t>2.0;</w:t>
            </w:r>
            <w:r>
              <w:rPr/>
              <w:t>4.0;</w:t>
            </w:r>
            <w:r>
              <w:rPr/>
              <w:t>）</w:t>
            </w:r>
          </w:p>
        </w:tc>
        <w:tc>
          <w:tcPr>
            <w:tcW w:type="dxa" w:w="5076"/>
          </w:tcPr>
          <w:p>
            <w:pPr>
              <w:jc w:val="left"/>
            </w:pPr>
            <w:r>
              <w:rPr/>
              <w:t>根据投标人提供的售后服务方案（包括不限于日常维护方案、配件更换方案、服务承诺、响应客户需求承诺等）进行评审： ①日常维护方案 、配件更换方案非常完善，服务承诺、响应客户需求承诺非常详细、可行的得4分；  ②日常维护方案、配件更换方案一般 ，服务承诺、响应客户需求承诺基本可行的得2分；  ③日常维护方案、配件更换方案不完善，服务承诺、响应客户需求承诺不合理的得1分；  ④未提供相应方案的不得分。</w:t>
            </w:r>
          </w:p>
        </w:tc>
      </w:tr>
      <w:tr>
        <w:tc>
          <w:tcPr>
            <w:tcW w:type="dxa" w:w="922"/>
            <w:gridSpan w:val="2"/>
            <w:vMerge/>
          </w:tcPr>
          <w:p/>
        </w:tc>
        <w:tc>
          <w:tcPr>
            <w:tcW w:type="dxa" w:w="2307"/>
          </w:tcPr>
          <w:p>
            <w:pPr>
              <w:jc w:val="left"/>
            </w:pPr>
            <w:r>
              <w:rPr/>
              <w:t>样品 (6.0分)</w:t>
            </w:r>
          </w:p>
        </w:tc>
        <w:tc>
          <w:tcPr>
            <w:tcW w:type="dxa" w:w="5076"/>
          </w:tcPr>
          <w:p>
            <w:pPr>
              <w:jc w:val="left"/>
            </w:pPr>
            <w:r>
              <w:rPr/>
              <w:t>1、投标人提供用户需求书中学生课桌椅1套，礼堂椅1张，作为样品进行综合评定。 ①样品全新完好，无破损；整体设计美观；人体接触面有较好的触感，弹性好；符合人体工学，坐感舒适；得3分； ②样品一般，无破损；整体设计一般，美观性一般；人体接触面有一般的触感，弹性一般；符合人体工学，坐感一般舒适；得2分； ③样品较差，有破损；整体设计不美观；人体接触面有差的触感，弹性较差；符合人体工学度差，坐感差；得1分。 ④未提供样品的不得分。 2、根据投标人提供办公台、文件柜、午休床等板材的材质、质量、工艺等进行评审：  ①外观款式精美、质量可靠耐用、工艺科学先进的得3分；  ②外观款式较为精美、质量较为可靠、工艺基本合理的得2分；  ③外观款式普通、质量较差、工艺落后的得1分；  ④未按招标文件要求提供所有样品的不得分。</w:t>
            </w:r>
          </w:p>
        </w:tc>
      </w:tr>
      <w:tr>
        <w:tc>
          <w:tcPr>
            <w:tcW w:type="dxa" w:w="922"/>
            <w:gridSpan w:val="2"/>
            <w:vMerge w:val="restart"/>
          </w:tcPr>
          <w:p>
            <w:pPr>
              <w:jc w:val="center"/>
            </w:pPr>
            <w:r>
              <w:rPr/>
              <w:t>商务部分</w:t>
            </w:r>
          </w:p>
        </w:tc>
        <w:tc>
          <w:tcPr>
            <w:tcW w:type="dxa" w:w="2307"/>
          </w:tcPr>
          <w:p>
            <w:pPr>
              <w:jc w:val="left"/>
            </w:pPr>
            <w:r>
              <w:rPr/>
              <w:t>认证证书 (15.0分)</w:t>
            </w:r>
          </w:p>
        </w:tc>
        <w:tc>
          <w:tcPr>
            <w:tcW w:type="dxa" w:w="5076"/>
          </w:tcPr>
          <w:p>
            <w:pPr>
              <w:jc w:val="left"/>
            </w:pPr>
            <w:r>
              <w:rPr/>
              <w:t>1、投标人具有以下在有效期内的认证证书的： ①质量管理体系认证证书； ②环境管理体系认证证书； ③职业健康安全管理体系认证证书；  每个证书得2分，本项满分为6分, 不提供的不得分； 2、投标人提供中国环保产品认证证书（CQC），认证范围必须包含金属类办公家具、木质类办公家具、软体类家具，每个证书得1分，本项满分为3分, 不提供的不得分； 3、投标人或所投产品制造商获得 “品质验证认证证书” 认证需包含：桌类、椅类（含沙发）、屏风类、柜类、床类，每包含一个类别得1分，本项最高得4分。 4、投标人提供绿色供应链认证证书，提供得2分，否则不得分； （注：以上证书需提供复印件及中国国家认证认可监督管理委员会网址(www.cnca.gov.cn)查询截图）。</w:t>
            </w:r>
          </w:p>
        </w:tc>
      </w:tr>
      <w:tr>
        <w:tc>
          <w:tcPr>
            <w:tcW w:type="dxa" w:w="922"/>
            <w:gridSpan w:val="2"/>
            <w:vMerge/>
          </w:tcPr>
          <w:p/>
        </w:tc>
        <w:tc>
          <w:tcPr>
            <w:tcW w:type="dxa" w:w="2307"/>
          </w:tcPr>
          <w:p>
            <w:pPr>
              <w:jc w:val="left"/>
            </w:pPr>
            <w:r>
              <w:rPr/>
              <w:t>企业业绩 (5.0分)</w:t>
            </w:r>
          </w:p>
        </w:tc>
        <w:tc>
          <w:tcPr>
            <w:tcW w:type="dxa" w:w="5076"/>
          </w:tcPr>
          <w:p>
            <w:pPr>
              <w:jc w:val="left"/>
            </w:pPr>
            <w:r>
              <w:rPr/>
              <w:t>2020年1月1日（以合同签订时间为准）以来，投标人的家具类业绩，每个业绩需提供中标（成交）通知书复印件和合同关键页复印件加盖投标人公章，每个业绩得1分，最高得5分。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both"/>
      </w:pPr>
      <w:r>
        <w:rPr>
          <w:b/>
          <w:sz w:val="21"/>
        </w:rPr>
        <w:t>（本合同仅为合同的参考文本，合同签订双方可根据项目的具体要求进行修订，投标时不需填写）</w:t>
      </w:r>
    </w:p>
    <w:p>
      <w:pPr>
        <w:jc w:val="center"/>
      </w:pPr>
      <w:r>
        <w:br/>
      </w:r>
      <w:r>
        <w:br/>
      </w:r>
      <w:r>
        <w:rPr>
          <w:sz w:val="21"/>
        </w:rPr>
        <w:t xml:space="preserve"> </w:t>
      </w:r>
    </w:p>
    <w:p>
      <w:pPr>
        <w:jc w:val="both"/>
      </w:pPr>
      <w:r>
        <w:rPr>
          <w:color w:val="222222"/>
          <w:sz w:val="21"/>
        </w:rPr>
        <w:t>采购计划编号：</w:t>
      </w:r>
      <w:r>
        <w:rPr>
          <w:sz w:val="21"/>
        </w:rPr>
        <w:t xml:space="preserve">                          </w:t>
      </w:r>
    </w:p>
    <w:p>
      <w:pPr>
        <w:jc w:val="both"/>
      </w:pPr>
      <w:r>
        <w:rPr>
          <w:sz w:val="21"/>
        </w:rPr>
        <w:t xml:space="preserve"> </w:t>
      </w:r>
    </w:p>
    <w:p>
      <w:pPr>
        <w:jc w:val="both"/>
      </w:pPr>
      <w:r>
        <w:rPr>
          <w:color w:val="222222"/>
          <w:sz w:val="21"/>
        </w:rPr>
        <w:t>项目编号：</w:t>
      </w:r>
      <w:r>
        <w:rPr>
          <w:sz w:val="21"/>
        </w:rPr>
        <w:t xml:space="preserve">                               </w:t>
      </w:r>
    </w:p>
    <w:p>
      <w:pPr>
        <w:jc w:val="both"/>
      </w:pPr>
      <w:r>
        <w:rPr>
          <w:sz w:val="21"/>
        </w:rPr>
        <w:t xml:space="preserve"> </w:t>
      </w:r>
    </w:p>
    <w:p>
      <w:pPr>
        <w:jc w:val="both"/>
      </w:pPr>
      <w:r>
        <w:rPr>
          <w:color w:val="222222"/>
          <w:sz w:val="21"/>
        </w:rPr>
        <w:t>项目名称：</w:t>
      </w:r>
      <w:r>
        <w:rPr>
          <w:sz w:val="21"/>
        </w:rPr>
        <w:t xml:space="preserve">                             </w:t>
      </w:r>
    </w:p>
    <w:p>
      <w:pPr>
        <w:jc w:val="center"/>
      </w:pPr>
      <w:r>
        <w:br/>
      </w:r>
    </w:p>
    <w:p>
      <w:pPr>
        <w:jc w:val="center"/>
      </w:pPr>
      <w:r>
        <w:br/>
      </w:r>
    </w:p>
    <w:p>
      <w:pPr>
        <w:jc w:val="center"/>
      </w:pPr>
      <w:r>
        <w:br/>
      </w:r>
      <w:r>
        <w:br/>
      </w:r>
    </w:p>
    <w:p>
      <w:pPr>
        <w:jc w:val="both"/>
      </w:pPr>
      <w:r>
        <w:rPr>
          <w:b/>
          <w:sz w:val="21"/>
        </w:rPr>
        <w:t>甲　　方：　　　　　</w:t>
      </w:r>
    </w:p>
    <w:p>
      <w:pPr>
        <w:jc w:val="both"/>
      </w:pPr>
      <w:r>
        <w:rPr>
          <w:sz w:val="21"/>
        </w:rPr>
        <w:t>电　　话：</w:t>
      </w:r>
      <w:r>
        <w:rPr>
          <w:sz w:val="21"/>
        </w:rPr>
        <w:t>　　传　　真：</w:t>
      </w:r>
      <w:r>
        <w:rPr>
          <w:sz w:val="21"/>
        </w:rPr>
        <w:t>　　地　　址：</w:t>
      </w:r>
    </w:p>
    <w:p>
      <w:pPr>
        <w:jc w:val="both"/>
      </w:pPr>
      <w:r>
        <w:rPr>
          <w:b/>
          <w:sz w:val="21"/>
        </w:rPr>
        <w:t>乙　　方：　　　　　</w:t>
      </w:r>
    </w:p>
    <w:p>
      <w:pPr>
        <w:jc w:val="both"/>
      </w:pPr>
      <w:r>
        <w:rPr>
          <w:sz w:val="21"/>
        </w:rPr>
        <w:t>电　　话：</w:t>
      </w:r>
      <w:r>
        <w:rPr>
          <w:sz w:val="21"/>
        </w:rPr>
        <w:t>　　传　　真：</w:t>
      </w:r>
      <w:r>
        <w:rPr>
          <w:sz w:val="21"/>
        </w:rPr>
        <w:t>　　地　　址：</w:t>
      </w:r>
    </w:p>
    <w:p>
      <w:pPr>
        <w:jc w:val="both"/>
      </w:pPr>
      <w:r>
        <w:rPr>
          <w:sz w:val="21"/>
        </w:rPr>
        <w:t xml:space="preserve"> </w:t>
      </w:r>
    </w:p>
    <w:p>
      <w:pPr>
        <w:jc w:val="both"/>
      </w:pPr>
    </w:p>
    <w:p>
      <w:r>
        <w:rPr>
          <w:sz w:val="21"/>
        </w:rPr>
        <w:t>根据</w:t>
      </w:r>
      <w:r>
        <w:rPr>
          <w:sz w:val="21"/>
        </w:rPr>
        <w:t xml:space="preserve">            </w:t>
      </w:r>
      <w:r>
        <w:rPr>
          <w:sz w:val="21"/>
        </w:rPr>
        <w:t>项目的采购结果，按照《中华人民共和国政府采购法》、《中华人民共和国民法典</w:t>
      </w:r>
      <w:r>
        <w:rPr>
          <w:sz w:val="21"/>
        </w:rPr>
        <w:t>(合同编)》的规定，经双方协商，本着平等互利和诚实信用的原则，一致同意签订本合同如下。</w:t>
      </w:r>
    </w:p>
    <w:p>
      <w:r>
        <w:rPr/>
        <w:t xml:space="preserve"> </w:t>
      </w:r>
    </w:p>
    <w:p>
      <w:pPr>
        <w:jc w:val="both"/>
      </w:pPr>
      <w:r>
        <w:rPr>
          <w:b/>
          <w:sz w:val="21"/>
        </w:rPr>
        <w:t>一、货物内容</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766"/>
        <w:gridCol w:w="3874"/>
        <w:gridCol w:w="766"/>
        <w:gridCol w:w="517"/>
        <w:gridCol w:w="517"/>
        <w:gridCol w:w="932"/>
        <w:gridCol w:w="932"/>
      </w:tblGrid>
      <w:tr>
        <w:tc>
          <w:tcPr>
            <w:tcW w:type="dxa" w:w="766"/>
            <w:tcBorders>
              <w:top w:val="single" w:color="CCCCCC" w:sz="4"/>
              <w:left w:val="single" w:color="CCCCCC" w:sz="4"/>
              <w:bottom w:val="single" w:color="CCCCCC" w:sz="4"/>
              <w:right w:val="single" w:color="CCCCCC" w:sz="4"/>
            </w:tcBorders>
            <w:vAlign w:val="top"/>
          </w:tcPr>
          <w:p>
            <w:pPr>
              <w:jc w:val="both"/>
            </w:pPr>
            <w:r>
              <w:rPr>
                <w:sz w:val="21"/>
              </w:rPr>
              <w:t>名称</w:t>
            </w:r>
          </w:p>
        </w:tc>
        <w:tc>
          <w:tcPr>
            <w:tcW w:type="dxa" w:w="3874"/>
            <w:tcBorders>
              <w:top w:val="single" w:color="CCCCCC" w:sz="4"/>
              <w:left w:val="single" w:color="000000" w:sz="4"/>
              <w:bottom w:val="single" w:color="CCCCCC" w:sz="4"/>
              <w:right w:val="single" w:color="CCCCCC" w:sz="4"/>
            </w:tcBorders>
            <w:vAlign w:val="top"/>
          </w:tcPr>
          <w:p>
            <w:pPr>
              <w:jc w:val="center"/>
            </w:pPr>
            <w:r>
              <w:rPr>
                <w:sz w:val="21"/>
              </w:rPr>
              <w:t>品牌、规格、标准</w:t>
            </w:r>
            <w:r>
              <w:rPr>
                <w:sz w:val="21"/>
              </w:rPr>
              <w:t>/主要服务内容</w:t>
            </w:r>
          </w:p>
        </w:tc>
        <w:tc>
          <w:tcPr>
            <w:tcW w:type="dxa" w:w="766"/>
            <w:tcBorders>
              <w:top w:val="single" w:color="CCCCCC" w:sz="4"/>
              <w:left w:val="single" w:color="000000" w:sz="4"/>
              <w:bottom w:val="single" w:color="CCCCCC" w:sz="4"/>
              <w:right w:val="single" w:color="CCCCCC" w:sz="4"/>
            </w:tcBorders>
            <w:vAlign w:val="top"/>
          </w:tcPr>
          <w:p>
            <w:pPr>
              <w:jc w:val="both"/>
            </w:pPr>
            <w:r>
              <w:rPr>
                <w:sz w:val="21"/>
              </w:rPr>
              <w:t>产地</w:t>
            </w:r>
          </w:p>
        </w:tc>
        <w:tc>
          <w:tcPr>
            <w:tcW w:type="dxa" w:w="517"/>
            <w:tcBorders>
              <w:top w:val="single" w:color="CCCCCC" w:sz="4"/>
              <w:left w:val="single" w:color="000000" w:sz="4"/>
              <w:bottom w:val="single" w:color="CCCCCC" w:sz="4"/>
              <w:right w:val="single" w:color="CCCCCC" w:sz="4"/>
            </w:tcBorders>
            <w:vAlign w:val="top"/>
          </w:tcPr>
          <w:p>
            <w:pPr>
              <w:jc w:val="center"/>
            </w:pPr>
            <w:r>
              <w:rPr>
                <w:sz w:val="21"/>
              </w:rPr>
              <w:t>数量</w:t>
            </w:r>
          </w:p>
        </w:tc>
        <w:tc>
          <w:tcPr>
            <w:tcW w:type="dxa" w:w="517"/>
            <w:tcBorders>
              <w:top w:val="single" w:color="CCCCCC" w:sz="4"/>
              <w:left w:val="single" w:color="000000" w:sz="4"/>
              <w:bottom w:val="single" w:color="CCCCCC" w:sz="4"/>
              <w:right w:val="single" w:color="CCCCCC" w:sz="4"/>
            </w:tcBorders>
            <w:vAlign w:val="top"/>
          </w:tcPr>
          <w:p>
            <w:pPr>
              <w:jc w:val="center"/>
            </w:pPr>
            <w:r>
              <w:rPr>
                <w:sz w:val="21"/>
              </w:rPr>
              <w:t>单位</w:t>
            </w:r>
          </w:p>
        </w:tc>
        <w:tc>
          <w:tcPr>
            <w:tcW w:type="dxa" w:w="932"/>
            <w:tcBorders>
              <w:top w:val="single" w:color="CCCCCC" w:sz="4"/>
              <w:left w:val="single" w:color="000000" w:sz="4"/>
              <w:bottom w:val="single" w:color="CCCCCC" w:sz="4"/>
              <w:right w:val="single" w:color="CCCCCC" w:sz="4"/>
            </w:tcBorders>
            <w:vAlign w:val="top"/>
          </w:tcPr>
          <w:p>
            <w:pPr>
              <w:jc w:val="center"/>
            </w:pPr>
            <w:r>
              <w:rPr>
                <w:sz w:val="21"/>
              </w:rPr>
              <w:t>单价</w:t>
            </w:r>
          </w:p>
          <w:p>
            <w:pPr>
              <w:jc w:val="center"/>
            </w:pPr>
            <w:r>
              <w:rPr>
                <w:sz w:val="21"/>
              </w:rPr>
              <w:t>（元）</w:t>
            </w:r>
          </w:p>
        </w:tc>
        <w:tc>
          <w:tcPr>
            <w:tcW w:type="dxa" w:w="932"/>
            <w:tcBorders>
              <w:top w:val="single" w:color="CCCCCC" w:sz="4"/>
              <w:left w:val="single" w:color="000000" w:sz="4"/>
              <w:bottom w:val="single" w:color="CCCCCC" w:sz="4"/>
              <w:right w:val="single" w:color="CCCCCC" w:sz="4"/>
            </w:tcBorders>
            <w:vAlign w:val="top"/>
          </w:tcPr>
          <w:p>
            <w:pPr>
              <w:jc w:val="center"/>
            </w:pPr>
            <w:r>
              <w:rPr>
                <w:sz w:val="21"/>
              </w:rPr>
              <w:t>金额</w:t>
            </w:r>
          </w:p>
          <w:p>
            <w:pPr>
              <w:jc w:val="center"/>
            </w:pPr>
            <w:r>
              <w:rPr>
                <w:sz w:val="21"/>
              </w:rPr>
              <w:t>（元）</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66"/>
            <w:tcBorders>
              <w:top w:val="single" w:color="000000" w:sz="4"/>
              <w:left w:val="single" w:color="CCCCCC" w:sz="4"/>
              <w:bottom w:val="single" w:color="CCCCCC" w:sz="4"/>
              <w:right w:val="single" w:color="CCCCCC" w:sz="4"/>
            </w:tcBorders>
            <w:vAlign w:val="top"/>
          </w:tcPr>
          <w:p>
            <w:pPr>
              <w:jc w:val="center"/>
            </w:pPr>
            <w:r>
              <w:rPr>
                <w:sz w:val="21"/>
              </w:rPr>
              <w:t xml:space="preserve"> </w:t>
            </w:r>
          </w:p>
        </w:tc>
        <w:tc>
          <w:tcPr>
            <w:tcW w:type="dxa" w:w="3874"/>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766"/>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517"/>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 xml:space="preserve"> </w:t>
            </w:r>
          </w:p>
        </w:tc>
      </w:tr>
      <w:tr>
        <w:tc>
          <w:tcPr>
            <w:tcW w:type="dxa" w:w="7372"/>
            <w:gridSpan w:val="6"/>
            <w:tcBorders>
              <w:top w:val="single" w:color="000000" w:sz="4"/>
              <w:left w:val="single" w:color="CCCCCC" w:sz="4"/>
              <w:bottom w:val="single" w:color="CCCCCC" w:sz="4"/>
              <w:right w:val="single" w:color="CCCCCC" w:sz="4"/>
            </w:tcBorders>
            <w:vAlign w:val="top"/>
          </w:tcPr>
          <w:p>
            <w:pPr>
              <w:jc w:val="center"/>
            </w:pPr>
            <w:r>
              <w:rPr>
                <w:sz w:val="21"/>
              </w:rPr>
              <w:t>合计：人民币大写：</w:t>
            </w:r>
            <w:r>
              <w:rPr>
                <w:sz w:val="21"/>
              </w:rPr>
              <w:t>**元整</w:t>
            </w:r>
          </w:p>
        </w:tc>
        <w:tc>
          <w:tcPr>
            <w:tcW w:type="dxa" w:w="932"/>
            <w:tcBorders>
              <w:top w:val="single" w:color="000000" w:sz="4"/>
              <w:left w:val="single" w:color="000000" w:sz="4"/>
              <w:bottom w:val="single" w:color="CCCCCC" w:sz="4"/>
              <w:right w:val="single" w:color="CCCCCC" w:sz="4"/>
            </w:tcBorders>
            <w:vAlign w:val="top"/>
          </w:tcPr>
          <w:p>
            <w:pPr>
              <w:jc w:val="center"/>
            </w:pPr>
            <w:r>
              <w:rPr>
                <w:sz w:val="21"/>
              </w:rPr>
              <w:t>￥：</w:t>
            </w:r>
            <w:r>
              <w:rPr>
                <w:sz w:val="21"/>
              </w:rPr>
              <w:t>**</w:t>
            </w:r>
          </w:p>
        </w:tc>
      </w:tr>
      <w:tr>
        <w:tc>
          <w:tcPr>
            <w:tcW w:type="dxa" w:w="766"/>
            <w:tcBorders>
              <w:top w:val="none" w:color="000000" w:sz="4"/>
              <w:left w:val="none" w:color="000000" w:sz="4"/>
              <w:bottom w:val="none" w:color="000000" w:sz="4"/>
              <w:right w:val="none" w:color="000000" w:sz="4"/>
            </w:tcBorders>
            <w:vAlign w:val="top"/>
          </w:tcPr>
          <w:p>
            <w:pPr>
              <w:jc w:val="both"/>
            </w:pPr>
          </w:p>
        </w:tc>
        <w:tc>
          <w:tcPr>
            <w:tcW w:type="dxa" w:w="3874"/>
            <w:tcBorders>
              <w:top w:val="none" w:color="000000" w:sz="4"/>
              <w:left w:val="none" w:color="000000" w:sz="4"/>
              <w:bottom w:val="none" w:color="000000" w:sz="4"/>
              <w:right w:val="none" w:color="000000" w:sz="4"/>
            </w:tcBorders>
            <w:vAlign w:val="top"/>
          </w:tcPr>
          <w:p>
            <w:pPr>
              <w:jc w:val="both"/>
            </w:pPr>
          </w:p>
        </w:tc>
        <w:tc>
          <w:tcPr>
            <w:tcW w:type="dxa" w:w="766"/>
            <w:tcBorders>
              <w:top w:val="none" w:color="000000" w:sz="4"/>
              <w:left w:val="none" w:color="000000" w:sz="4"/>
              <w:bottom w:val="none" w:color="000000" w:sz="4"/>
              <w:right w:val="none" w:color="000000" w:sz="4"/>
            </w:tcBorders>
            <w:vAlign w:val="top"/>
          </w:tcPr>
          <w:p>
            <w:pPr>
              <w:jc w:val="both"/>
            </w:pPr>
          </w:p>
        </w:tc>
        <w:tc>
          <w:tcPr>
            <w:tcW w:type="dxa" w:w="517"/>
            <w:tcBorders>
              <w:top w:val="none" w:color="000000" w:sz="4"/>
              <w:left w:val="none" w:color="000000" w:sz="4"/>
              <w:bottom w:val="none" w:color="000000" w:sz="4"/>
              <w:right w:val="none" w:color="000000" w:sz="4"/>
            </w:tcBorders>
            <w:vAlign w:val="top"/>
          </w:tcPr>
          <w:p>
            <w:pPr>
              <w:jc w:val="both"/>
            </w:pPr>
          </w:p>
        </w:tc>
        <w:tc>
          <w:tcPr>
            <w:tcW w:type="dxa" w:w="517"/>
            <w:tcBorders>
              <w:top w:val="none" w:color="000000" w:sz="4"/>
              <w:left w:val="none" w:color="000000" w:sz="4"/>
              <w:bottom w:val="none" w:color="000000" w:sz="4"/>
              <w:right w:val="none" w:color="000000" w:sz="4"/>
            </w:tcBorders>
            <w:vAlign w:val="top"/>
          </w:tcPr>
          <w:p>
            <w:pPr>
              <w:jc w:val="both"/>
            </w:pPr>
          </w:p>
        </w:tc>
        <w:tc>
          <w:tcPr>
            <w:tcW w:type="dxa" w:w="932"/>
            <w:tcBorders>
              <w:top w:val="none" w:color="000000" w:sz="4"/>
              <w:left w:val="none" w:color="000000" w:sz="4"/>
              <w:bottom w:val="none" w:color="000000" w:sz="4"/>
              <w:right w:val="none" w:color="000000" w:sz="4"/>
            </w:tcBorders>
            <w:vAlign w:val="top"/>
          </w:tcPr>
          <w:p>
            <w:pPr>
              <w:jc w:val="both"/>
            </w:pPr>
          </w:p>
        </w:tc>
        <w:tc>
          <w:tcPr>
            <w:tcW w:type="dxa" w:w="932"/>
            <w:tcBorders>
              <w:top w:val="none" w:color="000000" w:sz="4"/>
              <w:left w:val="none" w:color="000000" w:sz="4"/>
              <w:bottom w:val="none" w:color="000000" w:sz="4"/>
              <w:right w:val="none" w:color="000000" w:sz="4"/>
            </w:tcBorders>
            <w:vAlign w:val="top"/>
          </w:tcPr>
          <w:p>
            <w:pPr>
              <w:jc w:val="both"/>
            </w:pPr>
          </w:p>
        </w:tc>
      </w:tr>
    </w:tbl>
    <w:p>
      <w:pPr>
        <w:jc w:val="both"/>
      </w:pPr>
      <w:r>
        <w:rPr>
          <w:sz w:val="21"/>
        </w:rPr>
        <w:t xml:space="preserve"> </w:t>
      </w:r>
    </w:p>
    <w:p>
      <w:pPr>
        <w:ind w:firstLine="400"/>
        <w:jc w:val="both"/>
      </w:pPr>
      <w:r>
        <w:rPr>
          <w:sz w:val="21"/>
        </w:rPr>
        <w:t>合同总额包括乙方设计、安装、随机零配件、标配工具、运输保险、调试、培训、质保期服务、各项税费及合同实施过程中不可预见费用等。</w:t>
      </w:r>
    </w:p>
    <w:p>
      <w:pPr>
        <w:ind w:firstLine="400"/>
        <w:jc w:val="both"/>
      </w:pPr>
      <w:r>
        <w:rPr>
          <w:sz w:val="21"/>
        </w:rPr>
        <w:t>注：货物名称内容必须与投标文件中货物名称内容一致。</w:t>
      </w:r>
    </w:p>
    <w:p>
      <w:pPr>
        <w:jc w:val="both"/>
      </w:pPr>
      <w:r>
        <w:rPr>
          <w:b/>
          <w:sz w:val="21"/>
        </w:rPr>
        <w:t>二、合同金额</w:t>
      </w:r>
    </w:p>
    <w:p>
      <w:pPr>
        <w:ind w:firstLine="420"/>
        <w:jc w:val="both"/>
      </w:pPr>
      <w:r>
        <w:rPr>
          <w:sz w:val="21"/>
        </w:rPr>
        <w:t>合同金额为（大写）：</w:t>
      </w:r>
      <w:r>
        <w:rPr>
          <w:sz w:val="21"/>
        </w:rPr>
        <w:t>_________________元（￥_______________元）人民币。</w:t>
      </w:r>
    </w:p>
    <w:p>
      <w:pPr>
        <w:jc w:val="both"/>
      </w:pPr>
      <w:r>
        <w:rPr>
          <w:b/>
          <w:sz w:val="21"/>
        </w:rPr>
        <w:t>三、设备要求</w:t>
      </w:r>
    </w:p>
    <w:p>
      <w:pPr>
        <w:ind w:firstLine="420"/>
        <w:jc w:val="both"/>
      </w:pPr>
      <w:r>
        <w:rPr>
          <w:sz w:val="21"/>
        </w:rPr>
        <w:t>货物为原制造商制造的全新产品，</w:t>
      </w:r>
      <w:r>
        <w:rPr>
          <w:sz w:val="21"/>
        </w:rPr>
        <w:t>货物</w:t>
      </w:r>
      <w:r>
        <w:rPr>
          <w:sz w:val="21"/>
        </w:rPr>
        <w:t>无污染，无侵权行为、表面无划损、无任何缺陷隐患，在中国境内可依常规安全合法使用。</w:t>
      </w:r>
    </w:p>
    <w:p>
      <w:pPr>
        <w:jc w:val="both"/>
      </w:pPr>
      <w:r>
        <w:rPr>
          <w:b/>
          <w:sz w:val="21"/>
        </w:rPr>
        <w:t>四、交货期、交货方式及交货地点</w:t>
      </w:r>
    </w:p>
    <w:p>
      <w:pPr>
        <w:jc w:val="both"/>
      </w:pPr>
      <w:r>
        <w:rPr>
          <w:sz w:val="21"/>
        </w:rPr>
        <w:t xml:space="preserve">       </w:t>
      </w:r>
      <w:r>
        <w:rPr>
          <w:sz w:val="21"/>
        </w:rPr>
        <w:t>1.交货期：</w:t>
      </w:r>
    </w:p>
    <w:p>
      <w:pPr>
        <w:jc w:val="both"/>
      </w:pPr>
      <w:r>
        <w:rPr>
          <w:sz w:val="21"/>
        </w:rPr>
        <w:t xml:space="preserve">       </w:t>
      </w:r>
      <w:r>
        <w:rPr>
          <w:sz w:val="21"/>
        </w:rPr>
        <w:t>2.交货方式：</w:t>
      </w:r>
    </w:p>
    <w:p>
      <w:pPr>
        <w:jc w:val="both"/>
      </w:pPr>
      <w:r>
        <w:rPr>
          <w:sz w:val="21"/>
        </w:rPr>
        <w:t xml:space="preserve">       </w:t>
      </w:r>
      <w:r>
        <w:rPr>
          <w:sz w:val="21"/>
        </w:rPr>
        <w:t>3.交货地点：</w:t>
      </w:r>
    </w:p>
    <w:p>
      <w:pPr>
        <w:jc w:val="both"/>
      </w:pPr>
      <w:r>
        <w:rPr>
          <w:b/>
          <w:sz w:val="21"/>
        </w:rPr>
        <w:t>五、付款方式</w:t>
      </w:r>
    </w:p>
    <w:p>
      <w:pPr>
        <w:jc w:val="both"/>
      </w:pPr>
      <w:r>
        <w:rPr>
          <w:sz w:val="24"/>
        </w:rPr>
        <w:t>一、分三期支付：</w:t>
      </w:r>
      <w:r>
        <w:rPr>
          <w:sz w:val="24"/>
        </w:rPr>
        <w:t>1期：支付比例30%，预付款：合同签定后，采购人应在收到中标人提供的请款报告及相关资料</w:t>
      </w:r>
      <w:r>
        <w:rPr>
          <w:sz w:val="24"/>
        </w:rPr>
        <w:t>后</w:t>
      </w:r>
      <w:r>
        <w:rPr>
          <w:sz w:val="24"/>
        </w:rPr>
        <w:t>，</w:t>
      </w:r>
      <w:r>
        <w:rPr>
          <w:sz w:val="24"/>
        </w:rPr>
        <w:t>按镇政府财政请款流程，</w:t>
      </w:r>
      <w:r>
        <w:rPr>
          <w:sz w:val="24"/>
        </w:rPr>
        <w:t>向中标人支付合同总价的</w:t>
      </w:r>
      <w:r>
        <w:rPr>
          <w:sz w:val="24"/>
        </w:rPr>
        <w:t>30%的款项。</w:t>
      </w:r>
    </w:p>
    <w:p>
      <w:pPr>
        <w:jc w:val="both"/>
      </w:pPr>
      <w:r>
        <w:rPr>
          <w:sz w:val="24"/>
        </w:rPr>
        <w:t>2期：支付比例50%，进度款：货物送至采购人指定地点，采购人清点完毕并现场确认，提交符合采购人要求的请款报告后，按镇政府财政请款流程，向中标人支付合同总价的80%的款项。</w:t>
      </w:r>
    </w:p>
    <w:p>
      <w:pPr>
        <w:jc w:val="both"/>
      </w:pPr>
      <w:r>
        <w:rPr>
          <w:sz w:val="24"/>
        </w:rPr>
        <w:t>3期：支付比例20%，尾款：所有货物</w:t>
      </w:r>
      <w:r>
        <w:rPr>
          <w:sz w:val="24"/>
        </w:rPr>
        <w:t>最终</w:t>
      </w:r>
      <w:r>
        <w:rPr>
          <w:sz w:val="24"/>
        </w:rPr>
        <w:t>验收合格后，提交符合采购人要求的请款报告后</w:t>
      </w:r>
      <w:r>
        <w:rPr>
          <w:sz w:val="24"/>
        </w:rPr>
        <w:t>，</w:t>
      </w:r>
      <w:r>
        <w:rPr>
          <w:sz w:val="24"/>
        </w:rPr>
        <w:t>按镇政府财政请款流程，</w:t>
      </w:r>
      <w:r>
        <w:rPr>
          <w:sz w:val="24"/>
        </w:rPr>
        <w:t>向中标人支付合同余下全部款项。</w:t>
      </w:r>
    </w:p>
    <w:p>
      <w:pPr>
        <w:jc w:val="both"/>
      </w:pPr>
      <w:r>
        <w:rPr>
          <w:b/>
          <w:sz w:val="24"/>
        </w:rPr>
        <w:t>二</w:t>
      </w:r>
      <w:r>
        <w:rPr>
          <w:sz w:val="24"/>
        </w:rPr>
        <w:t>、因甲方使用的是财政资金</w:t>
      </w:r>
      <w:r>
        <w:rPr>
          <w:sz w:val="24"/>
        </w:rPr>
        <w:t>，若甲方在前款有规定的付款时间的，该时间为向政府采购支付部门提出办理财政支付申请手续的时间（不含政府财政支付部门审核的时间），在规定时间内提出支付申请手续后即视为甲方已经按期支付。</w:t>
      </w:r>
    </w:p>
    <w:p>
      <w:pPr>
        <w:jc w:val="both"/>
      </w:pPr>
    </w:p>
    <w:p>
      <w:pPr>
        <w:jc w:val="both"/>
      </w:pPr>
      <w:r>
        <w:rPr>
          <w:b/>
          <w:sz w:val="21"/>
        </w:rPr>
        <w:t>六、质保期及售后服务要求</w:t>
      </w:r>
    </w:p>
    <w:p>
      <w:pPr>
        <w:jc w:val="both"/>
      </w:pPr>
      <w:r>
        <w:rPr>
          <w:sz w:val="21"/>
        </w:rPr>
        <w:t>1</w:t>
      </w:r>
      <w:r>
        <w:rPr>
          <w:sz w:val="21"/>
        </w:rPr>
        <w:t>）</w:t>
      </w:r>
      <w:r>
        <w:rPr>
          <w:sz w:val="21"/>
        </w:rPr>
        <w:t>、质保期</w:t>
      </w:r>
      <w:r>
        <w:rPr>
          <w:sz w:val="21"/>
        </w:rPr>
        <w:t>:</w:t>
      </w:r>
      <w:r>
        <w:rPr>
          <w:sz w:val="21"/>
        </w:rPr>
        <w:t>项目验收合格之日起</w:t>
      </w:r>
      <w:r>
        <w:rPr>
          <w:sz w:val="21"/>
        </w:rPr>
        <w:t>3</w:t>
      </w:r>
      <w:r>
        <w:rPr>
          <w:sz w:val="21"/>
        </w:rPr>
        <w:t>年。</w:t>
      </w:r>
      <w:r>
        <w:rPr>
          <w:sz w:val="21"/>
        </w:rPr>
        <w:t>2</w:t>
      </w:r>
      <w:r>
        <w:rPr>
          <w:sz w:val="21"/>
        </w:rPr>
        <w:t>）</w:t>
      </w:r>
      <w:r>
        <w:rPr>
          <w:sz w:val="21"/>
        </w:rPr>
        <w:t>、质保期内，中标人负责对其提供的货物实行包修、包换、包退、包维护保养，不再收取任何费用，但采购人人为原因造成损坏和不可抗力造成的故障除外。</w:t>
      </w:r>
      <w:r>
        <w:rPr>
          <w:sz w:val="21"/>
        </w:rPr>
        <w:t>3</w:t>
      </w:r>
      <w:r>
        <w:rPr>
          <w:sz w:val="21"/>
        </w:rPr>
        <w:t>）</w:t>
      </w:r>
      <w:r>
        <w:rPr>
          <w:sz w:val="21"/>
        </w:rPr>
        <w:t>、所有货物质保服务方式均为中标人上门服务，即由中标人派员到货物使用现场维修，由此产生的一切费用均由中标人承担。</w:t>
      </w:r>
    </w:p>
    <w:p>
      <w:pPr>
        <w:jc w:val="both"/>
      </w:pPr>
    </w:p>
    <w:p>
      <w:pPr>
        <w:numPr>
          <w:ilvl w:val="0"/>
          <w:numId w:val="1"/>
        </w:numPr>
        <w:jc w:val="both"/>
      </w:pPr>
      <w:r>
        <w:rPr>
          <w:b/>
          <w:sz w:val="21"/>
        </w:rPr>
        <w:t>安装与调试</w:t>
      </w:r>
    </w:p>
    <w:p>
      <w:pPr>
        <w:jc w:val="both"/>
      </w:pPr>
      <w:r>
        <w:rPr>
          <w:sz w:val="21"/>
        </w:rPr>
        <w:t>1.</w:t>
      </w:r>
      <w:r>
        <w:rPr>
          <w:sz w:val="21"/>
        </w:rPr>
        <w:t>中标人需委派专门的技术人员将货物安装调试至正常运行的最佳使用状态。</w:t>
      </w:r>
    </w:p>
    <w:p>
      <w:pPr>
        <w:jc w:val="both"/>
      </w:pPr>
      <w:r>
        <w:rPr>
          <w:sz w:val="21"/>
        </w:rPr>
        <w:t>2.</w:t>
      </w:r>
      <w:r>
        <w:rPr>
          <w:sz w:val="21"/>
        </w:rPr>
        <w:t>在家具安装过程中，出现争议的，以采购人意见为准。</w:t>
      </w:r>
    </w:p>
    <w:p>
      <w:pPr>
        <w:jc w:val="both"/>
      </w:pPr>
      <w:r>
        <w:rPr>
          <w:sz w:val="21"/>
        </w:rPr>
        <w:t>3.</w:t>
      </w:r>
      <w:r>
        <w:rPr>
          <w:sz w:val="21"/>
        </w:rPr>
        <w:t>中标人在安装施工期间做到安全文明施工，不损伤或损坏采购人原有设备设施，否则需按市场重置价赔偿给采购人。</w:t>
      </w:r>
    </w:p>
    <w:p>
      <w:pPr>
        <w:jc w:val="both"/>
      </w:pPr>
      <w:r>
        <w:rPr>
          <w:sz w:val="21"/>
        </w:rPr>
        <w:t>4.</w:t>
      </w:r>
      <w:r>
        <w:rPr>
          <w:sz w:val="21"/>
        </w:rPr>
        <w:t>板材拼接处接缝整齐、过渡自然、结构稳固、经久耐用。</w:t>
      </w:r>
    </w:p>
    <w:p>
      <w:pPr>
        <w:jc w:val="both"/>
      </w:pPr>
    </w:p>
    <w:p>
      <w:pPr>
        <w:jc w:val="both"/>
      </w:pPr>
      <w:r>
        <w:rPr>
          <w:b/>
          <w:sz w:val="21"/>
        </w:rPr>
        <w:t>八、验收：</w:t>
      </w:r>
    </w:p>
    <w:p>
      <w:pPr>
        <w:jc w:val="both"/>
      </w:pPr>
      <w:r>
        <w:rPr>
          <w:sz w:val="24"/>
        </w:rPr>
        <w:t>1.交接验收：（1）货物到达交货地点后，采购人（含采购人委托的第三方）、中标人共同验货。双方按照合同、国家相关法律法规以及规范的要求等相关的规定，对货物的材质（包括但不限于板材、配件等）、品牌、产地、型号规格、结构、工艺、数量、外观质量、资料进行清点和全面的检验，并作详细的记录，中标人需提供货物相关的检测报告，包括但不限于质量检测报告、甲醛释放量报告等。（2）如发现货物的材质（包括但不限于板材、配件等）、品牌、产地、型号规格、结构、工艺、数量、外观质量、资料与合同不符，或货物短缺、质次、损坏等问题，应作详细记录，且采购人有权拒绝收货及拒绝付款，中标人应在采购人规定的时间内立即、无条件为采购人更换、补齐或无条件退货。更换或补齐后的货物，采购人有权按照本条有关验收的约定进行验收，由此产生的制造、修理和运费及保险费等费用均由中标人负担。（3）由于非采购人原因而引起货物的修理或更换的时间，如中标人在交货期前完成修理或更换并按合同约定时间交货的，则不视为逾期交货，否则将视为中标人逾期交货。（4）交接验收合格后，采购人出具相关签收手续。</w:t>
      </w:r>
    </w:p>
    <w:p>
      <w:pPr>
        <w:jc w:val="both"/>
      </w:pPr>
      <w:r>
        <w:rPr>
          <w:sz w:val="24"/>
        </w:rPr>
        <w:t>2.最终验收：（1）所有货物在安装完成后，须向采购人提供书面申请最终验收，在接到中标人申请后，采购人组织最终验收。采购人（含采购人委托的第三方）、中标人一起对货物的完整性，安装与采购需求的符合性和合理性进行最终检验。 （2）中标人在货物安装过程中，应做好详细的检验记录，检验结果应符合本合同及其附件、报价文件、国家环保要求及标准，以及相关法律法规、规范的规定标准。（当多个标准不一致时，以最高标准作为验收标准）。</w:t>
      </w:r>
    </w:p>
    <w:p>
      <w:pPr>
        <w:jc w:val="both"/>
      </w:pPr>
      <w:r>
        <w:rPr>
          <w:sz w:val="24"/>
        </w:rPr>
        <w:t>3.其他要求：（1）采购人在进行任何一次验收时发现货物不符合相关要求的，可拒绝收货或要求中标人承担更换或退货责任，中标人应将该等产品在3日内自行拆除及运回，采购人不承担因验收造成的产品损耗且不对产品承担保管责任，因此产生的一切费用及风险由中标人承担。中标人逾期未将退、换货物拆除及运回的，采购人有权自行或委托第三方对前述退、换货物进行拆除及处置，由此产生的一切费用及损失由中标人承担，且采购人有权从应付未付货款、履约担保，直接抵扣前述费用。（2）采购人根据本条约定对货物所做出的验收，仅作为起算付款，不视为采购人对于货物质量的最终认定。货物经最终验收合格后，中标人对产品质量承担保证责任。（3）在全部货物经最终验收合格前，其损耗、毁损、灭失等风险及责任由中标人承担，如因发生前述情形，导致中标人所供应的货物不能通过采购人验收的，中标人应按采购人要求予以更换、补齐或退货，由此产生的一切费用均由中标人负担。（4）验收过程中，如对检验记录不能取得一致意见时，可委托双方确认的货物交付地有资质权威的第三方检验机构联合进行检验。检验结果具有约束力，检验费用由</w:t>
      </w:r>
      <w:r>
        <w:rPr>
          <w:sz w:val="24"/>
        </w:rPr>
        <w:t>中标人</w:t>
      </w:r>
      <w:r>
        <w:rPr>
          <w:sz w:val="24"/>
        </w:rPr>
        <w:t>负担。</w:t>
      </w:r>
    </w:p>
    <w:p>
      <w:pPr>
        <w:jc w:val="both"/>
      </w:pPr>
    </w:p>
    <w:p>
      <w:pPr>
        <w:jc w:val="both"/>
      </w:pPr>
      <w:r>
        <w:rPr>
          <w:b/>
          <w:sz w:val="21"/>
        </w:rPr>
        <w:t>九、违约责任与赔偿损失</w:t>
      </w:r>
    </w:p>
    <w:p>
      <w:pPr>
        <w:ind w:firstLine="420"/>
        <w:jc w:val="both"/>
      </w:pPr>
      <w:r>
        <w:rPr>
          <w:sz w:val="21"/>
        </w:rPr>
        <w:t>1.乙方交付的货物、工程/提供的服务不符合本合同规定的，甲方有权拒收，并且乙方须向甲方支付本合同总价5%的违约金。</w:t>
      </w:r>
    </w:p>
    <w:p>
      <w:pPr>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3.甲方无正当理由拒收货物/接受服务，到期拒付货物/服务款项的，甲方向乙方偿付本合同总的5%的违约金。甲方人逾期付款，则每日按本合同总价的3‰向乙方偿付违约金。</w:t>
      </w:r>
    </w:p>
    <w:p>
      <w:pPr>
        <w:ind w:firstLine="420"/>
        <w:jc w:val="both"/>
      </w:pPr>
      <w:r>
        <w:rPr>
          <w:sz w:val="21"/>
        </w:rPr>
        <w:t>4.   对于因甲方原因导致变更、中止或者终止政府采购合同的，甲方应当依照以下合同约定对供应商受到的损失予以赔偿或者补偿：</w:t>
      </w:r>
    </w:p>
    <w:p>
      <w:pPr>
        <w:ind w:firstLine="420"/>
        <w:jc w:val="both"/>
      </w:pPr>
      <w:r>
        <w:rPr>
          <w:sz w:val="21"/>
        </w:rPr>
        <w:t xml:space="preserve">                                                       </w:t>
      </w:r>
    </w:p>
    <w:p>
      <w:pPr>
        <w:ind w:firstLine="420"/>
        <w:jc w:val="both"/>
      </w:pPr>
      <w:r>
        <w:rPr>
          <w:sz w:val="21"/>
        </w:rPr>
        <w:t>5.其它违约责任按《中华人民共和国民法典(合同编)》处理。</w:t>
      </w:r>
    </w:p>
    <w:p>
      <w:pPr>
        <w:jc w:val="both"/>
      </w:pPr>
      <w:r>
        <w:rPr>
          <w:b/>
          <w:sz w:val="21"/>
        </w:rPr>
        <w:t>十、争议的解决</w:t>
      </w:r>
      <w:r>
        <w:rPr>
          <w:sz w:val="21"/>
        </w:rPr>
        <w:t xml:space="preserve">  </w:t>
      </w:r>
      <w:r>
        <w:rPr>
          <w:sz w:val="21"/>
        </w:rPr>
        <w:t>合同执行过程中发生的任何争议，如双方不能通过友好协商解决，按相关法律法规处理。</w:t>
      </w:r>
    </w:p>
    <w:p>
      <w:pPr>
        <w:jc w:val="both"/>
      </w:pPr>
      <w:r>
        <w:rPr>
          <w:b/>
          <w:sz w:val="21"/>
        </w:rPr>
        <w:t>十一、不可抗力</w:t>
      </w:r>
    </w:p>
    <w:p>
      <w:pPr>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十二、税费</w:t>
      </w:r>
    </w:p>
    <w:p>
      <w:pPr>
        <w:jc w:val="both"/>
      </w:pPr>
      <w:r>
        <w:rPr>
          <w:sz w:val="21"/>
        </w:rPr>
        <w:t>1.在中国境内、外发生的与本合同执行有关的一切税费均由乙方负担。</w:t>
      </w:r>
    </w:p>
    <w:p>
      <w:pPr>
        <w:jc w:val="both"/>
      </w:pPr>
      <w:r>
        <w:rPr>
          <w:b/>
          <w:sz w:val="21"/>
        </w:rPr>
        <w:t>十三、</w:t>
      </w:r>
      <w:r>
        <w:rPr>
          <w:sz w:val="21"/>
        </w:rPr>
        <w:t xml:space="preserve"> </w:t>
      </w:r>
      <w:r>
        <w:rPr>
          <w:b/>
          <w:sz w:val="21"/>
        </w:rPr>
        <w:t>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十四、</w:t>
      </w:r>
      <w:r>
        <w:rPr>
          <w:sz w:val="21"/>
        </w:rPr>
        <w:t xml:space="preserve"> </w:t>
      </w:r>
      <w:r>
        <w:rPr>
          <w:b/>
          <w:sz w:val="21"/>
        </w:rPr>
        <w:t>合同生效</w:t>
      </w:r>
    </w:p>
    <w:p>
      <w:pPr>
        <w:jc w:val="both"/>
      </w:pPr>
      <w:r>
        <w:rPr>
          <w:sz w:val="21"/>
        </w:rPr>
        <w:t>1.本合同在甲乙双方法人代表或其授权代表签字盖章后生效。</w:t>
      </w:r>
    </w:p>
    <w:p>
      <w:pPr>
        <w:jc w:val="both"/>
      </w:pPr>
      <w:r>
        <w:rPr>
          <w:sz w:val="21"/>
        </w:rPr>
        <w:t>2.合同一式   份。</w:t>
      </w:r>
    </w:p>
    <w:p>
      <w:pPr>
        <w:jc w:val="both"/>
      </w:pPr>
      <w:r>
        <w:rPr>
          <w:sz w:val="21"/>
        </w:rPr>
        <w:t xml:space="preserve"> </w:t>
      </w:r>
    </w:p>
    <w:p>
      <w:pPr>
        <w:jc w:val="both"/>
      </w:pPr>
      <w:r>
        <w:rPr>
          <w:b/>
          <w:sz w:val="21"/>
        </w:rPr>
        <w:t>甲方（盖章）：乙方（盖章）：</w:t>
      </w:r>
    </w:p>
    <w:p>
      <w:pPr>
        <w:jc w:val="both"/>
      </w:pPr>
      <w:r>
        <w:rPr>
          <w:b/>
          <w:sz w:val="21"/>
        </w:rPr>
        <w:t>代表：代表：</w:t>
      </w:r>
    </w:p>
    <w:p>
      <w:pPr>
        <w:jc w:val="both"/>
      </w:pPr>
      <w:r>
        <w:rPr>
          <w:sz w:val="21"/>
        </w:rPr>
        <w:t>签定地点：</w:t>
      </w:r>
    </w:p>
    <w:p>
      <w:pPr>
        <w:jc w:val="both"/>
      </w:pPr>
      <w:r>
        <w:rPr>
          <w:sz w:val="21"/>
        </w:rPr>
        <w:t>签定日期：　　　年　　月　　日签定日期：　　　年　　月　　日</w:t>
      </w:r>
    </w:p>
    <w:p>
      <w:pPr>
        <w:jc w:val="both"/>
      </w:pPr>
      <w:r>
        <w:rPr>
          <w:sz w:val="21"/>
        </w:rPr>
        <w:t>开户名称：</w:t>
      </w:r>
    </w:p>
    <w:p>
      <w:pPr>
        <w:jc w:val="both"/>
      </w:pPr>
      <w:r>
        <w:rPr>
          <w:sz w:val="21"/>
        </w:rPr>
        <w:t>银行帐号：</w:t>
      </w:r>
    </w:p>
    <w:p>
      <w:pPr>
        <w:jc w:val="both"/>
      </w:pPr>
      <w:r>
        <w:rPr>
          <w:sz w:val="21"/>
        </w:rPr>
        <w:t>开</w:t>
      </w:r>
      <w:r>
        <w:rPr>
          <w:sz w:val="21"/>
        </w:rPr>
        <w:t>户</w:t>
      </w:r>
      <w:r>
        <w:rPr>
          <w:sz w:val="21"/>
        </w:rPr>
        <w:t>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441900022-2023-00239</w:t>
      </w:r>
    </w:p>
    <w:p>
      <w:pPr>
        <w:jc w:val="center"/>
      </w:pPr>
      <w:r>
        <w:rPr>
          <w:b/>
          <w:sz w:val="24"/>
        </w:rPr>
        <w:t>采购项目编号：</w:t>
      </w:r>
      <w:r>
        <w:rPr>
          <w:b/>
          <w:sz w:val="24"/>
        </w:rPr>
        <w:t>441900022-2023-00239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w:t>
      </w:r>
      <w:r>
        <w:rPr>
          <w:u w:val="single"/>
        </w:rPr>
        <w:t>黄江镇第一小学家具项目</w:t>
      </w:r>
      <w:r>
        <w:rPr>
          <w:u w:val="single"/>
        </w:rPr>
        <w:t>”</w:t>
      </w:r>
      <w:r>
        <w:rPr/>
        <w:t>项目的招标[采购项目编号为：</w:t>
      </w:r>
      <w:r>
        <w:rPr>
          <w:u w:val="single"/>
        </w:rPr>
        <w:t>441900022-2023-00239</w:t>
      </w:r>
      <w:r>
        <w:rPr/>
        <w:t>]，我方愿参与投标。</w:t>
      </w:r>
    </w:p>
    <w:p>
      <w:pPr>
        <w:ind w:firstLine="480"/>
      </w:pPr>
      <w:r>
        <w:rPr/>
        <w:t>我方确认收到贵方提供的</w:t>
      </w:r>
      <w:r>
        <w:rPr>
          <w:u w:val="single"/>
        </w:rPr>
        <w:t>“</w:t>
      </w:r>
      <w:r>
        <w:rPr>
          <w:u w:val="single"/>
        </w:rPr>
        <w:t>黄江镇第一小学家具项目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黄江镇第一小学家具项目</w:t>
      </w:r>
      <w:r>
        <w:rPr/>
        <w:t>”项目采购[采购项目编号为</w:t>
      </w:r>
      <w:r>
        <w:rPr/>
        <w:t>441900022-2023-00239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东莞市黄江镇教育管理中心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黄江镇第一小学家具项目</w:t>
      </w:r>
      <w:r>
        <w:rPr/>
        <w:t>招标中获中标（采购项目编号：</w:t>
      </w:r>
      <w:r>
        <w:rPr/>
        <w:t>441900022-2023-00239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黄江镇第一小学家具项目</w:t>
      </w:r>
      <w:r>
        <w:rPr/>
        <w:t>”项目（采购项目编号：</w:t>
      </w:r>
      <w:r>
        <w:rPr/>
        <w:t>441900022-2023-00239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