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eastAsia="zh-CN" w:bidi="ar-SA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32"/>
          <w:lang w:val="en-US" w:eastAsia="zh-CN"/>
        </w:rPr>
        <w:t>退役军人就业创业培训承训机构标准清单列表</w:t>
      </w:r>
    </w:p>
    <w:tbl>
      <w:tblPr>
        <w:tblStyle w:val="8"/>
        <w:tblpPr w:leftFromText="180" w:rightFromText="180" w:vertAnchor="text" w:horzAnchor="page" w:tblpXSpec="center" w:tblpY="302"/>
        <w:tblOverlap w:val="never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980"/>
        <w:gridCol w:w="1148"/>
        <w:gridCol w:w="4252"/>
        <w:gridCol w:w="3345"/>
        <w:gridCol w:w="4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应符合标准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</w:p>
        </w:tc>
        <w:tc>
          <w:tcPr>
            <w:tcW w:w="37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认定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具有独立承担民事责任的民办非企业法人或者具备独立法人资格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不符合要求取消其承训资格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法人或其他组织的营业执照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具有法定培训资质，取得政府相关行政部门颁发的培训许可证，在规定范围内开展培训项目；或经政府行政部门认定，具备承接政府补贴性培训项目资质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有法定培训资质或承接政府补贴性培训项目资质，不符合要求取消其承训资格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培训资质证明或承接政府补贴性培训项目资质证明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建立专门的退役士兵学员教育服务管理部门，并设有固定的办公场所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有成立教育服务管理部门，有固定办公场所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教育服务管理部门办公场所照片，部门人员名单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有指定的部门负责人，并配备至少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名以上专职工作人员负责教育培训日常工作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有部门负责人，配备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名专职工作人员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部门负责人和专职工作人员名册、工资发放单等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</w:p>
        </w:tc>
        <w:tc>
          <w:tcPr>
            <w:tcW w:w="37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有与当期培训学员规模相适应的理论教学教室，有技能培训需求的需同时拥有理论教室和实训操作场地，符合环保、安全、消防、卫生等规定，满足学员在培训期内的学习需求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有理论教室（有技能培训需求的需同时拥有理论教室和实训操作场地，生均使用场地面积=教室总面积/当期培训学员人数），生均场地面积合计超过</w:t>
            </w: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实地考察（或提供当年培训视频、照片）、每期培训学员人数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配备多媒体设备和网络信息培训设备，教学仪器设备运转正常，定期得到维护；适应性培训开展保密教育，还需配套相关的安全保密设施，保证涉密培训内容不外泄外露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有配备多媒体和网络信息培训设备，教学仪器设备运转正常，定期进行维护，适应性培训开展保密教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实地考察、维护记录、照片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有稳定的师资队伍，每门培训课程至少有一名专业培训教师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每门培训课程均配置专业教师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课程表、教师名册及任教课程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培训教师拥有本科以上学历或从事相关专业领域工作满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年或中级以上专业技术资格或同等专业水平，取得与其教学岗位相适应的技能资格证书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教师全部拥有本科以上学历或中级职称以上或符合其他要求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教师名册、教师学历证书或职称证书、相关工作经验证明材料等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期限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建立完善的考勤登记制度，确保参训学员培训期间线上线下平均到课率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平均到课率达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培训期间学员上课签到记录、考勤表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理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培训时长不少于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培训时长达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学时及以上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培训课程安排表、线下学员签到记录、线上e学院上课记录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线上线下培训方式相结合，其中线下集中培训学时不得少于总学时的一半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线下集中培训学时不少于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学时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培训课程安排表、学员签到记录、线上课程视频、线下培训课件等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培训内容包括但不限于思想政治教育、安全保密教育、退役政策宣讲、法律法规普及、职业指导、心理调试、人才测评和培训就业推荐等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培训内容全部符合要求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培训课程安排表、学员签到记录、线上课程视频、线下培训课件等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根据培训内容，为学员提供培训教材或资料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有为学员提供教材或资料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培训教材或资料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培训完成后，对学员开展适应性培训考评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培训结束，组织学员进行考评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考评可通过各种形式开展，如结合学员日常表现（作业）、培训结束学员培训心得体会、对学员开展适应性培训调查问卷等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学员考评合格后，发放结业证书，举办结业典礼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为考评合格的学员发放结业证书，举办结业典礼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考生申领结业证书记录、结业典礼照片等证明材料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2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理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对每年培训工作进行书面工作总结，形成教学管理台账，台账内容包括培训计划、培训方案、学员手册、学员出勤率、学员评估等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对该年度适应性培训工作形成书面工作总结，且内容包括实施情况、存在问题及下一步建议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适应性培训工作总结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2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就业服务保障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建立就业创业工作长效机制，至少配备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名专业职业指导人员，为学员提供就业创业指导服务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建立就业创业工作长效机制，且配备专业职业指导人员开展指导服务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就业创业工作长效机制、职业指导人员名册、开展就业创业指导服务记录等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与至少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个行业、企业建立协作关系，搭建实习实训基地顶岗实习平台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个以上行业企业建立顶岗实习平台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与行业企业签订的相关合作协议、合同等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2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就业服务保障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结合各地地方特色，围绕至少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个行业，推行“订单式”“定向式”“定岗式”培训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个以上重点行业签订“订单式”“定向式”“定岗式”培训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与行业企业签订的相关合作协议、合同等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开展学员就业创业工作成效宣传报道工作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开展宣传报道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宣传报道文章等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为参训学员提供就业推荐服务，并有推荐就业成功案例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有提高就业推荐服务且有成功案例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就业推荐服务、成功推荐案例等相关记录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每期实际参训学员的就业率不低于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学员就业率不低于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85%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学员就业劳动合同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2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就业服务保障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按照相关规定，制定生活补助费发放制度，发放规范及时并有记录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生活补贴发放及时且规范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生活补贴发放记录、学员考勤记录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按照《专项资金管理办法》，项目资金做到专款专用，严禁挪用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专项资金的预算拨付有完整的审批程序和手续、符合项目预算批复规定的用途、不存在截留、挤占、挪用、虚列支出等情况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专项资金目录清单、资金拨付手续合规性证明等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8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2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培训经费保障</w:t>
            </w:r>
          </w:p>
        </w:tc>
        <w:tc>
          <w:tcPr>
            <w:tcW w:w="37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</w:t>
            </w:r>
          </w:p>
        </w:tc>
        <w:tc>
          <w:tcPr>
            <w:tcW w:w="1397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建立该项补助资金收支明细台账，做到账表相符，确保补助资金用于退役士兵教育培训所需的学杂费、住宿费、职业技能鉴定费、生活补助费等方面（不得用于弥补学校的亏损和偿还银行贷款或其他方面的支出）</w:t>
            </w:r>
          </w:p>
        </w:tc>
        <w:tc>
          <w:tcPr>
            <w:tcW w:w="10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建立相关台账</w:t>
            </w:r>
          </w:p>
        </w:tc>
        <w:tc>
          <w:tcPr>
            <w:tcW w:w="161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收支明细台账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0" w:footer="1304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6C9BCF-AA25-4EFD-83CC-F20C012337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7E5A1B0-D848-4F97-B601-124BB3C36C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F51CD6A-9BB9-4457-A611-54B77FBD90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adjustRightInd w:val="0"/>
                            <w:ind w:left="210" w:leftChars="100" w:right="210" w:rightChars="100"/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1O7B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adjustRightInd w:val="0"/>
                      <w:ind w:left="210" w:leftChars="100" w:right="210" w:rightChars="100"/>
                      <w:rPr>
                        <w:rFonts w:hint="eastAsia"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OWNjOTM4YTlhMWVkOTM5ODVkODkzZGRkNDZmMWUifQ=="/>
    <w:docVar w:name="KGWebUrl" w:val="https://xtbgsafe.gdzwfw.gov.cn/rz_styjroa//newoa/missive/kinggridOfficeServer.do?method=officeProcess"/>
  </w:docVars>
  <w:rsids>
    <w:rsidRoot w:val="49915609"/>
    <w:rsid w:val="087A397A"/>
    <w:rsid w:val="0BA462E9"/>
    <w:rsid w:val="0C162666"/>
    <w:rsid w:val="0D485C3C"/>
    <w:rsid w:val="101D47C5"/>
    <w:rsid w:val="14414227"/>
    <w:rsid w:val="156330CE"/>
    <w:rsid w:val="1D062247"/>
    <w:rsid w:val="248765DA"/>
    <w:rsid w:val="2AA85836"/>
    <w:rsid w:val="362F5BC2"/>
    <w:rsid w:val="36EF52BB"/>
    <w:rsid w:val="376A7A2A"/>
    <w:rsid w:val="434F4C53"/>
    <w:rsid w:val="47AB34F4"/>
    <w:rsid w:val="49915609"/>
    <w:rsid w:val="4FEDEA1D"/>
    <w:rsid w:val="506E53C9"/>
    <w:rsid w:val="56815ACA"/>
    <w:rsid w:val="57F7A8CB"/>
    <w:rsid w:val="59B2750B"/>
    <w:rsid w:val="5A6A0DA5"/>
    <w:rsid w:val="5BB23E37"/>
    <w:rsid w:val="635A4FD5"/>
    <w:rsid w:val="64631D0A"/>
    <w:rsid w:val="680D3351"/>
    <w:rsid w:val="6C2A6B7E"/>
    <w:rsid w:val="6D1F2057"/>
    <w:rsid w:val="6FF92064"/>
    <w:rsid w:val="7BE67480"/>
    <w:rsid w:val="7E547459"/>
    <w:rsid w:val="C3E745BE"/>
    <w:rsid w:val="CCDBDA75"/>
    <w:rsid w:val="DDEFE901"/>
    <w:rsid w:val="EFFCCBA7"/>
    <w:rsid w:val="F1FEF870"/>
    <w:rsid w:val="F4DF55D9"/>
    <w:rsid w:val="F9FF544E"/>
    <w:rsid w:val="FB7F6B88"/>
    <w:rsid w:val="FDFFD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qFormat/>
    <w:uiPriority w:val="0"/>
    <w:pPr>
      <w:widowControl w:val="0"/>
      <w:spacing w:after="120"/>
      <w:ind w:left="420" w:leftChars="20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11335</Words>
  <Characters>11984</Characters>
  <Lines>0</Lines>
  <Paragraphs>0</Paragraphs>
  <TotalTime>312</TotalTime>
  <ScaleCrop>false</ScaleCrop>
  <LinksUpToDate>false</LinksUpToDate>
  <CharactersWithSpaces>12041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2023-04-08T23:08:00Z</dcterms:created>
  <dc:creator>李春天</dc:creator>
  <cp:lastModifiedBy>王可嫣</cp:lastModifiedBy>
  <cp:lastPrinted>2023-06-07T01:42:17Z</cp:lastPrinted>
  <dcterms:modified xsi:type="dcterms:W3CDTF">2023-06-07T06:52:13Z</dcterms:modified>
  <dc:title>广东省退役军人事务厅关于开展退役士兵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4B596CE996A74CB49596ED8694B37246</vt:lpwstr>
  </property>
</Properties>
</file>