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ind w:firstLine="482"/>
        <w:rPr>
          <w:sz w:val="24"/>
        </w:rPr>
      </w:pPr>
    </w:p>
    <w:p>
      <w:pPr>
        <w:ind w:firstLine="560"/>
      </w:pPr>
    </w:p>
    <w:p>
      <w:pPr>
        <w:ind w:firstLine="560"/>
      </w:pPr>
    </w:p>
    <w:p>
      <w:pPr>
        <w:ind w:firstLine="560"/>
      </w:pPr>
    </w:p>
    <w:p>
      <w:pPr>
        <w:ind w:firstLine="560"/>
      </w:pPr>
    </w:p>
    <w:p>
      <w:pPr>
        <w:spacing w:line="240" w:lineRule="auto"/>
        <w:ind w:firstLine="0" w:firstLineChars="0"/>
        <w:jc w:val="center"/>
        <w:rPr>
          <w:rFonts w:eastAsia="华文中宋"/>
          <w:b/>
          <w:sz w:val="48"/>
          <w:szCs w:val="48"/>
        </w:rPr>
      </w:pPr>
      <w:bookmarkStart w:id="0" w:name="_Toc85526374"/>
      <w:bookmarkStart w:id="1" w:name="_Toc24912"/>
      <w:bookmarkStart w:id="2" w:name="_Toc10676"/>
      <w:bookmarkStart w:id="3" w:name="_Toc10947"/>
      <w:bookmarkStart w:id="4" w:name="_Toc23470"/>
      <w:r>
        <w:rPr>
          <w:rFonts w:hint="eastAsia" w:eastAsia="华文中宋"/>
          <w:b/>
          <w:sz w:val="48"/>
          <w:szCs w:val="48"/>
        </w:rPr>
        <w:t>东莞市石排镇2</w:t>
      </w:r>
      <w:r>
        <w:rPr>
          <w:rFonts w:eastAsia="华文中宋"/>
          <w:b/>
          <w:sz w:val="48"/>
          <w:szCs w:val="48"/>
        </w:rPr>
        <w:t>02</w:t>
      </w:r>
      <w:r>
        <w:rPr>
          <w:rFonts w:hint="eastAsia" w:eastAsia="华文中宋"/>
          <w:b/>
          <w:sz w:val="48"/>
          <w:szCs w:val="48"/>
        </w:rPr>
        <w:t>2年度</w:t>
      </w:r>
      <w:bookmarkEnd w:id="0"/>
      <w:bookmarkStart w:id="5" w:name="_Toc85526375"/>
      <w:r>
        <w:rPr>
          <w:rFonts w:hint="eastAsia" w:eastAsia="华文中宋"/>
          <w:b/>
          <w:sz w:val="48"/>
          <w:szCs w:val="48"/>
        </w:rPr>
        <w:t>土地征收</w:t>
      </w:r>
      <w:bookmarkEnd w:id="1"/>
      <w:bookmarkEnd w:id="2"/>
      <w:bookmarkEnd w:id="3"/>
      <w:bookmarkEnd w:id="4"/>
    </w:p>
    <w:p>
      <w:pPr>
        <w:spacing w:line="240" w:lineRule="auto"/>
        <w:ind w:firstLine="0" w:firstLineChars="0"/>
        <w:jc w:val="center"/>
        <w:rPr>
          <w:rFonts w:eastAsia="华文中宋"/>
          <w:b/>
          <w:sz w:val="48"/>
          <w:szCs w:val="48"/>
        </w:rPr>
      </w:pPr>
      <w:r>
        <w:rPr>
          <w:rFonts w:hint="eastAsia" w:eastAsia="华文中宋"/>
          <w:b/>
          <w:sz w:val="48"/>
          <w:szCs w:val="48"/>
        </w:rPr>
        <w:t>成片开发方案</w:t>
      </w:r>
      <w:bookmarkEnd w:id="5"/>
      <w:r>
        <w:rPr>
          <w:rFonts w:hint="eastAsia" w:eastAsia="华文中宋"/>
          <w:b/>
          <w:sz w:val="48"/>
          <w:szCs w:val="48"/>
        </w:rPr>
        <w:t>（公示草案）</w:t>
      </w:r>
    </w:p>
    <w:p>
      <w:pPr>
        <w:pStyle w:val="2"/>
        <w:ind w:firstLine="961"/>
        <w:rPr>
          <w:rFonts w:eastAsia="华文中宋"/>
          <w:b/>
          <w:sz w:val="48"/>
          <w:szCs w:val="48"/>
        </w:rPr>
      </w:pPr>
    </w:p>
    <w:p>
      <w:pPr>
        <w:pStyle w:val="2"/>
        <w:ind w:firstLine="961"/>
        <w:rPr>
          <w:rFonts w:eastAsia="华文中宋"/>
          <w:b/>
          <w:sz w:val="48"/>
          <w:szCs w:val="48"/>
        </w:rPr>
      </w:pPr>
    </w:p>
    <w:p>
      <w:pPr>
        <w:pStyle w:val="2"/>
        <w:ind w:firstLine="961"/>
        <w:rPr>
          <w:rFonts w:eastAsia="华文中宋"/>
          <w:b/>
          <w:sz w:val="48"/>
          <w:szCs w:val="48"/>
        </w:rPr>
      </w:pPr>
    </w:p>
    <w:p>
      <w:pPr>
        <w:pStyle w:val="2"/>
        <w:ind w:firstLine="961"/>
        <w:rPr>
          <w:rFonts w:eastAsia="华文中宋"/>
          <w:b/>
          <w:sz w:val="48"/>
          <w:szCs w:val="48"/>
        </w:rPr>
      </w:pPr>
    </w:p>
    <w:p>
      <w:pPr>
        <w:pStyle w:val="2"/>
        <w:ind w:firstLine="961"/>
        <w:rPr>
          <w:rFonts w:eastAsia="华文中宋"/>
          <w:b/>
          <w:sz w:val="48"/>
          <w:szCs w:val="48"/>
        </w:rPr>
      </w:pPr>
    </w:p>
    <w:p>
      <w:pPr>
        <w:pStyle w:val="2"/>
        <w:ind w:firstLine="961"/>
        <w:rPr>
          <w:rFonts w:eastAsia="华文中宋"/>
          <w:b/>
          <w:sz w:val="48"/>
          <w:szCs w:val="48"/>
        </w:rPr>
      </w:pPr>
    </w:p>
    <w:p>
      <w:pPr>
        <w:pStyle w:val="2"/>
        <w:ind w:firstLine="961"/>
        <w:rPr>
          <w:rFonts w:eastAsia="华文中宋"/>
          <w:b/>
          <w:sz w:val="48"/>
          <w:szCs w:val="48"/>
        </w:rPr>
      </w:pPr>
    </w:p>
    <w:p>
      <w:pPr>
        <w:pStyle w:val="2"/>
        <w:ind w:firstLine="961"/>
        <w:rPr>
          <w:rFonts w:eastAsia="华文中宋"/>
          <w:b/>
          <w:sz w:val="48"/>
          <w:szCs w:val="48"/>
        </w:rPr>
      </w:pPr>
    </w:p>
    <w:p>
      <w:pPr>
        <w:pStyle w:val="2"/>
        <w:spacing w:before="60" w:after="20" w:line="240" w:lineRule="auto"/>
        <w:ind w:firstLine="0" w:firstLineChars="0"/>
        <w:jc w:val="center"/>
        <w:rPr>
          <w:rFonts w:ascii="黑体" w:hAnsi="黑体" w:eastAsia="黑体" w:cs="仿宋"/>
          <w:b/>
          <w:bCs/>
          <w:sz w:val="30"/>
          <w:szCs w:val="30"/>
        </w:rPr>
      </w:pPr>
      <w:r>
        <w:rPr>
          <w:rFonts w:hint="eastAsia" w:ascii="黑体" w:hAnsi="黑体" w:eastAsia="黑体" w:cs="仿宋"/>
          <w:b/>
          <w:bCs/>
          <w:spacing w:val="0"/>
          <w:kern w:val="0"/>
          <w:sz w:val="30"/>
          <w:szCs w:val="30"/>
          <w:fitText w:val="2100" w:id="1132688553"/>
        </w:rPr>
        <w:t>石排镇人民政府</w:t>
      </w:r>
    </w:p>
    <w:p>
      <w:pPr>
        <w:pStyle w:val="2"/>
        <w:spacing w:before="20" w:after="60" w:line="240" w:lineRule="auto"/>
        <w:ind w:firstLine="0" w:firstLineChars="0"/>
        <w:jc w:val="center"/>
        <w:rPr>
          <w:rFonts w:ascii="黑体" w:hAnsi="黑体" w:eastAsia="黑体" w:cs="仿宋"/>
          <w:b/>
          <w:bCs/>
          <w:sz w:val="30"/>
          <w:szCs w:val="30"/>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340" w:gutter="0"/>
          <w:pgNumType w:fmt="upperRoman" w:start="1"/>
          <w:cols w:space="720" w:num="1"/>
          <w:titlePg/>
          <w:docGrid w:type="lines" w:linePitch="381" w:charSpace="0"/>
        </w:sectPr>
      </w:pPr>
      <w:r>
        <w:rPr>
          <w:rFonts w:hint="eastAsia" w:ascii="黑体" w:hAnsi="黑体" w:eastAsia="黑体" w:cs="仿宋"/>
          <w:b/>
          <w:bCs/>
          <w:sz w:val="30"/>
          <w:szCs w:val="30"/>
        </w:rPr>
        <w:t>2022年9月</w:t>
      </w:r>
    </w:p>
    <w:p>
      <w:pPr>
        <w:spacing w:before="98" w:after="98"/>
        <w:ind w:firstLine="0" w:firstLineChars="0"/>
        <w:sectPr>
          <w:headerReference r:id="rId11" w:type="default"/>
          <w:footerReference r:id="rId12" w:type="default"/>
          <w:type w:val="continuous"/>
          <w:pgSz w:w="11906" w:h="16838"/>
          <w:pgMar w:top="720" w:right="720" w:bottom="720" w:left="720" w:header="851" w:footer="850" w:gutter="0"/>
          <w:cols w:space="0" w:num="1"/>
          <w:docGrid w:type="lines" w:linePitch="395" w:charSpace="0"/>
        </w:sectPr>
      </w:pPr>
      <w:bookmarkStart w:id="6" w:name="_Toc87878824"/>
      <w:bookmarkStart w:id="7" w:name="_Toc69918884"/>
      <w:bookmarkStart w:id="8" w:name="_Toc69918845"/>
      <w:bookmarkStart w:id="9" w:name="_Toc86266560"/>
    </w:p>
    <w:p>
      <w:pPr>
        <w:pStyle w:val="29"/>
        <w:ind w:firstLine="560"/>
        <w:jc w:val="center"/>
        <w:rPr>
          <w:rFonts w:ascii="黑体" w:hAnsi="黑体" w:eastAsia="黑体"/>
          <w:color w:val="auto"/>
        </w:rPr>
      </w:pPr>
      <w:bookmarkStart w:id="10" w:name="_Toc115364054"/>
      <w:r>
        <w:rPr>
          <w:rFonts w:ascii="黑体" w:hAnsi="黑体" w:eastAsia="黑体"/>
          <w:color w:val="auto"/>
          <w:lang w:val="zh-CN"/>
        </w:rPr>
        <w:t>目</w:t>
      </w:r>
      <w:r>
        <w:rPr>
          <w:rFonts w:hint="eastAsia" w:ascii="黑体" w:hAnsi="黑体" w:eastAsia="黑体"/>
          <w:color w:val="auto"/>
          <w:lang w:val="zh-CN"/>
        </w:rPr>
        <w:t xml:space="preserve"> </w:t>
      </w:r>
      <w:r>
        <w:rPr>
          <w:rFonts w:ascii="黑体" w:hAnsi="黑体" w:eastAsia="黑体"/>
          <w:color w:val="auto"/>
          <w:lang w:val="zh-CN"/>
        </w:rPr>
        <w:t>录</w:t>
      </w:r>
    </w:p>
    <w:p>
      <w:pPr>
        <w:pStyle w:val="12"/>
        <w:spacing w:line="360" w:lineRule="auto"/>
        <w:rPr>
          <w:rFonts w:ascii="等线" w:hAnsi="等线" w:cs="宋体"/>
          <w:sz w:val="28"/>
          <w:szCs w:val="28"/>
        </w:rPr>
      </w:pPr>
      <w:r>
        <w:rPr>
          <w:b w:val="0"/>
        </w:rPr>
        <w:fldChar w:fldCharType="begin"/>
      </w:r>
      <w:r>
        <w:rPr>
          <w:b w:val="0"/>
        </w:rPr>
        <w:instrText xml:space="preserve"> TOC \o "1-3" \h \z \u </w:instrText>
      </w:r>
      <w:r>
        <w:rPr>
          <w:b w:val="0"/>
        </w:rPr>
        <w:fldChar w:fldCharType="separate"/>
      </w:r>
      <w:r>
        <w:fldChar w:fldCharType="begin"/>
      </w:r>
      <w:r>
        <w:instrText xml:space="preserve"> HYPERLINK \l "_Toc115364422" </w:instrText>
      </w:r>
      <w:r>
        <w:fldChar w:fldCharType="separate"/>
      </w:r>
      <w:r>
        <w:rPr>
          <w:rStyle w:val="18"/>
          <w:sz w:val="28"/>
          <w:szCs w:val="28"/>
        </w:rPr>
        <w:t>一、编制背景</w:t>
      </w:r>
      <w:r>
        <w:rPr>
          <w:sz w:val="28"/>
          <w:szCs w:val="28"/>
        </w:rPr>
        <w:tab/>
      </w:r>
      <w:r>
        <w:rPr>
          <w:sz w:val="28"/>
          <w:szCs w:val="28"/>
        </w:rPr>
        <w:fldChar w:fldCharType="end"/>
      </w:r>
      <w:r>
        <w:rPr>
          <w:rFonts w:hint="eastAsia"/>
          <w:sz w:val="28"/>
          <w:szCs w:val="28"/>
        </w:rPr>
        <w:t>1</w:t>
      </w:r>
    </w:p>
    <w:p>
      <w:pPr>
        <w:pStyle w:val="12"/>
        <w:spacing w:line="360" w:lineRule="auto"/>
        <w:rPr>
          <w:rFonts w:ascii="等线" w:hAnsi="等线" w:eastAsia="等线" w:cs="宋体"/>
          <w:sz w:val="28"/>
          <w:szCs w:val="28"/>
        </w:rPr>
      </w:pPr>
      <w:r>
        <w:fldChar w:fldCharType="begin"/>
      </w:r>
      <w:r>
        <w:instrText xml:space="preserve"> HYPERLINK \l "_Toc115364423" </w:instrText>
      </w:r>
      <w:r>
        <w:fldChar w:fldCharType="separate"/>
      </w:r>
      <w:r>
        <w:rPr>
          <w:rStyle w:val="18"/>
          <w:sz w:val="28"/>
          <w:szCs w:val="28"/>
        </w:rPr>
        <w:t>二、编制依据</w:t>
      </w:r>
      <w:r>
        <w:rPr>
          <w:sz w:val="28"/>
          <w:szCs w:val="28"/>
        </w:rPr>
        <w:tab/>
      </w:r>
      <w:r>
        <w:rPr>
          <w:sz w:val="28"/>
          <w:szCs w:val="28"/>
        </w:rPr>
        <w:fldChar w:fldCharType="begin"/>
      </w:r>
      <w:r>
        <w:rPr>
          <w:sz w:val="28"/>
          <w:szCs w:val="28"/>
        </w:rPr>
        <w:instrText xml:space="preserve"> PAGEREF _Toc115364423 \h </w:instrText>
      </w:r>
      <w:r>
        <w:rPr>
          <w:sz w:val="28"/>
          <w:szCs w:val="28"/>
        </w:rPr>
        <w:fldChar w:fldCharType="separate"/>
      </w:r>
      <w:r>
        <w:rPr>
          <w:sz w:val="28"/>
          <w:szCs w:val="28"/>
        </w:rPr>
        <w:t>2</w:t>
      </w:r>
      <w:r>
        <w:rPr>
          <w:sz w:val="28"/>
          <w:szCs w:val="28"/>
        </w:rPr>
        <w:fldChar w:fldCharType="end"/>
      </w:r>
      <w:r>
        <w:rPr>
          <w:sz w:val="28"/>
          <w:szCs w:val="28"/>
        </w:rPr>
        <w:fldChar w:fldCharType="end"/>
      </w:r>
    </w:p>
    <w:p>
      <w:pPr>
        <w:pStyle w:val="12"/>
        <w:spacing w:line="360" w:lineRule="auto"/>
        <w:ind w:firstLine="442" w:firstLineChars="200"/>
        <w:rPr>
          <w:rStyle w:val="18"/>
          <w:b w:val="0"/>
          <w:sz w:val="28"/>
          <w:szCs w:val="28"/>
        </w:rPr>
      </w:pPr>
      <w:r>
        <w:fldChar w:fldCharType="begin"/>
      </w:r>
      <w:r>
        <w:instrText xml:space="preserve"> HYPERLINK \l "_Toc115364424" </w:instrText>
      </w:r>
      <w:r>
        <w:fldChar w:fldCharType="separate"/>
      </w:r>
      <w:r>
        <w:rPr>
          <w:rStyle w:val="18"/>
          <w:b w:val="0"/>
          <w:sz w:val="28"/>
          <w:szCs w:val="28"/>
        </w:rPr>
        <w:t>（一）编制原则</w:t>
      </w:r>
      <w:r>
        <w:rPr>
          <w:rStyle w:val="18"/>
          <w:b w:val="0"/>
          <w:sz w:val="28"/>
          <w:szCs w:val="28"/>
        </w:rPr>
        <w:tab/>
      </w:r>
      <w:r>
        <w:rPr>
          <w:rStyle w:val="18"/>
          <w:b w:val="0"/>
          <w:sz w:val="28"/>
          <w:szCs w:val="28"/>
        </w:rPr>
        <w:fldChar w:fldCharType="begin"/>
      </w:r>
      <w:r>
        <w:rPr>
          <w:rStyle w:val="18"/>
          <w:b w:val="0"/>
          <w:sz w:val="28"/>
          <w:szCs w:val="28"/>
        </w:rPr>
        <w:instrText xml:space="preserve"> PAGEREF _Toc115364424 \h </w:instrText>
      </w:r>
      <w:r>
        <w:rPr>
          <w:rStyle w:val="18"/>
          <w:b w:val="0"/>
          <w:sz w:val="28"/>
          <w:szCs w:val="28"/>
        </w:rPr>
        <w:fldChar w:fldCharType="separate"/>
      </w:r>
      <w:r>
        <w:rPr>
          <w:rStyle w:val="18"/>
          <w:b w:val="0"/>
          <w:sz w:val="28"/>
          <w:szCs w:val="28"/>
        </w:rPr>
        <w:t>2</w:t>
      </w:r>
      <w:r>
        <w:rPr>
          <w:rStyle w:val="18"/>
          <w:b w:val="0"/>
          <w:sz w:val="28"/>
          <w:szCs w:val="28"/>
        </w:rPr>
        <w:fldChar w:fldCharType="end"/>
      </w:r>
      <w:r>
        <w:rPr>
          <w:rStyle w:val="18"/>
          <w:b w:val="0"/>
          <w:sz w:val="28"/>
          <w:szCs w:val="28"/>
        </w:rPr>
        <w:fldChar w:fldCharType="end"/>
      </w:r>
    </w:p>
    <w:p>
      <w:pPr>
        <w:pStyle w:val="12"/>
        <w:spacing w:line="360" w:lineRule="auto"/>
        <w:ind w:firstLine="442" w:firstLineChars="200"/>
        <w:rPr>
          <w:rStyle w:val="18"/>
          <w:b w:val="0"/>
          <w:sz w:val="28"/>
          <w:szCs w:val="28"/>
        </w:rPr>
      </w:pPr>
      <w:r>
        <w:fldChar w:fldCharType="begin"/>
      </w:r>
      <w:r>
        <w:instrText xml:space="preserve"> HYPERLINK \l "_Toc115364429" </w:instrText>
      </w:r>
      <w:r>
        <w:fldChar w:fldCharType="separate"/>
      </w:r>
      <w:r>
        <w:rPr>
          <w:rStyle w:val="18"/>
          <w:b w:val="0"/>
          <w:sz w:val="28"/>
          <w:szCs w:val="28"/>
        </w:rPr>
        <w:t>（二）编制依据</w:t>
      </w:r>
      <w:r>
        <w:rPr>
          <w:rStyle w:val="18"/>
          <w:b w:val="0"/>
          <w:sz w:val="28"/>
          <w:szCs w:val="28"/>
        </w:rPr>
        <w:tab/>
      </w:r>
      <w:r>
        <w:rPr>
          <w:rStyle w:val="18"/>
          <w:b w:val="0"/>
          <w:sz w:val="28"/>
          <w:szCs w:val="28"/>
        </w:rPr>
        <w:fldChar w:fldCharType="begin"/>
      </w:r>
      <w:r>
        <w:rPr>
          <w:rStyle w:val="18"/>
          <w:b w:val="0"/>
          <w:sz w:val="28"/>
          <w:szCs w:val="28"/>
        </w:rPr>
        <w:instrText xml:space="preserve"> PAGEREF _Toc115364429 \h </w:instrText>
      </w:r>
      <w:r>
        <w:rPr>
          <w:rStyle w:val="18"/>
          <w:b w:val="0"/>
          <w:sz w:val="28"/>
          <w:szCs w:val="28"/>
        </w:rPr>
        <w:fldChar w:fldCharType="separate"/>
      </w:r>
      <w:r>
        <w:rPr>
          <w:rStyle w:val="18"/>
          <w:b w:val="0"/>
          <w:sz w:val="28"/>
          <w:szCs w:val="28"/>
        </w:rPr>
        <w:t>3</w:t>
      </w:r>
      <w:r>
        <w:rPr>
          <w:rStyle w:val="18"/>
          <w:b w:val="0"/>
          <w:sz w:val="28"/>
          <w:szCs w:val="28"/>
        </w:rPr>
        <w:fldChar w:fldCharType="end"/>
      </w:r>
      <w:r>
        <w:rPr>
          <w:rStyle w:val="18"/>
          <w:b w:val="0"/>
          <w:sz w:val="28"/>
          <w:szCs w:val="28"/>
        </w:rPr>
        <w:fldChar w:fldCharType="end"/>
      </w:r>
    </w:p>
    <w:p>
      <w:pPr>
        <w:pStyle w:val="12"/>
        <w:spacing w:line="360" w:lineRule="auto"/>
        <w:rPr>
          <w:rStyle w:val="18"/>
          <w:sz w:val="28"/>
          <w:szCs w:val="28"/>
        </w:rPr>
      </w:pPr>
      <w:r>
        <w:fldChar w:fldCharType="begin"/>
      </w:r>
      <w:r>
        <w:instrText xml:space="preserve"> HYPERLINK \l "_Toc115364432" </w:instrText>
      </w:r>
      <w:r>
        <w:fldChar w:fldCharType="separate"/>
      </w:r>
      <w:r>
        <w:rPr>
          <w:rStyle w:val="18"/>
          <w:sz w:val="28"/>
          <w:szCs w:val="28"/>
        </w:rPr>
        <w:t>三、基本情况</w:t>
      </w:r>
      <w:r>
        <w:rPr>
          <w:rStyle w:val="18"/>
          <w:sz w:val="28"/>
          <w:szCs w:val="28"/>
        </w:rPr>
        <w:tab/>
      </w:r>
      <w:r>
        <w:rPr>
          <w:rStyle w:val="18"/>
          <w:sz w:val="28"/>
          <w:szCs w:val="28"/>
        </w:rPr>
        <w:fldChar w:fldCharType="begin"/>
      </w:r>
      <w:r>
        <w:rPr>
          <w:rStyle w:val="18"/>
          <w:sz w:val="28"/>
          <w:szCs w:val="28"/>
        </w:rPr>
        <w:instrText xml:space="preserve"> PAGEREF _Toc115364432 \h </w:instrText>
      </w:r>
      <w:r>
        <w:rPr>
          <w:rStyle w:val="18"/>
          <w:sz w:val="28"/>
          <w:szCs w:val="28"/>
        </w:rPr>
        <w:fldChar w:fldCharType="separate"/>
      </w:r>
      <w:r>
        <w:rPr>
          <w:rStyle w:val="18"/>
          <w:sz w:val="28"/>
          <w:szCs w:val="28"/>
        </w:rPr>
        <w:t>4</w:t>
      </w:r>
      <w:r>
        <w:rPr>
          <w:rStyle w:val="18"/>
          <w:sz w:val="28"/>
          <w:szCs w:val="28"/>
        </w:rPr>
        <w:fldChar w:fldCharType="end"/>
      </w:r>
      <w:r>
        <w:rPr>
          <w:rStyle w:val="18"/>
          <w:sz w:val="28"/>
          <w:szCs w:val="28"/>
        </w:rPr>
        <w:fldChar w:fldCharType="end"/>
      </w:r>
    </w:p>
    <w:p>
      <w:pPr>
        <w:pStyle w:val="12"/>
        <w:spacing w:line="360" w:lineRule="auto"/>
        <w:rPr>
          <w:rStyle w:val="18"/>
          <w:sz w:val="28"/>
          <w:szCs w:val="28"/>
        </w:rPr>
      </w:pPr>
      <w:r>
        <w:fldChar w:fldCharType="begin"/>
      </w:r>
      <w:r>
        <w:instrText xml:space="preserve"> HYPERLINK \l "_Toc115364433" </w:instrText>
      </w:r>
      <w:r>
        <w:fldChar w:fldCharType="separate"/>
      </w:r>
      <w:r>
        <w:rPr>
          <w:rStyle w:val="18"/>
          <w:sz w:val="28"/>
          <w:szCs w:val="28"/>
        </w:rPr>
        <w:t>四、合规性分析</w:t>
      </w:r>
      <w:r>
        <w:rPr>
          <w:rStyle w:val="18"/>
          <w:sz w:val="28"/>
          <w:szCs w:val="28"/>
        </w:rPr>
        <w:tab/>
      </w:r>
      <w:r>
        <w:rPr>
          <w:rStyle w:val="18"/>
          <w:sz w:val="28"/>
          <w:szCs w:val="28"/>
        </w:rPr>
        <w:fldChar w:fldCharType="begin"/>
      </w:r>
      <w:r>
        <w:rPr>
          <w:rStyle w:val="18"/>
          <w:sz w:val="28"/>
          <w:szCs w:val="28"/>
        </w:rPr>
        <w:instrText xml:space="preserve"> PAGEREF _Toc115364433 \h </w:instrText>
      </w:r>
      <w:r>
        <w:rPr>
          <w:rStyle w:val="18"/>
          <w:sz w:val="28"/>
          <w:szCs w:val="28"/>
        </w:rPr>
        <w:fldChar w:fldCharType="separate"/>
      </w:r>
      <w:r>
        <w:rPr>
          <w:rStyle w:val="18"/>
          <w:sz w:val="28"/>
          <w:szCs w:val="28"/>
        </w:rPr>
        <w:t>4</w:t>
      </w:r>
      <w:r>
        <w:rPr>
          <w:rStyle w:val="18"/>
          <w:sz w:val="28"/>
          <w:szCs w:val="28"/>
        </w:rPr>
        <w:fldChar w:fldCharType="end"/>
      </w:r>
      <w:r>
        <w:rPr>
          <w:rStyle w:val="18"/>
          <w:sz w:val="28"/>
          <w:szCs w:val="28"/>
        </w:rPr>
        <w:fldChar w:fldCharType="end"/>
      </w:r>
    </w:p>
    <w:p>
      <w:pPr>
        <w:pStyle w:val="12"/>
        <w:spacing w:line="360" w:lineRule="auto"/>
        <w:rPr>
          <w:rStyle w:val="18"/>
          <w:sz w:val="28"/>
          <w:szCs w:val="28"/>
        </w:rPr>
      </w:pPr>
      <w:r>
        <w:fldChar w:fldCharType="begin"/>
      </w:r>
      <w:r>
        <w:instrText xml:space="preserve"> HYPERLINK \l "_Toc115364434" </w:instrText>
      </w:r>
      <w:r>
        <w:fldChar w:fldCharType="separate"/>
      </w:r>
      <w:r>
        <w:rPr>
          <w:rStyle w:val="18"/>
          <w:sz w:val="28"/>
          <w:szCs w:val="28"/>
        </w:rPr>
        <w:t>五、土地用途与公益性用地情况</w:t>
      </w:r>
      <w:r>
        <w:rPr>
          <w:rStyle w:val="18"/>
          <w:sz w:val="28"/>
          <w:szCs w:val="28"/>
        </w:rPr>
        <w:tab/>
      </w:r>
      <w:r>
        <w:rPr>
          <w:rStyle w:val="18"/>
          <w:sz w:val="28"/>
          <w:szCs w:val="28"/>
        </w:rPr>
        <w:fldChar w:fldCharType="begin"/>
      </w:r>
      <w:r>
        <w:rPr>
          <w:rStyle w:val="18"/>
          <w:sz w:val="28"/>
          <w:szCs w:val="28"/>
        </w:rPr>
        <w:instrText xml:space="preserve"> PAGEREF _Toc115364434 \h </w:instrText>
      </w:r>
      <w:r>
        <w:rPr>
          <w:rStyle w:val="18"/>
          <w:sz w:val="28"/>
          <w:szCs w:val="28"/>
        </w:rPr>
        <w:fldChar w:fldCharType="separate"/>
      </w:r>
      <w:r>
        <w:rPr>
          <w:rStyle w:val="18"/>
          <w:sz w:val="28"/>
          <w:szCs w:val="28"/>
        </w:rPr>
        <w:t>5</w:t>
      </w:r>
      <w:r>
        <w:rPr>
          <w:rStyle w:val="18"/>
          <w:sz w:val="28"/>
          <w:szCs w:val="28"/>
        </w:rPr>
        <w:fldChar w:fldCharType="end"/>
      </w:r>
      <w:r>
        <w:rPr>
          <w:rStyle w:val="18"/>
          <w:sz w:val="28"/>
          <w:szCs w:val="28"/>
        </w:rPr>
        <w:fldChar w:fldCharType="end"/>
      </w:r>
    </w:p>
    <w:p>
      <w:pPr>
        <w:pStyle w:val="12"/>
        <w:spacing w:line="360" w:lineRule="auto"/>
        <w:ind w:firstLine="442" w:firstLineChars="200"/>
        <w:rPr>
          <w:rStyle w:val="18"/>
          <w:b w:val="0"/>
          <w:sz w:val="28"/>
          <w:szCs w:val="28"/>
        </w:rPr>
      </w:pPr>
      <w:r>
        <w:fldChar w:fldCharType="begin"/>
      </w:r>
      <w:r>
        <w:instrText xml:space="preserve"> HYPERLINK \l "_Toc115364435" </w:instrText>
      </w:r>
      <w:r>
        <w:fldChar w:fldCharType="separate"/>
      </w:r>
      <w:r>
        <w:rPr>
          <w:rStyle w:val="18"/>
          <w:b w:val="0"/>
          <w:sz w:val="28"/>
          <w:szCs w:val="28"/>
        </w:rPr>
        <w:t>（一）土地用途</w:t>
      </w:r>
      <w:r>
        <w:rPr>
          <w:rStyle w:val="18"/>
          <w:b w:val="0"/>
          <w:sz w:val="28"/>
          <w:szCs w:val="28"/>
        </w:rPr>
        <w:tab/>
      </w:r>
      <w:r>
        <w:rPr>
          <w:rStyle w:val="18"/>
          <w:b w:val="0"/>
          <w:sz w:val="28"/>
          <w:szCs w:val="28"/>
        </w:rPr>
        <w:fldChar w:fldCharType="begin"/>
      </w:r>
      <w:r>
        <w:rPr>
          <w:rStyle w:val="18"/>
          <w:b w:val="0"/>
          <w:sz w:val="28"/>
          <w:szCs w:val="28"/>
        </w:rPr>
        <w:instrText xml:space="preserve"> PAGEREF _Toc115364435 \h </w:instrText>
      </w:r>
      <w:r>
        <w:rPr>
          <w:rStyle w:val="18"/>
          <w:b w:val="0"/>
          <w:sz w:val="28"/>
          <w:szCs w:val="28"/>
        </w:rPr>
        <w:fldChar w:fldCharType="separate"/>
      </w:r>
      <w:r>
        <w:rPr>
          <w:rStyle w:val="18"/>
          <w:b w:val="0"/>
          <w:sz w:val="28"/>
          <w:szCs w:val="28"/>
        </w:rPr>
        <w:t>5</w:t>
      </w:r>
      <w:r>
        <w:rPr>
          <w:rStyle w:val="18"/>
          <w:b w:val="0"/>
          <w:sz w:val="28"/>
          <w:szCs w:val="28"/>
        </w:rPr>
        <w:fldChar w:fldCharType="end"/>
      </w:r>
      <w:r>
        <w:rPr>
          <w:rStyle w:val="18"/>
          <w:b w:val="0"/>
          <w:sz w:val="28"/>
          <w:szCs w:val="28"/>
        </w:rPr>
        <w:fldChar w:fldCharType="end"/>
      </w:r>
    </w:p>
    <w:p>
      <w:pPr>
        <w:pStyle w:val="12"/>
        <w:spacing w:line="360" w:lineRule="auto"/>
        <w:ind w:firstLine="442" w:firstLineChars="200"/>
        <w:rPr>
          <w:rStyle w:val="18"/>
          <w:b w:val="0"/>
          <w:sz w:val="28"/>
          <w:szCs w:val="28"/>
        </w:rPr>
      </w:pPr>
      <w:r>
        <w:fldChar w:fldCharType="begin"/>
      </w:r>
      <w:r>
        <w:instrText xml:space="preserve"> HYPERLINK \l "_Toc115364436" </w:instrText>
      </w:r>
      <w:r>
        <w:fldChar w:fldCharType="separate"/>
      </w:r>
      <w:r>
        <w:rPr>
          <w:rStyle w:val="18"/>
          <w:b w:val="0"/>
          <w:sz w:val="28"/>
          <w:szCs w:val="28"/>
        </w:rPr>
        <w:t>（二）公益性用地情况</w:t>
      </w:r>
      <w:r>
        <w:rPr>
          <w:rStyle w:val="18"/>
          <w:b w:val="0"/>
          <w:sz w:val="28"/>
          <w:szCs w:val="28"/>
        </w:rPr>
        <w:tab/>
      </w:r>
      <w:r>
        <w:rPr>
          <w:rStyle w:val="18"/>
          <w:b w:val="0"/>
          <w:sz w:val="28"/>
          <w:szCs w:val="28"/>
        </w:rPr>
        <w:fldChar w:fldCharType="begin"/>
      </w:r>
      <w:r>
        <w:rPr>
          <w:rStyle w:val="18"/>
          <w:b w:val="0"/>
          <w:sz w:val="28"/>
          <w:szCs w:val="28"/>
        </w:rPr>
        <w:instrText xml:space="preserve"> PAGEREF _Toc115364436 \h </w:instrText>
      </w:r>
      <w:r>
        <w:rPr>
          <w:rStyle w:val="18"/>
          <w:b w:val="0"/>
          <w:sz w:val="28"/>
          <w:szCs w:val="28"/>
        </w:rPr>
        <w:fldChar w:fldCharType="separate"/>
      </w:r>
      <w:r>
        <w:rPr>
          <w:rStyle w:val="18"/>
          <w:b w:val="0"/>
          <w:sz w:val="28"/>
          <w:szCs w:val="28"/>
        </w:rPr>
        <w:t>6</w:t>
      </w:r>
      <w:r>
        <w:rPr>
          <w:rStyle w:val="18"/>
          <w:b w:val="0"/>
          <w:sz w:val="28"/>
          <w:szCs w:val="28"/>
        </w:rPr>
        <w:fldChar w:fldCharType="end"/>
      </w:r>
      <w:r>
        <w:rPr>
          <w:rStyle w:val="18"/>
          <w:b w:val="0"/>
          <w:sz w:val="28"/>
          <w:szCs w:val="28"/>
        </w:rPr>
        <w:fldChar w:fldCharType="end"/>
      </w:r>
    </w:p>
    <w:p>
      <w:pPr>
        <w:pStyle w:val="12"/>
        <w:spacing w:line="360" w:lineRule="auto"/>
        <w:rPr>
          <w:rStyle w:val="18"/>
          <w:sz w:val="28"/>
          <w:szCs w:val="28"/>
        </w:rPr>
      </w:pPr>
      <w:r>
        <w:fldChar w:fldCharType="begin"/>
      </w:r>
      <w:r>
        <w:instrText xml:space="preserve"> HYPERLINK \l "_Toc115364437" </w:instrText>
      </w:r>
      <w:r>
        <w:fldChar w:fldCharType="separate"/>
      </w:r>
      <w:r>
        <w:rPr>
          <w:rStyle w:val="18"/>
          <w:sz w:val="28"/>
          <w:szCs w:val="28"/>
        </w:rPr>
        <w:t>六、实施计划</w:t>
      </w:r>
      <w:r>
        <w:rPr>
          <w:rStyle w:val="18"/>
          <w:sz w:val="28"/>
          <w:szCs w:val="28"/>
        </w:rPr>
        <w:tab/>
      </w:r>
      <w:r>
        <w:rPr>
          <w:rStyle w:val="18"/>
          <w:sz w:val="28"/>
          <w:szCs w:val="28"/>
        </w:rPr>
        <w:fldChar w:fldCharType="begin"/>
      </w:r>
      <w:r>
        <w:rPr>
          <w:rStyle w:val="18"/>
          <w:sz w:val="28"/>
          <w:szCs w:val="28"/>
        </w:rPr>
        <w:instrText xml:space="preserve"> PAGEREF _Toc115364437 \h </w:instrText>
      </w:r>
      <w:r>
        <w:rPr>
          <w:rStyle w:val="18"/>
          <w:sz w:val="28"/>
          <w:szCs w:val="28"/>
        </w:rPr>
        <w:fldChar w:fldCharType="separate"/>
      </w:r>
      <w:r>
        <w:rPr>
          <w:rStyle w:val="18"/>
          <w:sz w:val="28"/>
          <w:szCs w:val="28"/>
        </w:rPr>
        <w:t>6</w:t>
      </w:r>
      <w:r>
        <w:rPr>
          <w:rStyle w:val="18"/>
          <w:sz w:val="28"/>
          <w:szCs w:val="28"/>
        </w:rPr>
        <w:fldChar w:fldCharType="end"/>
      </w:r>
      <w:r>
        <w:rPr>
          <w:rStyle w:val="18"/>
          <w:sz w:val="28"/>
          <w:szCs w:val="28"/>
        </w:rPr>
        <w:fldChar w:fldCharType="end"/>
      </w:r>
    </w:p>
    <w:p>
      <w:pPr>
        <w:pStyle w:val="12"/>
        <w:spacing w:line="360" w:lineRule="auto"/>
        <w:rPr>
          <w:rStyle w:val="18"/>
          <w:sz w:val="28"/>
          <w:szCs w:val="28"/>
        </w:rPr>
      </w:pPr>
      <w:r>
        <w:fldChar w:fldCharType="begin"/>
      </w:r>
      <w:r>
        <w:instrText xml:space="preserve"> HYPERLINK \l "_Toc115364438" </w:instrText>
      </w:r>
      <w:r>
        <w:fldChar w:fldCharType="separate"/>
      </w:r>
      <w:r>
        <w:rPr>
          <w:rStyle w:val="18"/>
          <w:sz w:val="28"/>
          <w:szCs w:val="28"/>
        </w:rPr>
        <w:t>七、效益评估</w:t>
      </w:r>
      <w:r>
        <w:rPr>
          <w:rStyle w:val="18"/>
          <w:sz w:val="28"/>
          <w:szCs w:val="28"/>
        </w:rPr>
        <w:tab/>
      </w:r>
      <w:r>
        <w:rPr>
          <w:rStyle w:val="18"/>
          <w:sz w:val="28"/>
          <w:szCs w:val="28"/>
        </w:rPr>
        <w:fldChar w:fldCharType="begin"/>
      </w:r>
      <w:r>
        <w:rPr>
          <w:rStyle w:val="18"/>
          <w:sz w:val="28"/>
          <w:szCs w:val="28"/>
        </w:rPr>
        <w:instrText xml:space="preserve"> PAGEREF _Toc115364438 \h </w:instrText>
      </w:r>
      <w:r>
        <w:rPr>
          <w:rStyle w:val="18"/>
          <w:sz w:val="28"/>
          <w:szCs w:val="28"/>
        </w:rPr>
        <w:fldChar w:fldCharType="separate"/>
      </w:r>
      <w:r>
        <w:rPr>
          <w:rStyle w:val="18"/>
          <w:sz w:val="28"/>
          <w:szCs w:val="28"/>
        </w:rPr>
        <w:t>7</w:t>
      </w:r>
      <w:r>
        <w:rPr>
          <w:rStyle w:val="18"/>
          <w:sz w:val="28"/>
          <w:szCs w:val="28"/>
        </w:rPr>
        <w:fldChar w:fldCharType="end"/>
      </w:r>
      <w:r>
        <w:rPr>
          <w:rStyle w:val="18"/>
          <w:sz w:val="28"/>
          <w:szCs w:val="28"/>
        </w:rPr>
        <w:fldChar w:fldCharType="end"/>
      </w:r>
    </w:p>
    <w:p>
      <w:pPr>
        <w:pStyle w:val="12"/>
        <w:spacing w:line="360" w:lineRule="auto"/>
        <w:ind w:firstLine="442" w:firstLineChars="200"/>
        <w:rPr>
          <w:rStyle w:val="18"/>
          <w:b w:val="0"/>
          <w:sz w:val="28"/>
          <w:szCs w:val="28"/>
        </w:rPr>
      </w:pPr>
      <w:r>
        <w:fldChar w:fldCharType="begin"/>
      </w:r>
      <w:r>
        <w:instrText xml:space="preserve"> HYPERLINK \l "_Toc115364439" </w:instrText>
      </w:r>
      <w:r>
        <w:fldChar w:fldCharType="separate"/>
      </w:r>
      <w:r>
        <w:rPr>
          <w:rStyle w:val="18"/>
          <w:b w:val="0"/>
          <w:sz w:val="28"/>
          <w:szCs w:val="28"/>
        </w:rPr>
        <w:t>（一）土地利用效益</w:t>
      </w:r>
      <w:r>
        <w:rPr>
          <w:rStyle w:val="18"/>
          <w:b w:val="0"/>
          <w:sz w:val="28"/>
          <w:szCs w:val="28"/>
        </w:rPr>
        <w:tab/>
      </w:r>
      <w:r>
        <w:rPr>
          <w:rStyle w:val="18"/>
          <w:b w:val="0"/>
          <w:sz w:val="28"/>
          <w:szCs w:val="28"/>
        </w:rPr>
        <w:fldChar w:fldCharType="begin"/>
      </w:r>
      <w:r>
        <w:rPr>
          <w:rStyle w:val="18"/>
          <w:b w:val="0"/>
          <w:sz w:val="28"/>
          <w:szCs w:val="28"/>
        </w:rPr>
        <w:instrText xml:space="preserve"> PAGEREF _Toc115364439 \h </w:instrText>
      </w:r>
      <w:r>
        <w:rPr>
          <w:rStyle w:val="18"/>
          <w:b w:val="0"/>
          <w:sz w:val="28"/>
          <w:szCs w:val="28"/>
        </w:rPr>
        <w:fldChar w:fldCharType="separate"/>
      </w:r>
      <w:r>
        <w:rPr>
          <w:rStyle w:val="18"/>
          <w:b w:val="0"/>
          <w:sz w:val="28"/>
          <w:szCs w:val="28"/>
        </w:rPr>
        <w:t>7</w:t>
      </w:r>
      <w:r>
        <w:rPr>
          <w:rStyle w:val="18"/>
          <w:b w:val="0"/>
          <w:sz w:val="28"/>
          <w:szCs w:val="28"/>
        </w:rPr>
        <w:fldChar w:fldCharType="end"/>
      </w:r>
      <w:r>
        <w:rPr>
          <w:rStyle w:val="18"/>
          <w:b w:val="0"/>
          <w:sz w:val="28"/>
          <w:szCs w:val="28"/>
        </w:rPr>
        <w:fldChar w:fldCharType="end"/>
      </w:r>
    </w:p>
    <w:p>
      <w:pPr>
        <w:pStyle w:val="12"/>
        <w:spacing w:line="360" w:lineRule="auto"/>
        <w:ind w:firstLine="442" w:firstLineChars="200"/>
        <w:rPr>
          <w:rStyle w:val="18"/>
          <w:b w:val="0"/>
          <w:sz w:val="28"/>
          <w:szCs w:val="28"/>
        </w:rPr>
      </w:pPr>
      <w:r>
        <w:fldChar w:fldCharType="begin"/>
      </w:r>
      <w:r>
        <w:instrText xml:space="preserve"> HYPERLINK \l "_Toc115364440" </w:instrText>
      </w:r>
      <w:r>
        <w:fldChar w:fldCharType="separate"/>
      </w:r>
      <w:r>
        <w:rPr>
          <w:rStyle w:val="18"/>
          <w:b w:val="0"/>
          <w:sz w:val="28"/>
          <w:szCs w:val="28"/>
        </w:rPr>
        <w:t>（二）经济效益</w:t>
      </w:r>
      <w:r>
        <w:rPr>
          <w:rStyle w:val="18"/>
          <w:b w:val="0"/>
          <w:sz w:val="28"/>
          <w:szCs w:val="28"/>
        </w:rPr>
        <w:tab/>
      </w:r>
      <w:r>
        <w:rPr>
          <w:rStyle w:val="18"/>
          <w:b w:val="0"/>
          <w:sz w:val="28"/>
          <w:szCs w:val="28"/>
        </w:rPr>
        <w:fldChar w:fldCharType="begin"/>
      </w:r>
      <w:r>
        <w:rPr>
          <w:rStyle w:val="18"/>
          <w:b w:val="0"/>
          <w:sz w:val="28"/>
          <w:szCs w:val="28"/>
        </w:rPr>
        <w:instrText xml:space="preserve"> PAGEREF _Toc115364440 \h </w:instrText>
      </w:r>
      <w:r>
        <w:rPr>
          <w:rStyle w:val="18"/>
          <w:b w:val="0"/>
          <w:sz w:val="28"/>
          <w:szCs w:val="28"/>
        </w:rPr>
        <w:fldChar w:fldCharType="separate"/>
      </w:r>
      <w:r>
        <w:rPr>
          <w:rStyle w:val="18"/>
          <w:b w:val="0"/>
          <w:sz w:val="28"/>
          <w:szCs w:val="28"/>
        </w:rPr>
        <w:t>7</w:t>
      </w:r>
      <w:r>
        <w:rPr>
          <w:rStyle w:val="18"/>
          <w:b w:val="0"/>
          <w:sz w:val="28"/>
          <w:szCs w:val="28"/>
        </w:rPr>
        <w:fldChar w:fldCharType="end"/>
      </w:r>
      <w:r>
        <w:rPr>
          <w:rStyle w:val="18"/>
          <w:b w:val="0"/>
          <w:sz w:val="28"/>
          <w:szCs w:val="28"/>
        </w:rPr>
        <w:fldChar w:fldCharType="end"/>
      </w:r>
    </w:p>
    <w:p>
      <w:pPr>
        <w:pStyle w:val="12"/>
        <w:spacing w:line="360" w:lineRule="auto"/>
        <w:ind w:firstLine="442" w:firstLineChars="200"/>
        <w:rPr>
          <w:rStyle w:val="18"/>
          <w:b w:val="0"/>
          <w:sz w:val="28"/>
          <w:szCs w:val="28"/>
        </w:rPr>
      </w:pPr>
      <w:r>
        <w:fldChar w:fldCharType="begin"/>
      </w:r>
      <w:r>
        <w:instrText xml:space="preserve"> HYPERLINK \l "_Toc115364441" </w:instrText>
      </w:r>
      <w:r>
        <w:fldChar w:fldCharType="separate"/>
      </w:r>
      <w:r>
        <w:rPr>
          <w:rStyle w:val="18"/>
          <w:b w:val="0"/>
          <w:sz w:val="28"/>
          <w:szCs w:val="28"/>
        </w:rPr>
        <w:t>（三）社会效益</w:t>
      </w:r>
      <w:r>
        <w:rPr>
          <w:rStyle w:val="18"/>
          <w:b w:val="0"/>
          <w:sz w:val="28"/>
          <w:szCs w:val="28"/>
        </w:rPr>
        <w:tab/>
      </w:r>
      <w:r>
        <w:rPr>
          <w:rStyle w:val="18"/>
          <w:b w:val="0"/>
          <w:sz w:val="28"/>
          <w:szCs w:val="28"/>
        </w:rPr>
        <w:fldChar w:fldCharType="begin"/>
      </w:r>
      <w:r>
        <w:rPr>
          <w:rStyle w:val="18"/>
          <w:b w:val="0"/>
          <w:sz w:val="28"/>
          <w:szCs w:val="28"/>
        </w:rPr>
        <w:instrText xml:space="preserve"> PAGEREF _Toc115364441 \h </w:instrText>
      </w:r>
      <w:r>
        <w:rPr>
          <w:rStyle w:val="18"/>
          <w:b w:val="0"/>
          <w:sz w:val="28"/>
          <w:szCs w:val="28"/>
        </w:rPr>
        <w:fldChar w:fldCharType="separate"/>
      </w:r>
      <w:r>
        <w:rPr>
          <w:rStyle w:val="18"/>
          <w:b w:val="0"/>
          <w:sz w:val="28"/>
          <w:szCs w:val="28"/>
        </w:rPr>
        <w:t>8</w:t>
      </w:r>
      <w:r>
        <w:rPr>
          <w:rStyle w:val="18"/>
          <w:b w:val="0"/>
          <w:sz w:val="28"/>
          <w:szCs w:val="28"/>
        </w:rPr>
        <w:fldChar w:fldCharType="end"/>
      </w:r>
      <w:r>
        <w:rPr>
          <w:rStyle w:val="18"/>
          <w:b w:val="0"/>
          <w:sz w:val="28"/>
          <w:szCs w:val="28"/>
        </w:rPr>
        <w:fldChar w:fldCharType="end"/>
      </w:r>
    </w:p>
    <w:p>
      <w:pPr>
        <w:pStyle w:val="12"/>
        <w:spacing w:line="360" w:lineRule="auto"/>
        <w:ind w:firstLine="442" w:firstLineChars="200"/>
        <w:rPr>
          <w:rStyle w:val="18"/>
          <w:b w:val="0"/>
          <w:sz w:val="28"/>
          <w:szCs w:val="28"/>
        </w:rPr>
      </w:pPr>
      <w:r>
        <w:fldChar w:fldCharType="begin"/>
      </w:r>
      <w:r>
        <w:instrText xml:space="preserve"> HYPERLINK \l "_Toc115364442" </w:instrText>
      </w:r>
      <w:r>
        <w:fldChar w:fldCharType="separate"/>
      </w:r>
      <w:r>
        <w:rPr>
          <w:rStyle w:val="18"/>
          <w:b w:val="0"/>
          <w:sz w:val="28"/>
          <w:szCs w:val="28"/>
        </w:rPr>
        <w:t>（四）生态效益</w:t>
      </w:r>
      <w:r>
        <w:rPr>
          <w:rStyle w:val="18"/>
          <w:b w:val="0"/>
          <w:sz w:val="28"/>
          <w:szCs w:val="28"/>
        </w:rPr>
        <w:tab/>
      </w:r>
      <w:r>
        <w:rPr>
          <w:rStyle w:val="18"/>
          <w:b w:val="0"/>
          <w:sz w:val="28"/>
          <w:szCs w:val="28"/>
        </w:rPr>
        <w:fldChar w:fldCharType="begin"/>
      </w:r>
      <w:r>
        <w:rPr>
          <w:rStyle w:val="18"/>
          <w:b w:val="0"/>
          <w:sz w:val="28"/>
          <w:szCs w:val="28"/>
        </w:rPr>
        <w:instrText xml:space="preserve"> PAGEREF _Toc115364442 \h </w:instrText>
      </w:r>
      <w:r>
        <w:rPr>
          <w:rStyle w:val="18"/>
          <w:b w:val="0"/>
          <w:sz w:val="28"/>
          <w:szCs w:val="28"/>
        </w:rPr>
        <w:fldChar w:fldCharType="separate"/>
      </w:r>
      <w:r>
        <w:rPr>
          <w:rStyle w:val="18"/>
          <w:b w:val="0"/>
          <w:sz w:val="28"/>
          <w:szCs w:val="28"/>
        </w:rPr>
        <w:t>8</w:t>
      </w:r>
      <w:r>
        <w:rPr>
          <w:rStyle w:val="18"/>
          <w:b w:val="0"/>
          <w:sz w:val="28"/>
          <w:szCs w:val="28"/>
        </w:rPr>
        <w:fldChar w:fldCharType="end"/>
      </w:r>
      <w:r>
        <w:rPr>
          <w:rStyle w:val="18"/>
          <w:b w:val="0"/>
          <w:sz w:val="28"/>
          <w:szCs w:val="28"/>
        </w:rPr>
        <w:fldChar w:fldCharType="end"/>
      </w:r>
    </w:p>
    <w:p>
      <w:pPr>
        <w:pStyle w:val="12"/>
        <w:spacing w:line="360" w:lineRule="auto"/>
        <w:rPr>
          <w:rStyle w:val="18"/>
          <w:sz w:val="28"/>
          <w:szCs w:val="28"/>
        </w:rPr>
      </w:pPr>
      <w:r>
        <w:fldChar w:fldCharType="begin"/>
      </w:r>
      <w:r>
        <w:instrText xml:space="preserve"> HYPERLINK \l "_Toc115364445" </w:instrText>
      </w:r>
      <w:r>
        <w:fldChar w:fldCharType="separate"/>
      </w:r>
      <w:r>
        <w:rPr>
          <w:rStyle w:val="18"/>
          <w:sz w:val="28"/>
          <w:szCs w:val="28"/>
        </w:rPr>
        <w:t>八、结论</w:t>
      </w:r>
      <w:r>
        <w:rPr>
          <w:rStyle w:val="18"/>
          <w:sz w:val="28"/>
          <w:szCs w:val="28"/>
        </w:rPr>
        <w:tab/>
      </w:r>
      <w:r>
        <w:rPr>
          <w:rStyle w:val="18"/>
          <w:sz w:val="28"/>
          <w:szCs w:val="28"/>
        </w:rPr>
        <w:fldChar w:fldCharType="begin"/>
      </w:r>
      <w:r>
        <w:rPr>
          <w:rStyle w:val="18"/>
          <w:sz w:val="28"/>
          <w:szCs w:val="28"/>
        </w:rPr>
        <w:instrText xml:space="preserve"> PAGEREF _Toc115364445 \h </w:instrText>
      </w:r>
      <w:r>
        <w:rPr>
          <w:rStyle w:val="18"/>
          <w:sz w:val="28"/>
          <w:szCs w:val="28"/>
        </w:rPr>
        <w:fldChar w:fldCharType="separate"/>
      </w:r>
      <w:r>
        <w:rPr>
          <w:rStyle w:val="18"/>
          <w:sz w:val="28"/>
          <w:szCs w:val="28"/>
        </w:rPr>
        <w:t>8</w:t>
      </w:r>
      <w:r>
        <w:rPr>
          <w:rStyle w:val="18"/>
          <w:sz w:val="28"/>
          <w:szCs w:val="28"/>
        </w:rPr>
        <w:fldChar w:fldCharType="end"/>
      </w:r>
      <w:r>
        <w:rPr>
          <w:rStyle w:val="18"/>
          <w:sz w:val="28"/>
          <w:szCs w:val="28"/>
        </w:rPr>
        <w:fldChar w:fldCharType="end"/>
      </w:r>
    </w:p>
    <w:p>
      <w:pPr>
        <w:ind w:firstLine="560"/>
        <w:rPr>
          <w:b/>
          <w:bCs/>
          <w:lang w:val="zh-CN"/>
        </w:rPr>
      </w:pPr>
      <w:r>
        <w:rPr>
          <w:bCs/>
          <w:lang w:val="zh-CN"/>
        </w:rPr>
        <w:fldChar w:fldCharType="end"/>
      </w:r>
      <w:bookmarkStart w:id="11" w:name="_Toc115364422"/>
    </w:p>
    <w:p>
      <w:pPr>
        <w:ind w:firstLine="560"/>
      </w:pPr>
    </w:p>
    <w:p>
      <w:pPr>
        <w:ind w:firstLine="560"/>
      </w:pPr>
    </w:p>
    <w:p>
      <w:pPr>
        <w:tabs>
          <w:tab w:val="left" w:pos="5624"/>
        </w:tabs>
        <w:ind w:firstLine="560"/>
        <w:jc w:val="left"/>
        <w:sectPr>
          <w:headerReference r:id="rId13" w:type="default"/>
          <w:footerReference r:id="rId14" w:type="default"/>
          <w:pgSz w:w="11906" w:h="16838"/>
          <w:pgMar w:top="1440" w:right="1800" w:bottom="1440" w:left="1800" w:header="851" w:footer="850" w:gutter="0"/>
          <w:cols w:space="0" w:num="1"/>
          <w:docGrid w:type="lines" w:linePitch="395" w:charSpace="0"/>
        </w:sectPr>
      </w:pPr>
      <w:r>
        <w:rPr>
          <w:rFonts w:hint="eastAsia"/>
        </w:rPr>
        <w:tab/>
      </w:r>
    </w:p>
    <w:p>
      <w:pPr>
        <w:pStyle w:val="3"/>
      </w:pPr>
      <w:r>
        <w:rPr>
          <w:rFonts w:hint="eastAsia"/>
        </w:rPr>
        <w:t>一、编制背景</w:t>
      </w:r>
      <w:bookmarkEnd w:id="6"/>
      <w:bookmarkEnd w:id="7"/>
      <w:bookmarkEnd w:id="8"/>
      <w:bookmarkEnd w:id="9"/>
      <w:bookmarkEnd w:id="10"/>
      <w:bookmarkEnd w:id="11"/>
    </w:p>
    <w:p>
      <w:pPr>
        <w:ind w:firstLine="560"/>
      </w:pPr>
      <w:r>
        <w:rPr>
          <w:rFonts w:hint="eastAsia"/>
        </w:rPr>
        <w:t>成片开发，是指在国土空间总体规划确定的城镇开发边界内的集中建设区，由县级以上地方人民政府组织的对一定范围的土地进行的综合性开发建设活动。根据《自然资源部关于印发&lt;土地征收成片开发标准（试行）&gt;的通知》（自然资规〔2020〕5 号文）、《广东省自然资源厅关于进一步明确建设用地审批有关要求的通知》（粤自然资管制〔2021〕1379 号）、《广东省自然资源厅关于规范土地征收成片开发工作的通知》（粤自然资发〔2021〕20 号）的文件精神，</w:t>
      </w:r>
      <w:r>
        <w:t>各镇人民政府（园区管委会、街道办事处）在依法征收农民集体所有土地时，</w:t>
      </w:r>
      <w:r>
        <w:rPr>
          <w:rFonts w:hint="eastAsia"/>
        </w:rPr>
        <w:t>若符合《中华人民共和国土地管理法》第四十五条第（五）项规定情形的，在土地征收之前必须编制土地征收成片开发方案，将拟征地范围纳入成片开发方案。土地征收成片开发方案未经有权批准机关批准的，各地级以上市人民政府不得批准征收成片开发建设用地。</w:t>
      </w:r>
    </w:p>
    <w:p>
      <w:pPr>
        <w:ind w:firstLine="560"/>
      </w:pPr>
      <w:r>
        <w:rPr>
          <w:rFonts w:hint="eastAsia"/>
        </w:rPr>
        <w:t>为了保障石排镇经济和社会发展用地需要，维护被征收农村集体经济组织和农民的合法权益，依据石排镇国民经济和社会发展规划、土地利用总体规划，结合石排镇实际情况，我镇组织编制了《东莞市石排镇2022年度土地征收成片开发方案》（以下简称“本方案”），将依法依规有序推进土地征收成片开发工作，确保经济持续健康发展。</w:t>
      </w:r>
    </w:p>
    <w:p>
      <w:pPr>
        <w:pStyle w:val="3"/>
        <w:spacing w:before="120" w:after="120"/>
        <w:sectPr>
          <w:footerReference r:id="rId15" w:type="default"/>
          <w:pgSz w:w="11906" w:h="16838"/>
          <w:pgMar w:top="1440" w:right="1800" w:bottom="1440" w:left="1800" w:header="851" w:footer="850" w:gutter="0"/>
          <w:pgNumType w:start="1"/>
          <w:cols w:space="0" w:num="1"/>
          <w:docGrid w:type="lines" w:linePitch="395" w:charSpace="0"/>
        </w:sectPr>
      </w:pPr>
      <w:bookmarkStart w:id="12" w:name="_Toc12460"/>
      <w:bookmarkStart w:id="13" w:name="_Toc115364055"/>
      <w:bookmarkStart w:id="14" w:name="_Toc113441894"/>
      <w:bookmarkStart w:id="15" w:name="_Toc115364423"/>
      <w:bookmarkStart w:id="16" w:name="_Toc69918852"/>
      <w:bookmarkStart w:id="17" w:name="_Toc86266564"/>
      <w:bookmarkStart w:id="18" w:name="_Toc69918897"/>
      <w:bookmarkStart w:id="19" w:name="_Toc87878828"/>
    </w:p>
    <w:p>
      <w:pPr>
        <w:pStyle w:val="3"/>
        <w:spacing w:before="120" w:after="120"/>
      </w:pPr>
      <w:r>
        <w:rPr>
          <w:rFonts w:hint="eastAsia"/>
        </w:rPr>
        <w:t>二、</w:t>
      </w:r>
      <w:r>
        <w:t>编制依据</w:t>
      </w:r>
      <w:bookmarkEnd w:id="12"/>
      <w:bookmarkEnd w:id="13"/>
      <w:bookmarkEnd w:id="14"/>
      <w:bookmarkEnd w:id="15"/>
    </w:p>
    <w:p>
      <w:pPr>
        <w:pStyle w:val="4"/>
      </w:pPr>
      <w:bookmarkStart w:id="20" w:name="_Toc76400753"/>
      <w:bookmarkEnd w:id="20"/>
      <w:bookmarkStart w:id="21" w:name="_Toc76407736"/>
      <w:bookmarkEnd w:id="21"/>
      <w:bookmarkStart w:id="22" w:name="_Toc76329951"/>
      <w:bookmarkEnd w:id="22"/>
      <w:bookmarkStart w:id="23" w:name="_Toc69918850"/>
      <w:bookmarkStart w:id="24" w:name="_Toc69918889"/>
      <w:bookmarkStart w:id="25" w:name="_Toc115364056"/>
      <w:bookmarkStart w:id="26" w:name="_Toc19398"/>
      <w:bookmarkStart w:id="27" w:name="_Toc89876996"/>
      <w:bookmarkStart w:id="28" w:name="_Toc115364424"/>
      <w:bookmarkStart w:id="29" w:name="_Toc113441895"/>
      <w:r>
        <w:rPr>
          <w:rFonts w:hint="eastAsia"/>
        </w:rPr>
        <w:t>（一）编制原则</w:t>
      </w:r>
      <w:bookmarkEnd w:id="23"/>
      <w:bookmarkEnd w:id="24"/>
      <w:bookmarkEnd w:id="25"/>
      <w:bookmarkEnd w:id="26"/>
      <w:bookmarkEnd w:id="27"/>
      <w:bookmarkEnd w:id="28"/>
      <w:bookmarkEnd w:id="29"/>
    </w:p>
    <w:p>
      <w:pPr>
        <w:ind w:firstLine="560"/>
      </w:pPr>
      <w:r>
        <w:t>坚持新发展理念，以人民为中心，注重保护耕地，注重维护农民合法权益，注重节约集约用地，注重生态环境保护，促进当地经济社会可持续发展。</w:t>
      </w:r>
    </w:p>
    <w:p>
      <w:pPr>
        <w:pStyle w:val="5"/>
        <w:numPr>
          <w:ilvl w:val="0"/>
          <w:numId w:val="0"/>
        </w:numPr>
        <w:ind w:left="562"/>
        <w:jc w:val="left"/>
      </w:pPr>
      <w:bookmarkStart w:id="30" w:name="_Toc115364425"/>
      <w:bookmarkStart w:id="31" w:name="_Toc69918890"/>
      <w:r>
        <w:rPr>
          <w:rFonts w:hint="eastAsia"/>
        </w:rPr>
        <w:t>1</w:t>
      </w:r>
      <w:r>
        <w:t>.依法依规原则</w:t>
      </w:r>
      <w:bookmarkEnd w:id="30"/>
      <w:bookmarkEnd w:id="31"/>
    </w:p>
    <w:p>
      <w:pPr>
        <w:ind w:firstLine="560"/>
      </w:pPr>
      <w:r>
        <w:t>本方案的编制遵循有关法律法规和政策依据，成片开发</w:t>
      </w:r>
      <w:r>
        <w:rPr>
          <w:rFonts w:hint="eastAsia"/>
        </w:rPr>
        <w:t>范围划定</w:t>
      </w:r>
      <w:r>
        <w:t>符合</w:t>
      </w:r>
      <w:r>
        <w:rPr>
          <w:rFonts w:hint="eastAsia"/>
        </w:rPr>
        <w:t>国民经济和社会发展规划要求，符合国土空间规划以及控制性详细规划等规划用地条件</w:t>
      </w:r>
      <w:r>
        <w:t>。</w:t>
      </w:r>
    </w:p>
    <w:p>
      <w:pPr>
        <w:pStyle w:val="5"/>
        <w:numPr>
          <w:ilvl w:val="0"/>
          <w:numId w:val="0"/>
        </w:numPr>
        <w:ind w:left="562"/>
        <w:jc w:val="left"/>
      </w:pPr>
      <w:bookmarkStart w:id="32" w:name="_Toc115364426"/>
      <w:bookmarkStart w:id="33" w:name="_Toc69918891"/>
      <w:r>
        <w:rPr>
          <w:rFonts w:hint="eastAsia"/>
        </w:rPr>
        <w:t>2</w:t>
      </w:r>
      <w:r>
        <w:t>.坚守底线原则</w:t>
      </w:r>
      <w:bookmarkEnd w:id="32"/>
    </w:p>
    <w:p>
      <w:pPr>
        <w:ind w:firstLine="560"/>
      </w:pPr>
      <w:r>
        <w:t>注重耕地保护和生态环境保护。严格耕地保护是保护、提高粮食综合生产能力的前提，是促进经济和社会可持续发展的重要力量。同时正确处理资源开发与环境保护的关系，坚持在保护中开发，在开发中保护。</w:t>
      </w:r>
    </w:p>
    <w:p>
      <w:pPr>
        <w:pStyle w:val="5"/>
        <w:numPr>
          <w:ilvl w:val="0"/>
          <w:numId w:val="0"/>
        </w:numPr>
        <w:ind w:left="562"/>
        <w:jc w:val="left"/>
      </w:pPr>
      <w:bookmarkStart w:id="34" w:name="_Toc115364427"/>
      <w:r>
        <w:rPr>
          <w:rFonts w:hint="eastAsia"/>
        </w:rPr>
        <w:t>3</w:t>
      </w:r>
      <w:r>
        <w:t>.公共利益优先原则</w:t>
      </w:r>
      <w:bookmarkEnd w:id="33"/>
      <w:bookmarkEnd w:id="34"/>
    </w:p>
    <w:p>
      <w:pPr>
        <w:ind w:firstLine="560"/>
      </w:pPr>
      <w:r>
        <w:t>本方案的编制坚持以人民为中心，兼顾群众特别是被征地农民合法权益和片区群众长远利益。为落实该原则，成片开发方案将广泛征求成片开发</w:t>
      </w:r>
      <w:r>
        <w:rPr>
          <w:rFonts w:hint="eastAsia"/>
        </w:rPr>
        <w:t>范围</w:t>
      </w:r>
      <w:r>
        <w:t>内的农村集体经济组织</w:t>
      </w:r>
      <w:r>
        <w:rPr>
          <w:rFonts w:hint="eastAsia"/>
        </w:rPr>
        <w:t>成员</w:t>
      </w:r>
      <w:r>
        <w:t>的意见。</w:t>
      </w:r>
    </w:p>
    <w:p>
      <w:pPr>
        <w:pStyle w:val="5"/>
        <w:numPr>
          <w:ilvl w:val="0"/>
          <w:numId w:val="0"/>
        </w:numPr>
        <w:ind w:left="562"/>
        <w:jc w:val="left"/>
      </w:pPr>
      <w:bookmarkStart w:id="35" w:name="_Toc115364428"/>
      <w:bookmarkStart w:id="36" w:name="_Toc69918893"/>
      <w:r>
        <w:rPr>
          <w:rFonts w:hint="eastAsia"/>
        </w:rPr>
        <w:t>4</w:t>
      </w:r>
      <w:r>
        <w:t>.集约节约原则</w:t>
      </w:r>
      <w:bookmarkEnd w:id="35"/>
      <w:bookmarkEnd w:id="36"/>
    </w:p>
    <w:p>
      <w:pPr>
        <w:ind w:firstLine="560"/>
      </w:pPr>
      <w:r>
        <w:t>注重集约节约用地。坚持节约和集约利用资源，每类建设项目都依据经济社会发展情况、实际用地需求、土地综合开发相关政策等合理确定建设总规模</w:t>
      </w:r>
      <w:r>
        <w:rPr>
          <w:rFonts w:hint="eastAsia"/>
        </w:rPr>
        <w:t>、</w:t>
      </w:r>
      <w:r>
        <w:t>容积率、建筑密度、建筑限高等，提高土地节约集约利用水平。</w:t>
      </w:r>
    </w:p>
    <w:p>
      <w:pPr>
        <w:pStyle w:val="4"/>
      </w:pPr>
      <w:bookmarkStart w:id="37" w:name="_Toc69918896"/>
      <w:bookmarkStart w:id="38" w:name="_Toc89876997"/>
      <w:bookmarkStart w:id="39" w:name="_Toc17620"/>
      <w:bookmarkStart w:id="40" w:name="_Toc113441896"/>
      <w:bookmarkStart w:id="41" w:name="_Toc69918851"/>
      <w:bookmarkStart w:id="42" w:name="_Toc115364057"/>
      <w:bookmarkStart w:id="43" w:name="_Toc115364429"/>
      <w:r>
        <w:rPr>
          <w:rFonts w:hint="eastAsia"/>
        </w:rPr>
        <w:t>（二）编制依据</w:t>
      </w:r>
      <w:bookmarkEnd w:id="37"/>
      <w:bookmarkEnd w:id="38"/>
      <w:bookmarkEnd w:id="39"/>
      <w:bookmarkEnd w:id="40"/>
      <w:bookmarkEnd w:id="41"/>
      <w:bookmarkEnd w:id="42"/>
      <w:bookmarkEnd w:id="43"/>
    </w:p>
    <w:p>
      <w:pPr>
        <w:pStyle w:val="5"/>
        <w:numPr>
          <w:ilvl w:val="0"/>
          <w:numId w:val="0"/>
        </w:numPr>
        <w:ind w:left="845"/>
      </w:pPr>
      <w:bookmarkStart w:id="44" w:name="_Toc115364430"/>
      <w:r>
        <w:rPr>
          <w:rFonts w:hint="eastAsia"/>
        </w:rPr>
        <w:t>1.政策法规</w:t>
      </w:r>
      <w:bookmarkEnd w:id="44"/>
    </w:p>
    <w:p>
      <w:pPr>
        <w:ind w:firstLine="560"/>
      </w:pPr>
      <w:r>
        <w:rPr>
          <w:rFonts w:hint="eastAsia"/>
        </w:rPr>
        <w:t>（1）《中华人民共和国土地管理法》（2019年修正）；</w:t>
      </w:r>
    </w:p>
    <w:p>
      <w:pPr>
        <w:ind w:firstLine="560"/>
      </w:pPr>
      <w:r>
        <w:rPr>
          <w:rFonts w:hint="eastAsia"/>
        </w:rPr>
        <w:t>（2）《中华人民共和国城乡规划法》（2019年修正）；</w:t>
      </w:r>
    </w:p>
    <w:p>
      <w:pPr>
        <w:ind w:firstLine="560"/>
      </w:pPr>
      <w:r>
        <w:rPr>
          <w:rFonts w:hint="eastAsia"/>
        </w:rPr>
        <w:t>（3）《中华人民共和国土地管理法实施条例》（国务院令第256号）；</w:t>
      </w:r>
    </w:p>
    <w:p>
      <w:pPr>
        <w:ind w:firstLine="560"/>
      </w:pPr>
      <w:r>
        <w:rPr>
          <w:rFonts w:hint="eastAsia"/>
        </w:rPr>
        <w:t>（4）《广东省土地管理条例》（自2022年8月1日起施行）；</w:t>
      </w:r>
    </w:p>
    <w:p>
      <w:pPr>
        <w:ind w:firstLine="560"/>
      </w:pPr>
      <w:r>
        <w:rPr>
          <w:rFonts w:hint="eastAsia"/>
        </w:rPr>
        <w:t>（5）《自然资源部关于印发&lt;土地征收成片开发标准（试行）&gt;的通知》（自然资规〔2020〕5号）；</w:t>
      </w:r>
    </w:p>
    <w:p>
      <w:pPr>
        <w:ind w:firstLine="560"/>
      </w:pPr>
      <w:r>
        <w:rPr>
          <w:rFonts w:hint="eastAsia"/>
        </w:rPr>
        <w:t>（</w:t>
      </w:r>
      <w:r>
        <w:t>6</w:t>
      </w:r>
      <w:r>
        <w:rPr>
          <w:rFonts w:hint="eastAsia"/>
        </w:rPr>
        <w:t>）《广东省自然资源厅关于加强土地储备管理工作有关事项的通知》（粤自然资规字〔2019〕4号）；</w:t>
      </w:r>
    </w:p>
    <w:p>
      <w:pPr>
        <w:ind w:firstLine="560"/>
      </w:pPr>
      <w:r>
        <w:rPr>
          <w:rFonts w:hint="eastAsia"/>
        </w:rPr>
        <w:t>（</w:t>
      </w:r>
      <w:r>
        <w:t>7</w:t>
      </w:r>
      <w:r>
        <w:rPr>
          <w:rFonts w:hint="eastAsia"/>
        </w:rPr>
        <w:t>）《广东省自然资源厅关于规范土地征收成片开发工作的通知》（粤自然资发〔2021〕20号）；</w:t>
      </w:r>
    </w:p>
    <w:p>
      <w:pPr>
        <w:ind w:firstLine="560"/>
      </w:pPr>
      <w:r>
        <w:rPr>
          <w:rFonts w:hint="eastAsia"/>
        </w:rPr>
        <w:t>（8）《广东省人民政府关于调整实施一批省级自然资源行政职权事项的决定》（粤府〔2022〕69号）；</w:t>
      </w:r>
    </w:p>
    <w:p>
      <w:pPr>
        <w:ind w:firstLine="560"/>
      </w:pPr>
      <w:r>
        <w:rPr>
          <w:rFonts w:hint="eastAsia"/>
        </w:rPr>
        <w:t>（9）《广东省自然资源厅关于广东省土地管理与决策支持系统土地征收成片开发管理模块上线的通知》（粤自然资管制〔2022〕2332号）；</w:t>
      </w:r>
    </w:p>
    <w:p>
      <w:pPr>
        <w:ind w:firstLine="560"/>
      </w:pPr>
      <w:r>
        <w:rPr>
          <w:rFonts w:hint="eastAsia"/>
        </w:rPr>
        <w:t>（10）其他相关政策。</w:t>
      </w:r>
    </w:p>
    <w:p>
      <w:pPr>
        <w:pStyle w:val="5"/>
        <w:numPr>
          <w:ilvl w:val="0"/>
          <w:numId w:val="0"/>
        </w:numPr>
        <w:ind w:left="845"/>
      </w:pPr>
      <w:bookmarkStart w:id="45" w:name="_Toc115364431"/>
      <w:r>
        <w:rPr>
          <w:rFonts w:hint="eastAsia"/>
        </w:rPr>
        <w:t>2.相关规划</w:t>
      </w:r>
      <w:bookmarkEnd w:id="45"/>
    </w:p>
    <w:p>
      <w:pPr>
        <w:ind w:firstLine="560"/>
      </w:pPr>
      <w:r>
        <w:rPr>
          <w:rFonts w:hint="eastAsia"/>
        </w:rPr>
        <w:t>（1）《广东省东莞市土地利用总体规划（2006-2020年）调整完善方案》；</w:t>
      </w:r>
    </w:p>
    <w:p>
      <w:pPr>
        <w:ind w:firstLine="560"/>
      </w:pPr>
      <w:r>
        <w:rPr>
          <w:rFonts w:hint="eastAsia"/>
        </w:rPr>
        <w:t>（2）《东莞市国民经济和社会发展第十四个五年规划和2035年远景目标纲要》；</w:t>
      </w:r>
    </w:p>
    <w:p>
      <w:pPr>
        <w:ind w:firstLine="560"/>
      </w:pPr>
      <w:r>
        <w:rPr>
          <w:rFonts w:hint="eastAsia"/>
        </w:rPr>
        <w:t>（3）《东莞市土地整治规划（2016-2020年）》；</w:t>
      </w:r>
    </w:p>
    <w:p>
      <w:pPr>
        <w:ind w:firstLine="560"/>
      </w:pPr>
      <w:r>
        <w:rPr>
          <w:rFonts w:hint="eastAsia"/>
        </w:rPr>
        <w:t>（4）《东莞市石排镇土地利用总体规划（2010-2020年）调整完善方案》；</w:t>
      </w:r>
    </w:p>
    <w:p>
      <w:pPr>
        <w:ind w:firstLine="560"/>
      </w:pPr>
      <w:r>
        <w:rPr>
          <w:rFonts w:hint="eastAsia"/>
        </w:rPr>
        <w:t>（5）《东莞市石排镇近期建设规划（2017-2020年）》；</w:t>
      </w:r>
    </w:p>
    <w:p>
      <w:pPr>
        <w:ind w:firstLine="560"/>
      </w:pPr>
      <w:r>
        <w:rPr>
          <w:rFonts w:hint="eastAsia"/>
        </w:rPr>
        <w:t>（6）《石排镇塘尾古城片区控制性详细规划》；</w:t>
      </w:r>
    </w:p>
    <w:p>
      <w:pPr>
        <w:ind w:firstLine="560"/>
      </w:pPr>
      <w:r>
        <w:rPr>
          <w:rFonts w:hint="eastAsia"/>
        </w:rPr>
        <w:t>（7）《石排镇石崇组团片区控制性详细规划》；</w:t>
      </w:r>
    </w:p>
    <w:p>
      <w:pPr>
        <w:ind w:firstLine="560"/>
      </w:pPr>
      <w:r>
        <w:rPr>
          <w:rFonts w:hint="eastAsia"/>
        </w:rPr>
        <w:t>（8）《石排镇中心区控制性详细规划》。</w:t>
      </w:r>
    </w:p>
    <w:bookmarkEnd w:id="16"/>
    <w:bookmarkEnd w:id="17"/>
    <w:bookmarkEnd w:id="18"/>
    <w:bookmarkEnd w:id="19"/>
    <w:p>
      <w:pPr>
        <w:pStyle w:val="3"/>
      </w:pPr>
      <w:bookmarkStart w:id="46" w:name="_Toc115364058"/>
      <w:bookmarkStart w:id="47" w:name="_Toc115364432"/>
      <w:r>
        <w:rPr>
          <w:rFonts w:hint="eastAsia"/>
        </w:rPr>
        <w:t>三、基本情况</w:t>
      </w:r>
      <w:bookmarkEnd w:id="46"/>
      <w:bookmarkEnd w:id="47"/>
    </w:p>
    <w:p>
      <w:pPr>
        <w:ind w:firstLine="560"/>
      </w:pPr>
      <w:r>
        <w:rPr>
          <w:rFonts w:hint="eastAsia"/>
        </w:rPr>
        <w:t>本方案共划定3个片区，总面积12.5983公顷，拟实施土地征收成片开发面积7.5590公顷，占片区总面积的60.00%。涉及东莞市石排镇塘尾古城片区、中心片区、石崇组团片区3个片区，详见表1。</w:t>
      </w:r>
    </w:p>
    <w:p>
      <w:pPr>
        <w:spacing w:before="197" w:beforeLines="50" w:line="240" w:lineRule="auto"/>
        <w:ind w:firstLine="0" w:firstLineChars="0"/>
        <w:jc w:val="center"/>
        <w:rPr>
          <w:b/>
          <w:sz w:val="24"/>
          <w:szCs w:val="21"/>
        </w:rPr>
      </w:pPr>
      <w:r>
        <w:rPr>
          <w:rFonts w:hint="eastAsia"/>
          <w:b/>
          <w:sz w:val="24"/>
          <w:szCs w:val="21"/>
        </w:rPr>
        <w:t>表1</w:t>
      </w:r>
      <w:r>
        <w:rPr>
          <w:b/>
          <w:sz w:val="24"/>
          <w:szCs w:val="21"/>
        </w:rPr>
        <w:t xml:space="preserve"> </w:t>
      </w:r>
      <w:r>
        <w:rPr>
          <w:rFonts w:hint="eastAsia"/>
          <w:b/>
          <w:sz w:val="24"/>
          <w:szCs w:val="21"/>
        </w:rPr>
        <w:t>成片开发范围位置与面积情况</w:t>
      </w:r>
    </w:p>
    <w:p>
      <w:pPr>
        <w:spacing w:line="240" w:lineRule="auto"/>
        <w:ind w:firstLine="482"/>
        <w:jc w:val="right"/>
        <w:rPr>
          <w:b/>
          <w:bCs/>
          <w:sz w:val="24"/>
          <w:szCs w:val="21"/>
        </w:rPr>
      </w:pPr>
      <w:r>
        <w:rPr>
          <w:rFonts w:hint="eastAsia"/>
          <w:b/>
          <w:bCs/>
          <w:sz w:val="24"/>
          <w:szCs w:val="21"/>
        </w:rPr>
        <w:t>单位：公顷</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2519"/>
        <w:gridCol w:w="2700"/>
        <w:gridCol w:w="2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blHeader/>
          <w:jc w:val="center"/>
        </w:trPr>
        <w:tc>
          <w:tcPr>
            <w:tcW w:w="484" w:type="pct"/>
            <w:shd w:val="clear" w:color="auto" w:fill="auto"/>
            <w:vAlign w:val="center"/>
          </w:tcPr>
          <w:p>
            <w:pPr>
              <w:widowControl/>
              <w:spacing w:line="240" w:lineRule="auto"/>
              <w:ind w:firstLine="0" w:firstLineChars="0"/>
              <w:jc w:val="center"/>
              <w:rPr>
                <w:rFonts w:ascii="仿宋" w:hAnsi="仿宋" w:cs="宋体"/>
                <w:b/>
                <w:bCs/>
                <w:color w:val="000000"/>
                <w:kern w:val="0"/>
                <w:sz w:val="24"/>
                <w:szCs w:val="24"/>
              </w:rPr>
            </w:pPr>
            <w:r>
              <w:rPr>
                <w:rFonts w:hint="eastAsia" w:ascii="仿宋" w:hAnsi="仿宋" w:cs="宋体"/>
                <w:b/>
                <w:bCs/>
                <w:color w:val="000000"/>
                <w:kern w:val="0"/>
                <w:sz w:val="24"/>
                <w:szCs w:val="24"/>
              </w:rPr>
              <w:t>序号</w:t>
            </w:r>
          </w:p>
        </w:tc>
        <w:tc>
          <w:tcPr>
            <w:tcW w:w="1478" w:type="pct"/>
            <w:shd w:val="clear" w:color="auto" w:fill="auto"/>
            <w:vAlign w:val="center"/>
          </w:tcPr>
          <w:p>
            <w:pPr>
              <w:widowControl/>
              <w:spacing w:line="240" w:lineRule="auto"/>
              <w:ind w:firstLine="0" w:firstLineChars="0"/>
              <w:jc w:val="center"/>
              <w:rPr>
                <w:rFonts w:ascii="仿宋" w:hAnsi="仿宋" w:cs="宋体"/>
                <w:b/>
                <w:bCs/>
                <w:color w:val="000000"/>
                <w:kern w:val="0"/>
                <w:sz w:val="24"/>
                <w:szCs w:val="24"/>
              </w:rPr>
            </w:pPr>
            <w:r>
              <w:rPr>
                <w:rFonts w:hint="eastAsia" w:ascii="仿宋" w:hAnsi="仿宋" w:cs="宋体"/>
                <w:b/>
                <w:bCs/>
                <w:color w:val="000000"/>
                <w:kern w:val="0"/>
                <w:sz w:val="24"/>
                <w:szCs w:val="24"/>
              </w:rPr>
              <w:t>片区名称</w:t>
            </w:r>
          </w:p>
        </w:tc>
        <w:tc>
          <w:tcPr>
            <w:tcW w:w="1584" w:type="pct"/>
            <w:shd w:val="clear" w:color="auto" w:fill="auto"/>
            <w:vAlign w:val="center"/>
          </w:tcPr>
          <w:p>
            <w:pPr>
              <w:widowControl/>
              <w:spacing w:line="240" w:lineRule="auto"/>
              <w:ind w:firstLine="0" w:firstLineChars="0"/>
              <w:jc w:val="center"/>
              <w:rPr>
                <w:rFonts w:ascii="仿宋" w:hAnsi="仿宋" w:cs="宋体"/>
                <w:b/>
                <w:bCs/>
                <w:color w:val="000000"/>
                <w:kern w:val="0"/>
                <w:sz w:val="24"/>
                <w:szCs w:val="24"/>
              </w:rPr>
            </w:pPr>
            <w:r>
              <w:rPr>
                <w:rFonts w:hint="eastAsia" w:ascii="仿宋" w:hAnsi="仿宋" w:cs="宋体"/>
                <w:b/>
                <w:bCs/>
                <w:color w:val="000000"/>
                <w:kern w:val="0"/>
                <w:sz w:val="24"/>
                <w:szCs w:val="24"/>
              </w:rPr>
              <w:t>成片开发面积</w:t>
            </w:r>
          </w:p>
        </w:tc>
        <w:tc>
          <w:tcPr>
            <w:tcW w:w="1454" w:type="pct"/>
            <w:shd w:val="clear" w:color="auto" w:fill="auto"/>
            <w:vAlign w:val="center"/>
          </w:tcPr>
          <w:p>
            <w:pPr>
              <w:widowControl/>
              <w:spacing w:line="240" w:lineRule="auto"/>
              <w:ind w:firstLine="0" w:firstLineChars="0"/>
              <w:jc w:val="center"/>
              <w:rPr>
                <w:rFonts w:ascii="仿宋" w:hAnsi="仿宋" w:cs="宋体"/>
                <w:b/>
                <w:bCs/>
                <w:color w:val="000000"/>
                <w:kern w:val="0"/>
                <w:sz w:val="24"/>
                <w:szCs w:val="24"/>
              </w:rPr>
            </w:pPr>
            <w:r>
              <w:rPr>
                <w:rFonts w:hint="eastAsia" w:ascii="仿宋" w:hAnsi="仿宋" w:cs="宋体"/>
                <w:b/>
                <w:bCs/>
                <w:color w:val="000000"/>
                <w:kern w:val="0"/>
                <w:sz w:val="24"/>
                <w:szCs w:val="24"/>
              </w:rPr>
              <w:t>拟实施征收面积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84" w:type="pct"/>
            <w:shd w:val="clear" w:color="auto" w:fill="auto"/>
            <w:vAlign w:val="center"/>
          </w:tcPr>
          <w:p>
            <w:pPr>
              <w:widowControl/>
              <w:spacing w:line="240" w:lineRule="auto"/>
              <w:ind w:firstLine="0" w:firstLineChars="0"/>
              <w:jc w:val="center"/>
              <w:rPr>
                <w:rFonts w:eastAsia="等线"/>
                <w:color w:val="000000"/>
                <w:kern w:val="0"/>
                <w:sz w:val="24"/>
                <w:szCs w:val="24"/>
              </w:rPr>
            </w:pPr>
            <w:r>
              <w:rPr>
                <w:rFonts w:eastAsia="等线"/>
                <w:color w:val="000000"/>
                <w:kern w:val="0"/>
                <w:sz w:val="24"/>
                <w:szCs w:val="24"/>
              </w:rPr>
              <w:t>1</w:t>
            </w:r>
          </w:p>
        </w:tc>
        <w:tc>
          <w:tcPr>
            <w:tcW w:w="1478" w:type="pct"/>
            <w:shd w:val="clear" w:color="auto" w:fill="auto"/>
            <w:vAlign w:val="center"/>
          </w:tcPr>
          <w:p>
            <w:pPr>
              <w:widowControl/>
              <w:spacing w:line="240"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塘尾古城片区</w:t>
            </w:r>
          </w:p>
        </w:tc>
        <w:tc>
          <w:tcPr>
            <w:tcW w:w="1584" w:type="pct"/>
            <w:shd w:val="clear" w:color="auto" w:fill="auto"/>
            <w:vAlign w:val="center"/>
          </w:tcPr>
          <w:p>
            <w:pPr>
              <w:widowControl/>
              <w:spacing w:line="240" w:lineRule="auto"/>
              <w:ind w:firstLine="0" w:firstLineChars="0"/>
              <w:jc w:val="center"/>
              <w:rPr>
                <w:rFonts w:eastAsia="等线"/>
                <w:color w:val="000000"/>
                <w:kern w:val="0"/>
                <w:sz w:val="24"/>
                <w:szCs w:val="24"/>
              </w:rPr>
            </w:pPr>
            <w:r>
              <w:rPr>
                <w:rFonts w:hint="eastAsia" w:eastAsia="等线"/>
                <w:color w:val="000000"/>
                <w:kern w:val="0"/>
                <w:sz w:val="24"/>
                <w:szCs w:val="24"/>
              </w:rPr>
              <w:t>3.7687</w:t>
            </w:r>
          </w:p>
        </w:tc>
        <w:tc>
          <w:tcPr>
            <w:tcW w:w="1454" w:type="pct"/>
            <w:shd w:val="clear" w:color="auto" w:fill="auto"/>
            <w:vAlign w:val="center"/>
          </w:tcPr>
          <w:p>
            <w:pPr>
              <w:widowControl/>
              <w:spacing w:line="240" w:lineRule="auto"/>
              <w:ind w:firstLine="0" w:firstLineChars="0"/>
              <w:jc w:val="center"/>
              <w:rPr>
                <w:rFonts w:eastAsia="等线"/>
                <w:color w:val="000000"/>
                <w:kern w:val="0"/>
                <w:sz w:val="24"/>
                <w:szCs w:val="24"/>
              </w:rPr>
            </w:pPr>
            <w:r>
              <w:rPr>
                <w:rFonts w:hint="eastAsia" w:eastAsia="等线"/>
                <w:color w:val="000000"/>
                <w:kern w:val="0"/>
                <w:sz w:val="24"/>
                <w:szCs w:val="24"/>
              </w:rPr>
              <w:t>2.2612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84" w:type="pct"/>
            <w:shd w:val="clear" w:color="auto" w:fill="auto"/>
            <w:vAlign w:val="center"/>
          </w:tcPr>
          <w:p>
            <w:pPr>
              <w:widowControl/>
              <w:spacing w:line="240" w:lineRule="auto"/>
              <w:ind w:firstLine="0" w:firstLineChars="0"/>
              <w:jc w:val="center"/>
              <w:rPr>
                <w:rFonts w:eastAsia="等线"/>
                <w:color w:val="000000"/>
                <w:kern w:val="0"/>
                <w:sz w:val="24"/>
                <w:szCs w:val="24"/>
              </w:rPr>
            </w:pPr>
            <w:r>
              <w:rPr>
                <w:rFonts w:eastAsia="等线"/>
                <w:color w:val="000000"/>
                <w:kern w:val="0"/>
                <w:sz w:val="24"/>
                <w:szCs w:val="24"/>
              </w:rPr>
              <w:t>2</w:t>
            </w:r>
          </w:p>
        </w:tc>
        <w:tc>
          <w:tcPr>
            <w:tcW w:w="1478" w:type="pct"/>
            <w:shd w:val="clear" w:color="auto" w:fill="auto"/>
            <w:vAlign w:val="center"/>
          </w:tcPr>
          <w:p>
            <w:pPr>
              <w:widowControl/>
              <w:spacing w:line="240"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石崇组团片区</w:t>
            </w:r>
          </w:p>
        </w:tc>
        <w:tc>
          <w:tcPr>
            <w:tcW w:w="1584" w:type="pct"/>
            <w:shd w:val="clear" w:color="auto" w:fill="auto"/>
            <w:vAlign w:val="center"/>
          </w:tcPr>
          <w:p>
            <w:pPr>
              <w:widowControl/>
              <w:spacing w:line="240" w:lineRule="auto"/>
              <w:ind w:firstLine="0" w:firstLineChars="0"/>
              <w:jc w:val="center"/>
              <w:rPr>
                <w:rFonts w:eastAsia="等线"/>
                <w:color w:val="000000"/>
                <w:kern w:val="0"/>
                <w:sz w:val="24"/>
                <w:szCs w:val="24"/>
              </w:rPr>
            </w:pPr>
            <w:r>
              <w:rPr>
                <w:rFonts w:hint="eastAsia" w:eastAsia="等线"/>
                <w:color w:val="000000"/>
                <w:kern w:val="0"/>
                <w:sz w:val="24"/>
                <w:szCs w:val="24"/>
              </w:rPr>
              <w:t>7.6608</w:t>
            </w:r>
          </w:p>
        </w:tc>
        <w:tc>
          <w:tcPr>
            <w:tcW w:w="1454" w:type="pct"/>
            <w:shd w:val="clear" w:color="auto" w:fill="auto"/>
            <w:vAlign w:val="center"/>
          </w:tcPr>
          <w:p>
            <w:pPr>
              <w:widowControl/>
              <w:spacing w:line="240" w:lineRule="auto"/>
              <w:ind w:firstLine="0" w:firstLineChars="0"/>
              <w:jc w:val="center"/>
              <w:rPr>
                <w:rFonts w:eastAsia="等线"/>
                <w:color w:val="000000"/>
                <w:kern w:val="0"/>
                <w:sz w:val="24"/>
                <w:szCs w:val="24"/>
              </w:rPr>
            </w:pPr>
            <w:r>
              <w:rPr>
                <w:rFonts w:hint="eastAsia" w:eastAsia="等线"/>
                <w:color w:val="000000"/>
                <w:kern w:val="0"/>
                <w:sz w:val="24"/>
                <w:szCs w:val="24"/>
              </w:rPr>
              <w:t>4.5965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84" w:type="pct"/>
            <w:shd w:val="clear" w:color="auto" w:fill="auto"/>
            <w:vAlign w:val="center"/>
          </w:tcPr>
          <w:p>
            <w:pPr>
              <w:widowControl/>
              <w:spacing w:line="240" w:lineRule="auto"/>
              <w:ind w:firstLine="0" w:firstLineChars="0"/>
              <w:jc w:val="center"/>
              <w:rPr>
                <w:rFonts w:eastAsia="等线"/>
                <w:color w:val="000000"/>
                <w:kern w:val="0"/>
                <w:sz w:val="24"/>
                <w:szCs w:val="24"/>
              </w:rPr>
            </w:pPr>
            <w:r>
              <w:rPr>
                <w:rFonts w:eastAsia="等线"/>
                <w:color w:val="000000"/>
                <w:kern w:val="0"/>
                <w:sz w:val="24"/>
                <w:szCs w:val="24"/>
              </w:rPr>
              <w:t>3</w:t>
            </w:r>
          </w:p>
        </w:tc>
        <w:tc>
          <w:tcPr>
            <w:tcW w:w="1478" w:type="pct"/>
            <w:shd w:val="clear" w:color="auto" w:fill="auto"/>
            <w:vAlign w:val="center"/>
          </w:tcPr>
          <w:p>
            <w:pPr>
              <w:widowControl/>
              <w:spacing w:line="240"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中心片区</w:t>
            </w:r>
          </w:p>
        </w:tc>
        <w:tc>
          <w:tcPr>
            <w:tcW w:w="1584" w:type="pct"/>
            <w:shd w:val="clear" w:color="auto" w:fill="auto"/>
            <w:vAlign w:val="center"/>
          </w:tcPr>
          <w:p>
            <w:pPr>
              <w:widowControl/>
              <w:spacing w:line="240" w:lineRule="auto"/>
              <w:ind w:firstLine="0" w:firstLineChars="0"/>
              <w:jc w:val="center"/>
              <w:rPr>
                <w:rFonts w:eastAsia="等线"/>
                <w:color w:val="000000"/>
                <w:kern w:val="0"/>
                <w:sz w:val="24"/>
                <w:szCs w:val="24"/>
              </w:rPr>
            </w:pPr>
            <w:r>
              <w:rPr>
                <w:rFonts w:hint="eastAsia" w:eastAsia="等线"/>
                <w:color w:val="000000"/>
                <w:kern w:val="0"/>
                <w:sz w:val="24"/>
                <w:szCs w:val="24"/>
              </w:rPr>
              <w:t>1.16</w:t>
            </w:r>
            <w:r>
              <w:rPr>
                <w:rFonts w:eastAsia="等线"/>
                <w:color w:val="000000"/>
                <w:kern w:val="0"/>
                <w:sz w:val="24"/>
                <w:szCs w:val="24"/>
              </w:rPr>
              <w:t>88</w:t>
            </w:r>
          </w:p>
        </w:tc>
        <w:tc>
          <w:tcPr>
            <w:tcW w:w="1454" w:type="pct"/>
            <w:shd w:val="clear" w:color="auto" w:fill="auto"/>
            <w:vAlign w:val="center"/>
          </w:tcPr>
          <w:p>
            <w:pPr>
              <w:widowControl/>
              <w:spacing w:line="240" w:lineRule="auto"/>
              <w:ind w:firstLine="0" w:firstLineChars="0"/>
              <w:jc w:val="center"/>
              <w:rPr>
                <w:rFonts w:eastAsia="等线"/>
                <w:color w:val="000000"/>
                <w:kern w:val="0"/>
                <w:sz w:val="24"/>
                <w:szCs w:val="24"/>
              </w:rPr>
            </w:pPr>
            <w:r>
              <w:rPr>
                <w:rFonts w:hint="eastAsia" w:eastAsia="等线"/>
                <w:color w:val="000000"/>
                <w:kern w:val="0"/>
                <w:sz w:val="24"/>
                <w:szCs w:val="24"/>
              </w:rPr>
              <w:t>0.701</w:t>
            </w:r>
            <w:r>
              <w:rPr>
                <w:rFonts w:eastAsia="等线"/>
                <w:color w:val="000000"/>
                <w:kern w:val="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962" w:type="pct"/>
            <w:gridSpan w:val="2"/>
            <w:shd w:val="clear" w:color="auto" w:fill="auto"/>
            <w:vAlign w:val="center"/>
          </w:tcPr>
          <w:p>
            <w:pPr>
              <w:widowControl/>
              <w:spacing w:line="240" w:lineRule="auto"/>
              <w:ind w:firstLine="0" w:firstLineChars="0"/>
              <w:jc w:val="center"/>
              <w:rPr>
                <w:rFonts w:ascii="仿宋" w:hAnsi="仿宋" w:cs="宋体"/>
                <w:b/>
                <w:bCs/>
                <w:color w:val="000000"/>
                <w:kern w:val="0"/>
                <w:sz w:val="24"/>
                <w:szCs w:val="24"/>
              </w:rPr>
            </w:pPr>
            <w:r>
              <w:rPr>
                <w:rFonts w:hint="eastAsia" w:ascii="仿宋" w:hAnsi="仿宋" w:cs="宋体"/>
                <w:b/>
                <w:bCs/>
                <w:color w:val="000000"/>
                <w:kern w:val="0"/>
                <w:sz w:val="24"/>
                <w:szCs w:val="24"/>
              </w:rPr>
              <w:t>合计</w:t>
            </w:r>
          </w:p>
        </w:tc>
        <w:tc>
          <w:tcPr>
            <w:tcW w:w="1584" w:type="pct"/>
            <w:shd w:val="clear" w:color="auto" w:fill="auto"/>
            <w:vAlign w:val="center"/>
          </w:tcPr>
          <w:p>
            <w:pPr>
              <w:widowControl/>
              <w:spacing w:line="240" w:lineRule="auto"/>
              <w:ind w:firstLine="0" w:firstLineChars="0"/>
              <w:jc w:val="center"/>
              <w:rPr>
                <w:rFonts w:eastAsia="等线"/>
                <w:b/>
                <w:bCs/>
                <w:color w:val="000000"/>
                <w:kern w:val="0"/>
                <w:sz w:val="24"/>
                <w:szCs w:val="24"/>
              </w:rPr>
            </w:pPr>
            <w:r>
              <w:rPr>
                <w:rFonts w:hint="eastAsia" w:eastAsia="等线"/>
                <w:b/>
                <w:bCs/>
                <w:color w:val="000000"/>
                <w:kern w:val="0"/>
                <w:sz w:val="24"/>
                <w:szCs w:val="24"/>
              </w:rPr>
              <w:t>12.5983</w:t>
            </w:r>
          </w:p>
        </w:tc>
        <w:tc>
          <w:tcPr>
            <w:tcW w:w="1454" w:type="pct"/>
            <w:shd w:val="clear" w:color="auto" w:fill="auto"/>
            <w:vAlign w:val="center"/>
          </w:tcPr>
          <w:p>
            <w:pPr>
              <w:widowControl/>
              <w:spacing w:line="240" w:lineRule="auto"/>
              <w:ind w:firstLine="0" w:firstLineChars="0"/>
              <w:jc w:val="center"/>
              <w:rPr>
                <w:rFonts w:eastAsia="等线"/>
                <w:b/>
                <w:bCs/>
                <w:color w:val="000000"/>
                <w:kern w:val="0"/>
                <w:sz w:val="24"/>
                <w:szCs w:val="24"/>
              </w:rPr>
            </w:pPr>
            <w:r>
              <w:rPr>
                <w:rFonts w:hint="eastAsia" w:eastAsia="等线"/>
                <w:b/>
                <w:bCs/>
                <w:color w:val="000000"/>
                <w:kern w:val="0"/>
                <w:sz w:val="24"/>
                <w:szCs w:val="24"/>
              </w:rPr>
              <w:t>7.5590</w:t>
            </w:r>
          </w:p>
        </w:tc>
      </w:tr>
    </w:tbl>
    <w:p>
      <w:pPr>
        <w:pStyle w:val="3"/>
      </w:pPr>
      <w:bookmarkStart w:id="48" w:name="_Toc115364059"/>
      <w:bookmarkStart w:id="49" w:name="_Toc115364433"/>
      <w:r>
        <w:rPr>
          <w:rFonts w:hint="eastAsia"/>
        </w:rPr>
        <w:t>四、合规性分析</w:t>
      </w:r>
      <w:bookmarkEnd w:id="48"/>
      <w:bookmarkEnd w:id="49"/>
    </w:p>
    <w:p>
      <w:pPr>
        <w:ind w:firstLine="560"/>
        <w:rPr>
          <w:b/>
        </w:rPr>
      </w:pPr>
      <w:r>
        <w:rPr>
          <w:rFonts w:hint="eastAsia"/>
        </w:rPr>
        <w:t>根据《广东省自然资源厅关于规范土地征收成片开发工作的通知》（粤自然资发〔2021〕20号）等相关政策文件要求，本方案充分衔接有关政策要求，方案符合情况详见表2。</w:t>
      </w:r>
    </w:p>
    <w:p>
      <w:pPr>
        <w:ind w:firstLine="0" w:firstLineChars="0"/>
        <w:jc w:val="center"/>
        <w:rPr>
          <w:b/>
          <w:sz w:val="24"/>
          <w:szCs w:val="21"/>
        </w:rPr>
      </w:pPr>
      <w:r>
        <w:rPr>
          <w:rFonts w:hint="eastAsia"/>
          <w:b/>
          <w:sz w:val="24"/>
          <w:szCs w:val="21"/>
        </w:rPr>
        <w:t>表2</w:t>
      </w:r>
      <w:r>
        <w:rPr>
          <w:b/>
          <w:sz w:val="24"/>
          <w:szCs w:val="21"/>
        </w:rPr>
        <w:t xml:space="preserve"> </w:t>
      </w:r>
      <w:r>
        <w:rPr>
          <w:rFonts w:hint="eastAsia"/>
          <w:b/>
          <w:sz w:val="24"/>
          <w:szCs w:val="21"/>
        </w:rPr>
        <w:t>成片开发方案合规性分析表</w:t>
      </w:r>
    </w:p>
    <w:tbl>
      <w:tblPr>
        <w:tblStyle w:val="15"/>
        <w:tblW w:w="4894" w:type="pct"/>
        <w:tblInd w:w="81" w:type="dxa"/>
        <w:tblLayout w:type="fixed"/>
        <w:tblCellMar>
          <w:top w:w="0" w:type="dxa"/>
          <w:left w:w="108" w:type="dxa"/>
          <w:bottom w:w="0" w:type="dxa"/>
          <w:right w:w="108" w:type="dxa"/>
        </w:tblCellMar>
      </w:tblPr>
      <w:tblGrid>
        <w:gridCol w:w="495"/>
        <w:gridCol w:w="2329"/>
        <w:gridCol w:w="5517"/>
      </w:tblGrid>
      <w:tr>
        <w:tblPrEx>
          <w:tblCellMar>
            <w:top w:w="0" w:type="dxa"/>
            <w:left w:w="108" w:type="dxa"/>
            <w:bottom w:w="0" w:type="dxa"/>
            <w:right w:w="108" w:type="dxa"/>
          </w:tblCellMar>
        </w:tblPrEx>
        <w:trPr>
          <w:trHeight w:val="288" w:hRule="atLeast"/>
          <w:tblHeader/>
        </w:trPr>
        <w:tc>
          <w:tcPr>
            <w:tcW w:w="29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b/>
                <w:color w:val="000000"/>
                <w:kern w:val="0"/>
                <w:sz w:val="24"/>
                <w:szCs w:val="24"/>
              </w:rPr>
            </w:pPr>
            <w:r>
              <w:rPr>
                <w:rFonts w:hint="eastAsia" w:ascii="仿宋" w:hAnsi="仿宋" w:cs="宋体"/>
                <w:b/>
                <w:color w:val="000000"/>
                <w:kern w:val="0"/>
                <w:sz w:val="24"/>
                <w:szCs w:val="24"/>
              </w:rPr>
              <w:t>序号</w:t>
            </w:r>
          </w:p>
        </w:tc>
        <w:tc>
          <w:tcPr>
            <w:tcW w:w="1396"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b/>
                <w:color w:val="000000"/>
                <w:kern w:val="0"/>
                <w:sz w:val="24"/>
                <w:szCs w:val="24"/>
              </w:rPr>
            </w:pPr>
            <w:r>
              <w:rPr>
                <w:rFonts w:hint="eastAsia" w:ascii="仿宋" w:hAnsi="仿宋" w:cs="宋体"/>
                <w:b/>
                <w:color w:val="000000"/>
                <w:kern w:val="0"/>
                <w:sz w:val="24"/>
                <w:szCs w:val="24"/>
              </w:rPr>
              <w:t>土地征收成片开发方案衔接内容</w:t>
            </w:r>
          </w:p>
        </w:tc>
        <w:tc>
          <w:tcPr>
            <w:tcW w:w="3307"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b/>
                <w:color w:val="000000"/>
                <w:kern w:val="0"/>
                <w:sz w:val="24"/>
                <w:szCs w:val="24"/>
              </w:rPr>
            </w:pPr>
            <w:r>
              <w:rPr>
                <w:rFonts w:hint="eastAsia" w:ascii="仿宋" w:hAnsi="仿宋" w:cs="宋体"/>
                <w:b/>
                <w:color w:val="000000"/>
                <w:kern w:val="0"/>
                <w:sz w:val="24"/>
                <w:szCs w:val="24"/>
              </w:rPr>
              <w:t>方案符合情况</w:t>
            </w:r>
          </w:p>
        </w:tc>
      </w:tr>
      <w:tr>
        <w:tblPrEx>
          <w:tblCellMar>
            <w:top w:w="0" w:type="dxa"/>
            <w:left w:w="108" w:type="dxa"/>
            <w:bottom w:w="0" w:type="dxa"/>
            <w:right w:w="108" w:type="dxa"/>
          </w:tblCellMar>
        </w:tblPrEx>
        <w:trPr>
          <w:trHeight w:val="288" w:hRule="atLeast"/>
        </w:trPr>
        <w:tc>
          <w:tcPr>
            <w:tcW w:w="29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4"/>
                <w:szCs w:val="24"/>
              </w:rPr>
            </w:pPr>
            <w:r>
              <w:rPr>
                <w:rFonts w:eastAsia="等线"/>
                <w:color w:val="000000"/>
                <w:kern w:val="0"/>
                <w:sz w:val="24"/>
                <w:szCs w:val="24"/>
              </w:rPr>
              <w:t>1</w:t>
            </w:r>
          </w:p>
        </w:tc>
        <w:tc>
          <w:tcPr>
            <w:tcW w:w="139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在编国土空间规划情况</w:t>
            </w:r>
          </w:p>
        </w:tc>
        <w:tc>
          <w:tcPr>
            <w:tcW w:w="33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 w:hAnsi="仿宋" w:cs="宋体"/>
                <w:color w:val="000000"/>
                <w:kern w:val="0"/>
                <w:sz w:val="24"/>
                <w:szCs w:val="24"/>
              </w:rPr>
            </w:pPr>
            <w:r>
              <w:rPr>
                <w:rFonts w:hint="eastAsia" w:ascii="仿宋" w:hAnsi="仿宋" w:cs="宋体"/>
                <w:color w:val="000000"/>
                <w:kern w:val="0"/>
                <w:sz w:val="24"/>
                <w:szCs w:val="24"/>
              </w:rPr>
              <w:t>不涉及永久基本农田、生态保护红线；成片开发范围均位于城镇开发边界集中建设区内。</w:t>
            </w:r>
          </w:p>
        </w:tc>
      </w:tr>
      <w:tr>
        <w:tblPrEx>
          <w:tblCellMar>
            <w:top w:w="0" w:type="dxa"/>
            <w:left w:w="108" w:type="dxa"/>
            <w:bottom w:w="0" w:type="dxa"/>
            <w:right w:w="108" w:type="dxa"/>
          </w:tblCellMar>
        </w:tblPrEx>
        <w:trPr>
          <w:trHeight w:val="288" w:hRule="atLeast"/>
        </w:trPr>
        <w:tc>
          <w:tcPr>
            <w:tcW w:w="29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4"/>
                <w:szCs w:val="24"/>
              </w:rPr>
            </w:pPr>
            <w:r>
              <w:rPr>
                <w:rFonts w:eastAsia="等线"/>
                <w:color w:val="000000"/>
                <w:kern w:val="0"/>
                <w:sz w:val="24"/>
                <w:szCs w:val="24"/>
              </w:rPr>
              <w:t>2</w:t>
            </w:r>
          </w:p>
        </w:tc>
        <w:tc>
          <w:tcPr>
            <w:tcW w:w="139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土地利用效率情况</w:t>
            </w:r>
          </w:p>
        </w:tc>
        <w:tc>
          <w:tcPr>
            <w:tcW w:w="33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 w:hAnsi="仿宋" w:cs="宋体"/>
                <w:color w:val="000000"/>
                <w:kern w:val="0"/>
                <w:sz w:val="24"/>
                <w:szCs w:val="24"/>
              </w:rPr>
            </w:pPr>
            <w:r>
              <w:rPr>
                <w:rFonts w:hint="eastAsia" w:ascii="仿宋" w:hAnsi="仿宋" w:cs="宋体"/>
                <w:color w:val="000000"/>
                <w:kern w:val="0"/>
                <w:sz w:val="24"/>
                <w:szCs w:val="24"/>
              </w:rPr>
              <w:t>石排镇近五年供地率</w:t>
            </w:r>
            <w:r>
              <w:rPr>
                <w:rFonts w:hint="eastAsia"/>
                <w:sz w:val="24"/>
                <w:szCs w:val="24"/>
              </w:rPr>
              <w:t>64.74%</w:t>
            </w:r>
            <w:r>
              <w:rPr>
                <w:rFonts w:hint="eastAsia" w:ascii="仿宋" w:hAnsi="仿宋" w:cs="宋体"/>
                <w:color w:val="000000"/>
                <w:kern w:val="0"/>
                <w:sz w:val="24"/>
                <w:szCs w:val="24"/>
              </w:rPr>
              <w:t>，土地闲置率低于</w:t>
            </w:r>
            <w:r>
              <w:rPr>
                <w:rFonts w:hint="eastAsia"/>
                <w:sz w:val="24"/>
                <w:szCs w:val="24"/>
              </w:rPr>
              <w:t>5%</w:t>
            </w:r>
            <w:r>
              <w:rPr>
                <w:rFonts w:hint="eastAsia" w:ascii="仿宋" w:hAnsi="仿宋" w:cs="宋体"/>
                <w:color w:val="000000"/>
                <w:kern w:val="0"/>
                <w:sz w:val="24"/>
                <w:szCs w:val="24"/>
              </w:rPr>
              <w:t>，不存在大量批而未供或闲置土地。</w:t>
            </w:r>
          </w:p>
        </w:tc>
      </w:tr>
      <w:tr>
        <w:tblPrEx>
          <w:tblCellMar>
            <w:top w:w="0" w:type="dxa"/>
            <w:left w:w="108" w:type="dxa"/>
            <w:bottom w:w="0" w:type="dxa"/>
            <w:right w:w="108" w:type="dxa"/>
          </w:tblCellMar>
        </w:tblPrEx>
        <w:trPr>
          <w:trHeight w:val="288" w:hRule="atLeast"/>
        </w:trPr>
        <w:tc>
          <w:tcPr>
            <w:tcW w:w="29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4"/>
                <w:szCs w:val="24"/>
              </w:rPr>
            </w:pPr>
            <w:r>
              <w:rPr>
                <w:rFonts w:eastAsia="等线"/>
                <w:color w:val="000000"/>
                <w:kern w:val="0"/>
                <w:sz w:val="24"/>
                <w:szCs w:val="24"/>
              </w:rPr>
              <w:t>3</w:t>
            </w:r>
          </w:p>
        </w:tc>
        <w:tc>
          <w:tcPr>
            <w:tcW w:w="139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现行规划符合情况</w:t>
            </w:r>
          </w:p>
        </w:tc>
        <w:tc>
          <w:tcPr>
            <w:tcW w:w="33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 w:hAnsi="仿宋" w:cs="宋体"/>
                <w:color w:val="000000"/>
                <w:kern w:val="0"/>
                <w:sz w:val="24"/>
                <w:szCs w:val="24"/>
              </w:rPr>
            </w:pPr>
            <w:r>
              <w:rPr>
                <w:rFonts w:hint="eastAsia" w:ascii="仿宋" w:hAnsi="仿宋" w:cs="宋体"/>
                <w:color w:val="000000"/>
                <w:kern w:val="0"/>
                <w:sz w:val="24"/>
                <w:szCs w:val="24"/>
              </w:rPr>
              <w:t>本方案涉及塘尾古城片区、石崇组团片区、中心片区均位于土地利用总体规划确定的城镇建设用地范围内。</w:t>
            </w:r>
          </w:p>
        </w:tc>
      </w:tr>
      <w:tr>
        <w:tblPrEx>
          <w:tblCellMar>
            <w:top w:w="0" w:type="dxa"/>
            <w:left w:w="108" w:type="dxa"/>
            <w:bottom w:w="0" w:type="dxa"/>
            <w:right w:w="108" w:type="dxa"/>
          </w:tblCellMar>
        </w:tblPrEx>
        <w:trPr>
          <w:trHeight w:val="288" w:hRule="atLeast"/>
        </w:trPr>
        <w:tc>
          <w:tcPr>
            <w:tcW w:w="29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4"/>
                <w:szCs w:val="24"/>
              </w:rPr>
            </w:pPr>
            <w:r>
              <w:rPr>
                <w:rFonts w:eastAsia="等线"/>
                <w:color w:val="000000"/>
                <w:kern w:val="0"/>
                <w:sz w:val="24"/>
                <w:szCs w:val="24"/>
              </w:rPr>
              <w:t>4</w:t>
            </w:r>
          </w:p>
        </w:tc>
        <w:tc>
          <w:tcPr>
            <w:tcW w:w="139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公益性用地占比与拟实施土地征收成片开发面积占比</w:t>
            </w:r>
          </w:p>
        </w:tc>
        <w:tc>
          <w:tcPr>
            <w:tcW w:w="33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 w:hAnsi="仿宋" w:cs="宋体"/>
                <w:color w:val="000000"/>
                <w:kern w:val="0"/>
                <w:sz w:val="24"/>
                <w:szCs w:val="24"/>
              </w:rPr>
            </w:pPr>
            <w:r>
              <w:rPr>
                <w:rFonts w:hint="eastAsia" w:ascii="仿宋" w:hAnsi="仿宋" w:cs="宋体"/>
                <w:color w:val="000000"/>
                <w:kern w:val="0"/>
                <w:sz w:val="24"/>
                <w:szCs w:val="24"/>
              </w:rPr>
              <w:t>各片区公益性用地占比均达</w:t>
            </w:r>
            <w:r>
              <w:rPr>
                <w:rFonts w:hint="eastAsia"/>
                <w:sz w:val="24"/>
                <w:szCs w:val="24"/>
              </w:rPr>
              <w:t>40%</w:t>
            </w:r>
            <w:r>
              <w:rPr>
                <w:rFonts w:hint="eastAsia" w:ascii="仿宋" w:hAnsi="仿宋" w:cs="宋体"/>
                <w:color w:val="000000"/>
                <w:kern w:val="0"/>
                <w:sz w:val="24"/>
                <w:szCs w:val="24"/>
              </w:rPr>
              <w:t>；拟实施土地征收成片开发面积均达</w:t>
            </w:r>
            <w:r>
              <w:rPr>
                <w:rFonts w:hint="eastAsia"/>
                <w:sz w:val="24"/>
                <w:szCs w:val="24"/>
              </w:rPr>
              <w:t>60%。</w:t>
            </w:r>
          </w:p>
        </w:tc>
      </w:tr>
      <w:tr>
        <w:tblPrEx>
          <w:tblCellMar>
            <w:top w:w="0" w:type="dxa"/>
            <w:left w:w="108" w:type="dxa"/>
            <w:bottom w:w="0" w:type="dxa"/>
            <w:right w:w="108" w:type="dxa"/>
          </w:tblCellMar>
        </w:tblPrEx>
        <w:trPr>
          <w:trHeight w:val="288" w:hRule="atLeast"/>
        </w:trPr>
        <w:tc>
          <w:tcPr>
            <w:tcW w:w="29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4"/>
                <w:szCs w:val="24"/>
              </w:rPr>
            </w:pPr>
            <w:r>
              <w:rPr>
                <w:rFonts w:eastAsia="等线"/>
                <w:color w:val="000000"/>
                <w:kern w:val="0"/>
                <w:sz w:val="24"/>
                <w:szCs w:val="24"/>
              </w:rPr>
              <w:t>5</w:t>
            </w:r>
          </w:p>
        </w:tc>
        <w:tc>
          <w:tcPr>
            <w:tcW w:w="139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国民经济和社会发展年度计划</w:t>
            </w:r>
          </w:p>
        </w:tc>
        <w:tc>
          <w:tcPr>
            <w:tcW w:w="33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 w:hAnsi="仿宋" w:cs="宋体"/>
                <w:color w:val="000000"/>
                <w:kern w:val="0"/>
                <w:sz w:val="24"/>
                <w:szCs w:val="24"/>
              </w:rPr>
            </w:pPr>
            <w:r>
              <w:rPr>
                <w:rFonts w:hint="eastAsia" w:ascii="仿宋" w:hAnsi="仿宋" w:cs="宋体"/>
                <w:color w:val="000000"/>
                <w:kern w:val="0"/>
                <w:sz w:val="24"/>
                <w:szCs w:val="24"/>
              </w:rPr>
              <w:t>拟实施土地征收成片开发项目均已纳入国民经济和社会发展年度计划。</w:t>
            </w:r>
          </w:p>
        </w:tc>
      </w:tr>
      <w:tr>
        <w:tblPrEx>
          <w:tblCellMar>
            <w:top w:w="0" w:type="dxa"/>
            <w:left w:w="108" w:type="dxa"/>
            <w:bottom w:w="0" w:type="dxa"/>
            <w:right w:w="108" w:type="dxa"/>
          </w:tblCellMar>
        </w:tblPrEx>
        <w:trPr>
          <w:trHeight w:val="288" w:hRule="atLeast"/>
        </w:trPr>
        <w:tc>
          <w:tcPr>
            <w:tcW w:w="29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4"/>
                <w:szCs w:val="24"/>
              </w:rPr>
            </w:pPr>
            <w:r>
              <w:rPr>
                <w:rFonts w:hint="eastAsia" w:eastAsia="等线"/>
                <w:color w:val="000000"/>
                <w:kern w:val="0"/>
                <w:sz w:val="24"/>
                <w:szCs w:val="24"/>
              </w:rPr>
              <w:t>6</w:t>
            </w:r>
          </w:p>
        </w:tc>
        <w:tc>
          <w:tcPr>
            <w:tcW w:w="13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已批的成片开发方案实施情况</w:t>
            </w:r>
          </w:p>
        </w:tc>
        <w:tc>
          <w:tcPr>
            <w:tcW w:w="330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 w:hAnsi="仿宋" w:cs="宋体"/>
                <w:color w:val="000000"/>
                <w:kern w:val="0"/>
                <w:sz w:val="24"/>
                <w:szCs w:val="24"/>
              </w:rPr>
            </w:pPr>
            <w:r>
              <w:rPr>
                <w:rFonts w:hint="eastAsia" w:ascii="仿宋" w:hAnsi="仿宋" w:cs="宋体"/>
                <w:color w:val="000000"/>
                <w:kern w:val="0"/>
                <w:sz w:val="24"/>
                <w:szCs w:val="24"/>
              </w:rPr>
              <w:t>石排镇已批成片开发方案共涉及鸿运路片区和石鑫路片区两个片区，</w:t>
            </w:r>
            <w:r>
              <w:rPr>
                <w:rFonts w:hint="eastAsia" w:ascii="仿宋" w:hAnsi="仿宋" w:cs="宋体"/>
                <w:color w:val="000000"/>
                <w:kern w:val="0"/>
                <w:sz w:val="24"/>
                <w:szCs w:val="24"/>
                <w:lang w:eastAsia="zh-CN"/>
              </w:rPr>
              <w:t>截至</w:t>
            </w:r>
            <w:bookmarkStart w:id="75" w:name="_GoBack"/>
            <w:bookmarkEnd w:id="75"/>
            <w:r>
              <w:rPr>
                <w:rFonts w:hint="eastAsia" w:ascii="仿宋" w:hAnsi="仿宋" w:cs="宋体"/>
                <w:color w:val="000000"/>
                <w:kern w:val="0"/>
                <w:sz w:val="24"/>
                <w:szCs w:val="24"/>
              </w:rPr>
              <w:t>目前完成率</w:t>
            </w:r>
            <w:r>
              <w:rPr>
                <w:rFonts w:hint="eastAsia"/>
                <w:sz w:val="24"/>
                <w:szCs w:val="24"/>
              </w:rPr>
              <w:t>100%。</w:t>
            </w:r>
          </w:p>
        </w:tc>
      </w:tr>
      <w:tr>
        <w:tblPrEx>
          <w:tblCellMar>
            <w:top w:w="0" w:type="dxa"/>
            <w:left w:w="108" w:type="dxa"/>
            <w:bottom w:w="0" w:type="dxa"/>
            <w:right w:w="108" w:type="dxa"/>
          </w:tblCellMar>
        </w:tblPrEx>
        <w:trPr>
          <w:trHeight w:val="288" w:hRule="atLeast"/>
        </w:trPr>
        <w:tc>
          <w:tcPr>
            <w:tcW w:w="29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kern w:val="0"/>
                <w:sz w:val="24"/>
                <w:szCs w:val="24"/>
              </w:rPr>
            </w:pPr>
            <w:r>
              <w:rPr>
                <w:rFonts w:hint="eastAsia" w:eastAsia="等线"/>
                <w:color w:val="000000"/>
                <w:kern w:val="0"/>
                <w:sz w:val="24"/>
                <w:szCs w:val="24"/>
              </w:rPr>
              <w:t>7</w:t>
            </w:r>
          </w:p>
        </w:tc>
        <w:tc>
          <w:tcPr>
            <w:tcW w:w="13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与已批准实施成片开发方案重叠情况</w:t>
            </w:r>
          </w:p>
        </w:tc>
        <w:tc>
          <w:tcPr>
            <w:tcW w:w="330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rPr>
                <w:rFonts w:ascii="仿宋" w:hAnsi="仿宋" w:cs="宋体"/>
                <w:color w:val="000000"/>
                <w:kern w:val="0"/>
                <w:sz w:val="24"/>
                <w:szCs w:val="24"/>
              </w:rPr>
            </w:pPr>
            <w:r>
              <w:rPr>
                <w:rFonts w:hint="eastAsia" w:ascii="仿宋" w:hAnsi="仿宋" w:cs="宋体"/>
                <w:color w:val="000000"/>
                <w:kern w:val="0"/>
                <w:sz w:val="24"/>
                <w:szCs w:val="24"/>
              </w:rPr>
              <w:t>目前共组织</w:t>
            </w:r>
            <w:r>
              <w:rPr>
                <w:rFonts w:hint="eastAsia"/>
                <w:sz w:val="24"/>
                <w:szCs w:val="24"/>
              </w:rPr>
              <w:t>1</w:t>
            </w:r>
            <w:r>
              <w:rPr>
                <w:rFonts w:hint="eastAsia" w:ascii="仿宋" w:hAnsi="仿宋" w:cs="宋体"/>
                <w:color w:val="000000"/>
                <w:kern w:val="0"/>
                <w:sz w:val="24"/>
                <w:szCs w:val="24"/>
              </w:rPr>
              <w:t>次成片开发方案编制工作，即《东莞市石排镇</w:t>
            </w:r>
            <w:r>
              <w:rPr>
                <w:rFonts w:hint="eastAsia"/>
                <w:sz w:val="24"/>
                <w:szCs w:val="24"/>
              </w:rPr>
              <w:t>2021</w:t>
            </w:r>
            <w:r>
              <w:rPr>
                <w:rFonts w:hint="eastAsia" w:ascii="仿宋" w:hAnsi="仿宋" w:cs="宋体"/>
                <w:color w:val="000000"/>
                <w:kern w:val="0"/>
                <w:sz w:val="24"/>
                <w:szCs w:val="24"/>
              </w:rPr>
              <w:t>年度土地征收成片开发方案》，本次成片开发范围未与该方案重叠。</w:t>
            </w:r>
          </w:p>
        </w:tc>
      </w:tr>
    </w:tbl>
    <w:p>
      <w:pPr>
        <w:pStyle w:val="3"/>
      </w:pPr>
      <w:bookmarkStart w:id="50" w:name="_Toc115364434"/>
      <w:bookmarkStart w:id="51" w:name="_Toc115364060"/>
      <w:r>
        <w:rPr>
          <w:rFonts w:hint="eastAsia"/>
        </w:rPr>
        <w:t>五、土地用途与公益性用地情况</w:t>
      </w:r>
      <w:bookmarkEnd w:id="50"/>
      <w:bookmarkEnd w:id="51"/>
    </w:p>
    <w:p>
      <w:pPr>
        <w:pStyle w:val="4"/>
      </w:pPr>
      <w:bookmarkStart w:id="52" w:name="_Toc115364061"/>
      <w:bookmarkStart w:id="53" w:name="_Toc115364435"/>
      <w:r>
        <w:rPr>
          <w:rFonts w:hint="eastAsia"/>
        </w:rPr>
        <w:t>（一）土地用途</w:t>
      </w:r>
      <w:bookmarkEnd w:id="52"/>
      <w:bookmarkEnd w:id="53"/>
    </w:p>
    <w:p>
      <w:pPr>
        <w:ind w:firstLine="560"/>
      </w:pPr>
      <w:r>
        <w:rPr>
          <w:rFonts w:hint="eastAsia"/>
        </w:rPr>
        <w:t>根据城市（镇）总体规划、控制性详细规划确定的土地用途，本方案规划用途如下：</w:t>
      </w:r>
    </w:p>
    <w:p>
      <w:pPr>
        <w:ind w:firstLine="0" w:firstLineChars="0"/>
        <w:jc w:val="center"/>
        <w:rPr>
          <w:b/>
          <w:sz w:val="24"/>
          <w:szCs w:val="21"/>
        </w:rPr>
      </w:pPr>
      <w:r>
        <w:rPr>
          <w:rFonts w:hint="eastAsia"/>
          <w:b/>
          <w:sz w:val="24"/>
          <w:szCs w:val="21"/>
        </w:rPr>
        <w:t>表3</w:t>
      </w:r>
      <w:r>
        <w:rPr>
          <w:b/>
          <w:sz w:val="24"/>
          <w:szCs w:val="21"/>
        </w:rPr>
        <w:t xml:space="preserve"> </w:t>
      </w:r>
      <w:r>
        <w:rPr>
          <w:rFonts w:hint="eastAsia"/>
          <w:b/>
          <w:sz w:val="24"/>
          <w:szCs w:val="21"/>
        </w:rPr>
        <w:t>成片开发范围位置与面积情况表</w:t>
      </w:r>
    </w:p>
    <w:p>
      <w:pPr>
        <w:spacing w:line="240" w:lineRule="auto"/>
        <w:ind w:firstLine="0" w:firstLineChars="0"/>
        <w:jc w:val="right"/>
        <w:rPr>
          <w:b/>
          <w:sz w:val="24"/>
          <w:szCs w:val="21"/>
        </w:rPr>
      </w:pPr>
      <w:r>
        <w:rPr>
          <w:rFonts w:hint="eastAsia"/>
          <w:b/>
          <w:sz w:val="24"/>
          <w:szCs w:val="21"/>
        </w:rPr>
        <w:t>单位：公顷</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7"/>
        <w:gridCol w:w="3298"/>
        <w:gridCol w:w="1969"/>
        <w:gridCol w:w="1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1" w:type="pct"/>
            <w:noWrap/>
            <w:vAlign w:val="center"/>
          </w:tcPr>
          <w:p>
            <w:pPr>
              <w:widowControl/>
              <w:spacing w:line="300" w:lineRule="auto"/>
              <w:ind w:firstLine="0" w:firstLineChars="0"/>
              <w:jc w:val="center"/>
              <w:rPr>
                <w:rFonts w:ascii="仿宋" w:hAnsi="仿宋" w:cs="宋体"/>
                <w:b/>
                <w:bCs/>
                <w:color w:val="000000"/>
                <w:kern w:val="0"/>
                <w:sz w:val="24"/>
                <w:szCs w:val="24"/>
              </w:rPr>
            </w:pPr>
            <w:r>
              <w:rPr>
                <w:rFonts w:hint="eastAsia" w:ascii="仿宋" w:hAnsi="仿宋" w:cs="宋体"/>
                <w:b/>
                <w:bCs/>
                <w:color w:val="000000"/>
                <w:kern w:val="0"/>
                <w:sz w:val="24"/>
                <w:szCs w:val="24"/>
              </w:rPr>
              <w:t>序号</w:t>
            </w:r>
          </w:p>
        </w:tc>
        <w:tc>
          <w:tcPr>
            <w:tcW w:w="1935" w:type="pct"/>
            <w:noWrap/>
            <w:vAlign w:val="center"/>
          </w:tcPr>
          <w:p>
            <w:pPr>
              <w:widowControl/>
              <w:spacing w:line="300" w:lineRule="auto"/>
              <w:ind w:firstLine="0" w:firstLineChars="0"/>
              <w:jc w:val="center"/>
              <w:rPr>
                <w:rFonts w:ascii="仿宋" w:hAnsi="仿宋" w:cs="宋体"/>
                <w:b/>
                <w:bCs/>
                <w:color w:val="000000"/>
                <w:kern w:val="0"/>
                <w:sz w:val="24"/>
                <w:szCs w:val="24"/>
              </w:rPr>
            </w:pPr>
            <w:r>
              <w:rPr>
                <w:rFonts w:hint="eastAsia" w:ascii="仿宋" w:hAnsi="仿宋" w:cs="宋体"/>
                <w:b/>
                <w:bCs/>
                <w:color w:val="000000"/>
                <w:kern w:val="0"/>
                <w:sz w:val="24"/>
                <w:szCs w:val="24"/>
              </w:rPr>
              <w:t>规划地类</w:t>
            </w:r>
          </w:p>
        </w:tc>
        <w:tc>
          <w:tcPr>
            <w:tcW w:w="1155" w:type="pct"/>
            <w:noWrap/>
            <w:vAlign w:val="center"/>
          </w:tcPr>
          <w:p>
            <w:pPr>
              <w:widowControl/>
              <w:spacing w:line="300" w:lineRule="auto"/>
              <w:ind w:firstLine="0" w:firstLineChars="0"/>
              <w:jc w:val="center"/>
              <w:rPr>
                <w:rFonts w:ascii="仿宋" w:hAnsi="仿宋" w:cs="宋体"/>
                <w:b/>
                <w:bCs/>
                <w:color w:val="000000"/>
                <w:kern w:val="0"/>
                <w:sz w:val="24"/>
                <w:szCs w:val="24"/>
              </w:rPr>
            </w:pPr>
            <w:r>
              <w:rPr>
                <w:rFonts w:hint="eastAsia" w:ascii="仿宋" w:hAnsi="仿宋" w:cs="宋体"/>
                <w:b/>
                <w:bCs/>
                <w:color w:val="000000"/>
                <w:kern w:val="0"/>
                <w:sz w:val="24"/>
                <w:szCs w:val="24"/>
              </w:rPr>
              <w:t>面积</w:t>
            </w:r>
          </w:p>
        </w:tc>
        <w:tc>
          <w:tcPr>
            <w:tcW w:w="1149" w:type="pct"/>
            <w:noWrap/>
            <w:vAlign w:val="center"/>
          </w:tcPr>
          <w:p>
            <w:pPr>
              <w:widowControl/>
              <w:spacing w:line="300" w:lineRule="auto"/>
              <w:ind w:firstLine="0" w:firstLineChars="0"/>
              <w:jc w:val="center"/>
              <w:rPr>
                <w:rFonts w:ascii="仿宋" w:hAnsi="仿宋" w:cs="宋体"/>
                <w:b/>
                <w:bCs/>
                <w:color w:val="000000"/>
                <w:kern w:val="0"/>
                <w:sz w:val="24"/>
                <w:szCs w:val="24"/>
              </w:rPr>
            </w:pPr>
            <w:r>
              <w:rPr>
                <w:rFonts w:hint="eastAsia" w:ascii="仿宋" w:hAnsi="仿宋" w:cs="宋体"/>
                <w:b/>
                <w:bCs/>
                <w:color w:val="000000"/>
                <w:kern w:val="0"/>
                <w:sz w:val="24"/>
                <w:szCs w:val="24"/>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1" w:type="pct"/>
            <w:noWrap/>
            <w:vAlign w:val="center"/>
          </w:tcPr>
          <w:p>
            <w:pPr>
              <w:widowControl/>
              <w:spacing w:line="300" w:lineRule="auto"/>
              <w:ind w:firstLine="0" w:firstLineChars="0"/>
              <w:jc w:val="center"/>
              <w:rPr>
                <w:rFonts w:ascii="仿宋" w:hAnsi="仿宋" w:cs="宋体"/>
                <w:color w:val="000000"/>
                <w:kern w:val="0"/>
                <w:sz w:val="24"/>
                <w:szCs w:val="24"/>
              </w:rPr>
            </w:pPr>
            <w:r>
              <w:rPr>
                <w:rFonts w:ascii="仿宋" w:hAnsi="仿宋" w:cs="宋体"/>
                <w:color w:val="000000"/>
                <w:kern w:val="0"/>
                <w:sz w:val="24"/>
                <w:szCs w:val="24"/>
              </w:rPr>
              <w:t>1</w:t>
            </w:r>
          </w:p>
        </w:tc>
        <w:tc>
          <w:tcPr>
            <w:tcW w:w="1935" w:type="pct"/>
            <w:noWrap/>
            <w:vAlign w:val="center"/>
          </w:tcPr>
          <w:p>
            <w:pPr>
              <w:widowControl/>
              <w:spacing w:line="300"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城市道路用地</w:t>
            </w:r>
          </w:p>
        </w:tc>
        <w:tc>
          <w:tcPr>
            <w:tcW w:w="1155" w:type="pct"/>
            <w:noWrap/>
            <w:vAlign w:val="center"/>
          </w:tcPr>
          <w:p>
            <w:pPr>
              <w:widowControl/>
              <w:spacing w:line="300" w:lineRule="auto"/>
              <w:ind w:firstLine="0" w:firstLineChars="0"/>
              <w:jc w:val="center"/>
              <w:rPr>
                <w:sz w:val="24"/>
                <w:szCs w:val="21"/>
              </w:rPr>
            </w:pPr>
            <w:r>
              <w:rPr>
                <w:rFonts w:hint="eastAsia"/>
                <w:sz w:val="24"/>
                <w:szCs w:val="21"/>
              </w:rPr>
              <w:t>5.039</w:t>
            </w:r>
            <w:r>
              <w:rPr>
                <w:sz w:val="24"/>
                <w:szCs w:val="21"/>
              </w:rPr>
              <w:t>3</w:t>
            </w:r>
          </w:p>
        </w:tc>
        <w:tc>
          <w:tcPr>
            <w:tcW w:w="1149" w:type="pct"/>
            <w:noWrap/>
            <w:vAlign w:val="center"/>
          </w:tcPr>
          <w:p>
            <w:pPr>
              <w:widowControl/>
              <w:spacing w:line="300" w:lineRule="auto"/>
              <w:ind w:firstLine="0" w:firstLineChars="0"/>
              <w:jc w:val="center"/>
              <w:rPr>
                <w:sz w:val="24"/>
                <w:szCs w:val="21"/>
              </w:rPr>
            </w:pPr>
            <w:r>
              <w:rPr>
                <w:rFonts w:hint="eastAsia"/>
                <w:sz w:val="24"/>
                <w:szCs w:val="21"/>
              </w:rPr>
              <w:t>40.00</w:t>
            </w:r>
            <w:r>
              <w:rPr>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1" w:type="pct"/>
            <w:noWrap/>
            <w:vAlign w:val="center"/>
          </w:tcPr>
          <w:p>
            <w:pPr>
              <w:widowControl/>
              <w:spacing w:line="300" w:lineRule="auto"/>
              <w:ind w:firstLine="0" w:firstLineChars="0"/>
              <w:jc w:val="center"/>
              <w:rPr>
                <w:rFonts w:ascii="仿宋" w:hAnsi="仿宋" w:cs="宋体"/>
                <w:color w:val="000000"/>
                <w:kern w:val="0"/>
                <w:sz w:val="24"/>
                <w:szCs w:val="24"/>
              </w:rPr>
            </w:pPr>
            <w:r>
              <w:rPr>
                <w:rFonts w:ascii="仿宋" w:hAnsi="仿宋" w:cs="宋体"/>
                <w:color w:val="000000"/>
                <w:kern w:val="0"/>
                <w:sz w:val="24"/>
                <w:szCs w:val="24"/>
              </w:rPr>
              <w:t>2</w:t>
            </w:r>
          </w:p>
        </w:tc>
        <w:tc>
          <w:tcPr>
            <w:tcW w:w="1935" w:type="pct"/>
            <w:noWrap/>
            <w:vAlign w:val="center"/>
          </w:tcPr>
          <w:p>
            <w:pPr>
              <w:widowControl/>
              <w:spacing w:line="300"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工业用地</w:t>
            </w:r>
          </w:p>
        </w:tc>
        <w:tc>
          <w:tcPr>
            <w:tcW w:w="1155" w:type="pct"/>
            <w:noWrap/>
            <w:vAlign w:val="center"/>
          </w:tcPr>
          <w:p>
            <w:pPr>
              <w:widowControl/>
              <w:spacing w:line="300" w:lineRule="auto"/>
              <w:ind w:firstLine="0" w:firstLineChars="0"/>
              <w:jc w:val="center"/>
              <w:rPr>
                <w:sz w:val="24"/>
                <w:szCs w:val="21"/>
              </w:rPr>
            </w:pPr>
            <w:r>
              <w:rPr>
                <w:rFonts w:hint="eastAsia"/>
                <w:sz w:val="24"/>
                <w:szCs w:val="21"/>
              </w:rPr>
              <w:t>7.5590</w:t>
            </w:r>
          </w:p>
        </w:tc>
        <w:tc>
          <w:tcPr>
            <w:tcW w:w="1149" w:type="pct"/>
            <w:noWrap/>
            <w:vAlign w:val="center"/>
          </w:tcPr>
          <w:p>
            <w:pPr>
              <w:widowControl/>
              <w:spacing w:line="300" w:lineRule="auto"/>
              <w:ind w:firstLine="0" w:firstLineChars="0"/>
              <w:jc w:val="center"/>
              <w:rPr>
                <w:sz w:val="24"/>
                <w:szCs w:val="21"/>
              </w:rPr>
            </w:pPr>
            <w:r>
              <w:rPr>
                <w:rFonts w:hint="eastAsia"/>
                <w:sz w:val="24"/>
                <w:szCs w:val="21"/>
              </w:rPr>
              <w:t>60.00</w:t>
            </w:r>
            <w:r>
              <w:rPr>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96" w:type="pct"/>
            <w:gridSpan w:val="2"/>
            <w:noWrap/>
            <w:vAlign w:val="center"/>
          </w:tcPr>
          <w:p>
            <w:pPr>
              <w:widowControl/>
              <w:spacing w:line="300" w:lineRule="auto"/>
              <w:ind w:firstLine="0" w:firstLineChars="0"/>
              <w:jc w:val="center"/>
              <w:rPr>
                <w:rFonts w:ascii="仿宋" w:hAnsi="仿宋" w:cs="宋体"/>
                <w:b/>
                <w:bCs/>
                <w:color w:val="000000"/>
                <w:kern w:val="0"/>
                <w:sz w:val="24"/>
                <w:szCs w:val="24"/>
              </w:rPr>
            </w:pPr>
            <w:r>
              <w:rPr>
                <w:rFonts w:hint="eastAsia" w:ascii="仿宋" w:hAnsi="仿宋" w:cs="宋体"/>
                <w:b/>
                <w:bCs/>
                <w:color w:val="000000"/>
                <w:kern w:val="0"/>
                <w:sz w:val="24"/>
                <w:szCs w:val="24"/>
              </w:rPr>
              <w:t>合计</w:t>
            </w:r>
          </w:p>
        </w:tc>
        <w:tc>
          <w:tcPr>
            <w:tcW w:w="1155" w:type="pct"/>
            <w:noWrap/>
            <w:vAlign w:val="center"/>
          </w:tcPr>
          <w:p>
            <w:pPr>
              <w:widowControl/>
              <w:spacing w:line="300" w:lineRule="auto"/>
              <w:ind w:firstLine="0" w:firstLineChars="0"/>
              <w:jc w:val="center"/>
              <w:rPr>
                <w:b/>
                <w:bCs/>
                <w:sz w:val="24"/>
                <w:szCs w:val="21"/>
              </w:rPr>
            </w:pPr>
            <w:r>
              <w:rPr>
                <w:rFonts w:hint="eastAsia"/>
                <w:b/>
                <w:bCs/>
                <w:sz w:val="24"/>
                <w:szCs w:val="21"/>
              </w:rPr>
              <w:t>12.5983</w:t>
            </w:r>
          </w:p>
        </w:tc>
        <w:tc>
          <w:tcPr>
            <w:tcW w:w="1149" w:type="pct"/>
            <w:noWrap/>
            <w:vAlign w:val="center"/>
          </w:tcPr>
          <w:p>
            <w:pPr>
              <w:widowControl/>
              <w:spacing w:line="300" w:lineRule="auto"/>
              <w:ind w:firstLine="0" w:firstLineChars="0"/>
              <w:jc w:val="center"/>
              <w:rPr>
                <w:b/>
                <w:bCs/>
                <w:sz w:val="24"/>
                <w:szCs w:val="21"/>
              </w:rPr>
            </w:pPr>
            <w:r>
              <w:rPr>
                <w:b/>
                <w:bCs/>
                <w:sz w:val="24"/>
                <w:szCs w:val="21"/>
              </w:rPr>
              <w:t>100.00%</w:t>
            </w:r>
          </w:p>
        </w:tc>
      </w:tr>
    </w:tbl>
    <w:p>
      <w:pPr>
        <w:pStyle w:val="4"/>
      </w:pPr>
      <w:bookmarkStart w:id="54" w:name="_Toc115364062"/>
      <w:bookmarkStart w:id="55" w:name="_Toc115364436"/>
      <w:r>
        <w:rPr>
          <w:rFonts w:hint="eastAsia"/>
        </w:rPr>
        <w:t>（二）公益性用地情况</w:t>
      </w:r>
      <w:bookmarkEnd w:id="54"/>
      <w:bookmarkEnd w:id="55"/>
    </w:p>
    <w:p>
      <w:pPr>
        <w:ind w:firstLine="560"/>
      </w:pPr>
      <w:r>
        <w:rPr>
          <w:rFonts w:hint="eastAsia"/>
        </w:rPr>
        <w:t>根据城市（镇）总体规划、控制性详细规划确定的土地用途核算，本方案确定的成片开发范围内公益性用地占比均达到40%，详见表4。</w:t>
      </w:r>
    </w:p>
    <w:p>
      <w:pPr>
        <w:spacing w:before="197" w:beforeLines="50" w:line="240" w:lineRule="auto"/>
        <w:ind w:firstLine="0" w:firstLineChars="0"/>
        <w:jc w:val="center"/>
        <w:rPr>
          <w:b/>
          <w:sz w:val="24"/>
          <w:szCs w:val="21"/>
        </w:rPr>
      </w:pPr>
      <w:r>
        <w:rPr>
          <w:rFonts w:hint="eastAsia"/>
          <w:b/>
          <w:sz w:val="24"/>
          <w:szCs w:val="21"/>
        </w:rPr>
        <w:t>表4</w:t>
      </w:r>
      <w:r>
        <w:rPr>
          <w:b/>
          <w:sz w:val="24"/>
          <w:szCs w:val="21"/>
        </w:rPr>
        <w:t xml:space="preserve"> </w:t>
      </w:r>
      <w:r>
        <w:rPr>
          <w:rFonts w:hint="eastAsia"/>
          <w:b/>
          <w:sz w:val="24"/>
          <w:szCs w:val="21"/>
        </w:rPr>
        <w:t>成片开发范围公益性占比情况表</w:t>
      </w:r>
    </w:p>
    <w:p>
      <w:pPr>
        <w:spacing w:line="240" w:lineRule="auto"/>
        <w:ind w:firstLine="0" w:firstLineChars="0"/>
        <w:jc w:val="right"/>
        <w:rPr>
          <w:b/>
          <w:sz w:val="24"/>
          <w:szCs w:val="21"/>
        </w:rPr>
      </w:pPr>
      <w:r>
        <w:rPr>
          <w:rFonts w:hint="eastAsia"/>
          <w:b/>
          <w:sz w:val="24"/>
          <w:szCs w:val="21"/>
        </w:rPr>
        <w:t>单位：公顷</w:t>
      </w:r>
    </w:p>
    <w:tbl>
      <w:tblPr>
        <w:tblStyle w:val="15"/>
        <w:tblW w:w="5000" w:type="pct"/>
        <w:jc w:val="center"/>
        <w:tblLayout w:type="fixed"/>
        <w:tblCellMar>
          <w:top w:w="0" w:type="dxa"/>
          <w:left w:w="108" w:type="dxa"/>
          <w:bottom w:w="0" w:type="dxa"/>
          <w:right w:w="108" w:type="dxa"/>
        </w:tblCellMar>
      </w:tblPr>
      <w:tblGrid>
        <w:gridCol w:w="559"/>
        <w:gridCol w:w="1182"/>
        <w:gridCol w:w="1023"/>
        <w:gridCol w:w="2475"/>
        <w:gridCol w:w="1163"/>
        <w:gridCol w:w="1021"/>
        <w:gridCol w:w="1099"/>
      </w:tblGrid>
      <w:tr>
        <w:tblPrEx>
          <w:tblCellMar>
            <w:top w:w="0" w:type="dxa"/>
            <w:left w:w="108" w:type="dxa"/>
            <w:bottom w:w="0" w:type="dxa"/>
            <w:right w:w="108" w:type="dxa"/>
          </w:tblCellMar>
        </w:tblPrEx>
        <w:trPr>
          <w:trHeight w:val="288" w:hRule="atLeast"/>
          <w:tblHeader/>
          <w:jc w:val="center"/>
        </w:trPr>
        <w:tc>
          <w:tcPr>
            <w:tcW w:w="3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b/>
                <w:bCs/>
                <w:kern w:val="0"/>
                <w:sz w:val="24"/>
                <w:szCs w:val="24"/>
              </w:rPr>
            </w:pPr>
            <w:r>
              <w:rPr>
                <w:rFonts w:hint="eastAsia" w:ascii="仿宋" w:hAnsi="仿宋" w:cs="宋体"/>
                <w:b/>
                <w:bCs/>
                <w:kern w:val="0"/>
                <w:sz w:val="24"/>
                <w:szCs w:val="24"/>
              </w:rPr>
              <w:t>序号</w:t>
            </w:r>
          </w:p>
        </w:tc>
        <w:tc>
          <w:tcPr>
            <w:tcW w:w="694"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b/>
                <w:bCs/>
                <w:kern w:val="0"/>
                <w:sz w:val="24"/>
                <w:szCs w:val="24"/>
              </w:rPr>
            </w:pPr>
            <w:r>
              <w:rPr>
                <w:rFonts w:hint="eastAsia" w:ascii="仿宋" w:hAnsi="仿宋" w:cs="宋体"/>
                <w:b/>
                <w:bCs/>
                <w:kern w:val="0"/>
                <w:sz w:val="24"/>
                <w:szCs w:val="24"/>
              </w:rPr>
              <w:t>片区名称</w:t>
            </w:r>
          </w:p>
        </w:tc>
        <w:tc>
          <w:tcPr>
            <w:tcW w:w="600"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b/>
                <w:bCs/>
                <w:kern w:val="0"/>
                <w:sz w:val="24"/>
                <w:szCs w:val="24"/>
              </w:rPr>
            </w:pPr>
            <w:r>
              <w:rPr>
                <w:rFonts w:hint="eastAsia" w:ascii="仿宋" w:hAnsi="仿宋" w:cs="宋体"/>
                <w:b/>
                <w:bCs/>
                <w:kern w:val="0"/>
                <w:sz w:val="24"/>
                <w:szCs w:val="24"/>
              </w:rPr>
              <w:t>片区</w:t>
            </w:r>
          </w:p>
          <w:p>
            <w:pPr>
              <w:widowControl/>
              <w:spacing w:line="240" w:lineRule="auto"/>
              <w:ind w:firstLine="0" w:firstLineChars="0"/>
              <w:jc w:val="center"/>
              <w:rPr>
                <w:rFonts w:ascii="仿宋" w:hAnsi="仿宋" w:cs="宋体"/>
                <w:b/>
                <w:bCs/>
                <w:kern w:val="0"/>
                <w:sz w:val="24"/>
                <w:szCs w:val="24"/>
              </w:rPr>
            </w:pPr>
            <w:r>
              <w:rPr>
                <w:rFonts w:hint="eastAsia" w:ascii="仿宋" w:hAnsi="仿宋" w:cs="宋体"/>
                <w:b/>
                <w:bCs/>
                <w:kern w:val="0"/>
                <w:sz w:val="24"/>
                <w:szCs w:val="24"/>
              </w:rPr>
              <w:t>面积</w:t>
            </w:r>
          </w:p>
        </w:tc>
        <w:tc>
          <w:tcPr>
            <w:tcW w:w="1452"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b/>
                <w:bCs/>
                <w:kern w:val="0"/>
                <w:sz w:val="24"/>
                <w:szCs w:val="24"/>
              </w:rPr>
            </w:pPr>
            <w:r>
              <w:rPr>
                <w:rFonts w:hint="eastAsia" w:ascii="仿宋" w:hAnsi="仿宋" w:cs="宋体"/>
                <w:b/>
                <w:bCs/>
                <w:kern w:val="0"/>
                <w:sz w:val="24"/>
                <w:szCs w:val="24"/>
              </w:rPr>
              <w:t>法定规划</w:t>
            </w:r>
          </w:p>
        </w:tc>
        <w:tc>
          <w:tcPr>
            <w:tcW w:w="682"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b/>
                <w:bCs/>
                <w:kern w:val="0"/>
                <w:sz w:val="24"/>
                <w:szCs w:val="24"/>
              </w:rPr>
            </w:pPr>
            <w:r>
              <w:rPr>
                <w:rFonts w:hint="eastAsia" w:ascii="仿宋" w:hAnsi="仿宋" w:cs="宋体"/>
                <w:b/>
                <w:bCs/>
                <w:kern w:val="0"/>
                <w:sz w:val="24"/>
                <w:szCs w:val="24"/>
              </w:rPr>
              <w:t>公益性用地类型</w:t>
            </w:r>
          </w:p>
        </w:tc>
        <w:tc>
          <w:tcPr>
            <w:tcW w:w="599"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b/>
                <w:bCs/>
                <w:kern w:val="0"/>
                <w:sz w:val="24"/>
                <w:szCs w:val="24"/>
              </w:rPr>
            </w:pPr>
            <w:r>
              <w:rPr>
                <w:rFonts w:hint="eastAsia" w:ascii="仿宋" w:hAnsi="仿宋" w:cs="宋体"/>
                <w:b/>
                <w:bCs/>
                <w:kern w:val="0"/>
                <w:sz w:val="24"/>
                <w:szCs w:val="24"/>
              </w:rPr>
              <w:t>用地</w:t>
            </w:r>
          </w:p>
          <w:p>
            <w:pPr>
              <w:widowControl/>
              <w:spacing w:line="240" w:lineRule="auto"/>
              <w:ind w:firstLine="0" w:firstLineChars="0"/>
              <w:jc w:val="center"/>
              <w:rPr>
                <w:rFonts w:ascii="仿宋" w:hAnsi="仿宋" w:cs="宋体"/>
                <w:b/>
                <w:bCs/>
                <w:kern w:val="0"/>
                <w:sz w:val="24"/>
                <w:szCs w:val="24"/>
              </w:rPr>
            </w:pPr>
            <w:r>
              <w:rPr>
                <w:rFonts w:hint="eastAsia" w:ascii="仿宋" w:hAnsi="仿宋" w:cs="宋体"/>
                <w:b/>
                <w:bCs/>
                <w:kern w:val="0"/>
                <w:sz w:val="24"/>
                <w:szCs w:val="24"/>
              </w:rPr>
              <w:t>面积</w:t>
            </w:r>
          </w:p>
        </w:tc>
        <w:tc>
          <w:tcPr>
            <w:tcW w:w="645"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b/>
                <w:bCs/>
                <w:kern w:val="0"/>
                <w:sz w:val="24"/>
                <w:szCs w:val="24"/>
              </w:rPr>
            </w:pPr>
            <w:r>
              <w:rPr>
                <w:rFonts w:hint="eastAsia" w:ascii="仿宋" w:hAnsi="仿宋" w:cs="宋体"/>
                <w:b/>
                <w:bCs/>
                <w:kern w:val="0"/>
                <w:sz w:val="24"/>
                <w:szCs w:val="24"/>
              </w:rPr>
              <w:t>占比</w:t>
            </w:r>
          </w:p>
        </w:tc>
      </w:tr>
      <w:tr>
        <w:tblPrEx>
          <w:tblCellMar>
            <w:top w:w="0" w:type="dxa"/>
            <w:left w:w="108" w:type="dxa"/>
            <w:bottom w:w="0" w:type="dxa"/>
            <w:right w:w="108" w:type="dxa"/>
          </w:tblCellMar>
        </w:tblPrEx>
        <w:trPr>
          <w:trHeight w:val="288" w:hRule="atLeast"/>
          <w:jc w:val="center"/>
        </w:trPr>
        <w:tc>
          <w:tcPr>
            <w:tcW w:w="328" w:type="pct"/>
            <w:tcBorders>
              <w:top w:val="nil"/>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rFonts w:eastAsia="等线"/>
                <w:kern w:val="0"/>
                <w:sz w:val="24"/>
                <w:szCs w:val="24"/>
              </w:rPr>
            </w:pPr>
            <w:r>
              <w:rPr>
                <w:rFonts w:eastAsia="等线"/>
                <w:kern w:val="0"/>
                <w:sz w:val="24"/>
                <w:szCs w:val="24"/>
              </w:rPr>
              <w:t>1</w:t>
            </w:r>
          </w:p>
        </w:tc>
        <w:tc>
          <w:tcPr>
            <w:tcW w:w="694" w:type="pct"/>
            <w:tcBorders>
              <w:top w:val="nil"/>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4"/>
                <w:szCs w:val="24"/>
              </w:rPr>
            </w:pPr>
            <w:r>
              <w:rPr>
                <w:rFonts w:hint="eastAsia" w:ascii="仿宋" w:hAnsi="仿宋" w:cs="宋体"/>
                <w:color w:val="000000"/>
                <w:kern w:val="0"/>
                <w:sz w:val="24"/>
                <w:szCs w:val="24"/>
              </w:rPr>
              <w:t>塘尾古城片区</w:t>
            </w:r>
          </w:p>
        </w:tc>
        <w:tc>
          <w:tcPr>
            <w:tcW w:w="600" w:type="pct"/>
            <w:tcBorders>
              <w:top w:val="nil"/>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rFonts w:eastAsia="等线"/>
                <w:kern w:val="0"/>
                <w:sz w:val="24"/>
                <w:szCs w:val="24"/>
              </w:rPr>
            </w:pPr>
            <w:r>
              <w:rPr>
                <w:rFonts w:hint="eastAsia" w:eastAsia="等线"/>
                <w:color w:val="000000"/>
                <w:kern w:val="0"/>
                <w:sz w:val="24"/>
                <w:szCs w:val="24"/>
              </w:rPr>
              <w:t>3.7687</w:t>
            </w:r>
          </w:p>
        </w:tc>
        <w:tc>
          <w:tcPr>
            <w:tcW w:w="145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4"/>
              </w:rPr>
            </w:pPr>
            <w:r>
              <w:rPr>
                <w:rFonts w:hint="eastAsia" w:ascii="仿宋" w:hAnsi="仿宋" w:cs="宋体"/>
                <w:kern w:val="0"/>
                <w:sz w:val="24"/>
              </w:rPr>
              <w:t>《石排镇塘尾古城片区控制性详细规划》</w:t>
            </w:r>
          </w:p>
        </w:tc>
        <w:tc>
          <w:tcPr>
            <w:tcW w:w="68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4"/>
                <w:szCs w:val="24"/>
              </w:rPr>
            </w:pPr>
            <w:r>
              <w:rPr>
                <w:rFonts w:hint="eastAsia" w:ascii="仿宋" w:hAnsi="仿宋" w:cs="宋体"/>
                <w:kern w:val="0"/>
                <w:sz w:val="24"/>
              </w:rPr>
              <w:t>城市道路用地</w:t>
            </w:r>
          </w:p>
        </w:tc>
        <w:tc>
          <w:tcPr>
            <w:tcW w:w="59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kern w:val="0"/>
                <w:sz w:val="24"/>
                <w:szCs w:val="24"/>
              </w:rPr>
            </w:pPr>
            <w:r>
              <w:rPr>
                <w:rFonts w:hint="eastAsia" w:eastAsia="等线"/>
                <w:kern w:val="0"/>
                <w:sz w:val="24"/>
                <w:szCs w:val="24"/>
              </w:rPr>
              <w:t>1.5075</w:t>
            </w:r>
          </w:p>
        </w:tc>
        <w:tc>
          <w:tcPr>
            <w:tcW w:w="64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kern w:val="0"/>
                <w:sz w:val="24"/>
                <w:szCs w:val="24"/>
              </w:rPr>
            </w:pPr>
            <w:r>
              <w:rPr>
                <w:rFonts w:hint="eastAsia" w:eastAsia="等线"/>
                <w:kern w:val="0"/>
                <w:sz w:val="24"/>
                <w:szCs w:val="24"/>
              </w:rPr>
              <w:t>40.00</w:t>
            </w:r>
            <w:r>
              <w:rPr>
                <w:rFonts w:eastAsia="等线"/>
                <w:kern w:val="0"/>
                <w:sz w:val="24"/>
                <w:szCs w:val="24"/>
              </w:rPr>
              <w:t>%</w:t>
            </w:r>
          </w:p>
        </w:tc>
      </w:tr>
      <w:tr>
        <w:tblPrEx>
          <w:tblCellMar>
            <w:top w:w="0" w:type="dxa"/>
            <w:left w:w="108" w:type="dxa"/>
            <w:bottom w:w="0" w:type="dxa"/>
            <w:right w:w="108" w:type="dxa"/>
          </w:tblCellMar>
        </w:tblPrEx>
        <w:trPr>
          <w:trHeight w:val="288" w:hRule="atLeast"/>
          <w:jc w:val="center"/>
        </w:trPr>
        <w:tc>
          <w:tcPr>
            <w:tcW w:w="328" w:type="pct"/>
            <w:tcBorders>
              <w:top w:val="nil"/>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rFonts w:eastAsia="等线"/>
                <w:kern w:val="0"/>
                <w:sz w:val="24"/>
                <w:szCs w:val="24"/>
              </w:rPr>
            </w:pPr>
            <w:r>
              <w:rPr>
                <w:rFonts w:eastAsia="等线"/>
                <w:kern w:val="0"/>
                <w:sz w:val="24"/>
                <w:szCs w:val="24"/>
              </w:rPr>
              <w:t>2</w:t>
            </w:r>
          </w:p>
        </w:tc>
        <w:tc>
          <w:tcPr>
            <w:tcW w:w="694" w:type="pct"/>
            <w:tcBorders>
              <w:top w:val="nil"/>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4"/>
                <w:szCs w:val="24"/>
              </w:rPr>
            </w:pPr>
            <w:r>
              <w:rPr>
                <w:rFonts w:hint="eastAsia" w:ascii="仿宋" w:hAnsi="仿宋" w:cs="宋体"/>
                <w:color w:val="000000"/>
                <w:kern w:val="0"/>
                <w:sz w:val="24"/>
                <w:szCs w:val="24"/>
              </w:rPr>
              <w:t>石崇组团片区</w:t>
            </w:r>
          </w:p>
        </w:tc>
        <w:tc>
          <w:tcPr>
            <w:tcW w:w="600" w:type="pct"/>
            <w:tcBorders>
              <w:top w:val="nil"/>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rFonts w:eastAsia="等线"/>
                <w:kern w:val="0"/>
                <w:sz w:val="24"/>
                <w:szCs w:val="24"/>
              </w:rPr>
            </w:pPr>
            <w:r>
              <w:rPr>
                <w:rFonts w:hint="eastAsia" w:eastAsia="等线"/>
                <w:color w:val="000000"/>
                <w:kern w:val="0"/>
                <w:sz w:val="24"/>
                <w:szCs w:val="24"/>
              </w:rPr>
              <w:t>7.6608</w:t>
            </w:r>
          </w:p>
        </w:tc>
        <w:tc>
          <w:tcPr>
            <w:tcW w:w="1452" w:type="pct"/>
            <w:tcBorders>
              <w:top w:val="nil"/>
              <w:left w:val="nil"/>
              <w:bottom w:val="nil"/>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4"/>
              </w:rPr>
            </w:pPr>
            <w:r>
              <w:rPr>
                <w:rFonts w:hint="eastAsia" w:ascii="仿宋" w:hAnsi="仿宋" w:cs="宋体"/>
                <w:kern w:val="0"/>
                <w:sz w:val="24"/>
              </w:rPr>
              <w:t>《石排镇石崇组团片区控制性详细规划》</w:t>
            </w:r>
          </w:p>
        </w:tc>
        <w:tc>
          <w:tcPr>
            <w:tcW w:w="682" w:type="pct"/>
            <w:tcBorders>
              <w:top w:val="nil"/>
              <w:left w:val="nil"/>
              <w:bottom w:val="nil"/>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4"/>
                <w:szCs w:val="24"/>
              </w:rPr>
            </w:pPr>
            <w:r>
              <w:rPr>
                <w:rFonts w:hint="eastAsia" w:ascii="仿宋" w:hAnsi="仿宋" w:cs="宋体"/>
                <w:kern w:val="0"/>
                <w:sz w:val="24"/>
              </w:rPr>
              <w:t>城市道路用地</w:t>
            </w:r>
          </w:p>
        </w:tc>
        <w:tc>
          <w:tcPr>
            <w:tcW w:w="59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kern w:val="0"/>
                <w:sz w:val="24"/>
                <w:szCs w:val="24"/>
              </w:rPr>
            </w:pPr>
            <w:r>
              <w:rPr>
                <w:rFonts w:hint="eastAsia" w:eastAsia="等线"/>
                <w:kern w:val="0"/>
                <w:sz w:val="24"/>
                <w:szCs w:val="24"/>
              </w:rPr>
              <w:t>3.0643</w:t>
            </w:r>
          </w:p>
        </w:tc>
        <w:tc>
          <w:tcPr>
            <w:tcW w:w="64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kern w:val="0"/>
                <w:sz w:val="24"/>
                <w:szCs w:val="24"/>
              </w:rPr>
            </w:pPr>
            <w:r>
              <w:rPr>
                <w:rFonts w:hint="eastAsia" w:eastAsia="等线"/>
                <w:kern w:val="0"/>
                <w:sz w:val="24"/>
                <w:szCs w:val="24"/>
              </w:rPr>
              <w:t>40.00</w:t>
            </w:r>
            <w:r>
              <w:rPr>
                <w:rFonts w:eastAsia="等线"/>
                <w:kern w:val="0"/>
                <w:sz w:val="24"/>
                <w:szCs w:val="24"/>
              </w:rPr>
              <w:t>%</w:t>
            </w:r>
          </w:p>
        </w:tc>
      </w:tr>
      <w:tr>
        <w:tblPrEx>
          <w:tblCellMar>
            <w:top w:w="0" w:type="dxa"/>
            <w:left w:w="108" w:type="dxa"/>
            <w:bottom w:w="0" w:type="dxa"/>
            <w:right w:w="108" w:type="dxa"/>
          </w:tblCellMar>
        </w:tblPrEx>
        <w:trPr>
          <w:trHeight w:val="288" w:hRule="atLeast"/>
          <w:jc w:val="center"/>
        </w:trPr>
        <w:tc>
          <w:tcPr>
            <w:tcW w:w="328" w:type="pct"/>
            <w:tcBorders>
              <w:top w:val="nil"/>
              <w:left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kern w:val="0"/>
                <w:sz w:val="24"/>
                <w:szCs w:val="24"/>
              </w:rPr>
            </w:pPr>
            <w:r>
              <w:rPr>
                <w:rFonts w:eastAsia="等线"/>
                <w:kern w:val="0"/>
                <w:sz w:val="24"/>
                <w:szCs w:val="24"/>
              </w:rPr>
              <w:t>3</w:t>
            </w:r>
          </w:p>
        </w:tc>
        <w:tc>
          <w:tcPr>
            <w:tcW w:w="694" w:type="pct"/>
            <w:tcBorders>
              <w:top w:val="nil"/>
              <w:left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color w:val="000000"/>
                <w:kern w:val="0"/>
                <w:sz w:val="24"/>
                <w:szCs w:val="24"/>
              </w:rPr>
            </w:pPr>
            <w:r>
              <w:rPr>
                <w:rFonts w:hint="eastAsia" w:ascii="仿宋" w:hAnsi="仿宋" w:cs="宋体"/>
                <w:color w:val="000000"/>
                <w:kern w:val="0"/>
                <w:sz w:val="24"/>
                <w:szCs w:val="24"/>
              </w:rPr>
              <w:t>中心</w:t>
            </w:r>
          </w:p>
          <w:p>
            <w:pPr>
              <w:widowControl/>
              <w:spacing w:line="240" w:lineRule="auto"/>
              <w:ind w:firstLine="0" w:firstLineChars="0"/>
              <w:jc w:val="center"/>
              <w:rPr>
                <w:rFonts w:ascii="仿宋" w:hAnsi="仿宋" w:cs="宋体"/>
                <w:kern w:val="0"/>
                <w:sz w:val="24"/>
                <w:szCs w:val="24"/>
              </w:rPr>
            </w:pPr>
            <w:r>
              <w:rPr>
                <w:rFonts w:hint="eastAsia" w:ascii="仿宋" w:hAnsi="仿宋" w:cs="宋体"/>
                <w:color w:val="000000"/>
                <w:kern w:val="0"/>
                <w:sz w:val="24"/>
                <w:szCs w:val="24"/>
              </w:rPr>
              <w:t>片区</w:t>
            </w:r>
          </w:p>
        </w:tc>
        <w:tc>
          <w:tcPr>
            <w:tcW w:w="600" w:type="pct"/>
            <w:tcBorders>
              <w:top w:val="nil"/>
              <w:left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kern w:val="0"/>
                <w:sz w:val="24"/>
                <w:szCs w:val="24"/>
              </w:rPr>
            </w:pPr>
            <w:r>
              <w:rPr>
                <w:rFonts w:hint="eastAsia" w:eastAsia="等线"/>
                <w:color w:val="000000"/>
                <w:kern w:val="0"/>
                <w:sz w:val="24"/>
                <w:szCs w:val="24"/>
              </w:rPr>
              <w:t>1.1688</w:t>
            </w:r>
          </w:p>
        </w:tc>
        <w:tc>
          <w:tcPr>
            <w:tcW w:w="1452"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4"/>
              </w:rPr>
            </w:pPr>
            <w:r>
              <w:rPr>
                <w:rFonts w:hint="eastAsia" w:ascii="仿宋" w:hAnsi="仿宋" w:cs="宋体"/>
                <w:kern w:val="0"/>
                <w:sz w:val="24"/>
              </w:rPr>
              <w:t>《石排镇中心区控制性详细规划》</w:t>
            </w:r>
          </w:p>
        </w:tc>
        <w:tc>
          <w:tcPr>
            <w:tcW w:w="682"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kern w:val="0"/>
                <w:sz w:val="24"/>
                <w:szCs w:val="24"/>
              </w:rPr>
            </w:pPr>
            <w:r>
              <w:rPr>
                <w:rFonts w:hint="eastAsia" w:ascii="仿宋" w:hAnsi="仿宋" w:cs="宋体"/>
                <w:kern w:val="0"/>
                <w:sz w:val="24"/>
              </w:rPr>
              <w:t>城市道路用地</w:t>
            </w:r>
          </w:p>
        </w:tc>
        <w:tc>
          <w:tcPr>
            <w:tcW w:w="59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kern w:val="0"/>
                <w:sz w:val="24"/>
                <w:szCs w:val="24"/>
              </w:rPr>
            </w:pPr>
            <w:r>
              <w:rPr>
                <w:rFonts w:hint="eastAsia" w:eastAsia="等线"/>
                <w:kern w:val="0"/>
                <w:sz w:val="24"/>
                <w:szCs w:val="24"/>
              </w:rPr>
              <w:t>0.467</w:t>
            </w:r>
            <w:r>
              <w:rPr>
                <w:rFonts w:eastAsia="等线"/>
                <w:kern w:val="0"/>
                <w:sz w:val="24"/>
                <w:szCs w:val="24"/>
              </w:rPr>
              <w:t>5</w:t>
            </w:r>
          </w:p>
        </w:tc>
        <w:tc>
          <w:tcPr>
            <w:tcW w:w="645"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kern w:val="0"/>
                <w:sz w:val="24"/>
                <w:szCs w:val="24"/>
              </w:rPr>
            </w:pPr>
            <w:r>
              <w:rPr>
                <w:rFonts w:hint="eastAsia" w:eastAsia="等线"/>
                <w:kern w:val="0"/>
                <w:sz w:val="24"/>
                <w:szCs w:val="24"/>
              </w:rPr>
              <w:t>40.00</w:t>
            </w:r>
            <w:r>
              <w:rPr>
                <w:rFonts w:eastAsia="等线"/>
                <w:kern w:val="0"/>
                <w:sz w:val="24"/>
                <w:szCs w:val="24"/>
              </w:rPr>
              <w:t>%</w:t>
            </w:r>
          </w:p>
        </w:tc>
      </w:tr>
      <w:tr>
        <w:tblPrEx>
          <w:tblCellMar>
            <w:top w:w="0" w:type="dxa"/>
            <w:left w:w="108" w:type="dxa"/>
            <w:bottom w:w="0" w:type="dxa"/>
            <w:right w:w="108" w:type="dxa"/>
          </w:tblCellMar>
        </w:tblPrEx>
        <w:trPr>
          <w:trHeight w:val="288" w:hRule="atLeast"/>
          <w:jc w:val="center"/>
        </w:trPr>
        <w:tc>
          <w:tcPr>
            <w:tcW w:w="1022"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 w:hAnsi="仿宋" w:cs="宋体"/>
                <w:b/>
                <w:kern w:val="0"/>
                <w:sz w:val="24"/>
                <w:szCs w:val="24"/>
              </w:rPr>
            </w:pPr>
            <w:r>
              <w:rPr>
                <w:rFonts w:hint="eastAsia" w:ascii="仿宋" w:hAnsi="仿宋" w:cs="宋体"/>
                <w:b/>
                <w:kern w:val="0"/>
                <w:sz w:val="24"/>
                <w:szCs w:val="24"/>
              </w:rPr>
              <w:t>合计</w:t>
            </w:r>
          </w:p>
        </w:tc>
        <w:tc>
          <w:tcPr>
            <w:tcW w:w="600"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b/>
                <w:kern w:val="0"/>
                <w:sz w:val="24"/>
                <w:szCs w:val="24"/>
              </w:rPr>
            </w:pPr>
            <w:r>
              <w:rPr>
                <w:rFonts w:hint="eastAsia" w:eastAsia="等线"/>
                <w:b/>
                <w:kern w:val="0"/>
                <w:sz w:val="24"/>
                <w:szCs w:val="24"/>
              </w:rPr>
              <w:t>12.5983</w:t>
            </w:r>
          </w:p>
        </w:tc>
        <w:tc>
          <w:tcPr>
            <w:tcW w:w="2134" w:type="pct"/>
            <w:gridSpan w:val="2"/>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b/>
                <w:kern w:val="0"/>
                <w:sz w:val="24"/>
                <w:szCs w:val="24"/>
              </w:rPr>
            </w:pPr>
            <w:r>
              <w:rPr>
                <w:rFonts w:hint="eastAsia" w:eastAsia="等线"/>
                <w:b/>
                <w:kern w:val="0"/>
                <w:sz w:val="24"/>
                <w:szCs w:val="24"/>
              </w:rPr>
              <w:t>——</w:t>
            </w:r>
          </w:p>
        </w:tc>
        <w:tc>
          <w:tcPr>
            <w:tcW w:w="599"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b/>
                <w:kern w:val="0"/>
                <w:sz w:val="24"/>
                <w:szCs w:val="24"/>
              </w:rPr>
            </w:pPr>
            <w:r>
              <w:rPr>
                <w:rFonts w:hint="eastAsia"/>
                <w:b/>
                <w:sz w:val="24"/>
              </w:rPr>
              <w:t>5.039</w:t>
            </w:r>
            <w:r>
              <w:rPr>
                <w:b/>
                <w:sz w:val="24"/>
              </w:rPr>
              <w:t>3</w:t>
            </w:r>
          </w:p>
        </w:tc>
        <w:tc>
          <w:tcPr>
            <w:tcW w:w="645"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b/>
                <w:kern w:val="0"/>
                <w:sz w:val="24"/>
                <w:szCs w:val="24"/>
              </w:rPr>
            </w:pPr>
            <w:r>
              <w:rPr>
                <w:rFonts w:hint="eastAsia" w:eastAsia="等线"/>
                <w:b/>
                <w:kern w:val="0"/>
                <w:sz w:val="24"/>
                <w:szCs w:val="24"/>
              </w:rPr>
              <w:t>40.00</w:t>
            </w:r>
            <w:r>
              <w:rPr>
                <w:rFonts w:eastAsia="等线"/>
                <w:b/>
                <w:kern w:val="0"/>
                <w:sz w:val="24"/>
                <w:szCs w:val="24"/>
              </w:rPr>
              <w:t>%</w:t>
            </w:r>
          </w:p>
        </w:tc>
      </w:tr>
    </w:tbl>
    <w:p>
      <w:pPr>
        <w:pStyle w:val="3"/>
      </w:pPr>
      <w:bookmarkStart w:id="56" w:name="_Toc115364063"/>
      <w:bookmarkStart w:id="57" w:name="_Toc115364437"/>
      <w:r>
        <w:rPr>
          <w:rFonts w:hint="eastAsia"/>
        </w:rPr>
        <w:t>六、实施计划</w:t>
      </w:r>
      <w:bookmarkEnd w:id="56"/>
      <w:bookmarkEnd w:id="57"/>
    </w:p>
    <w:p>
      <w:pPr>
        <w:ind w:firstLine="560"/>
      </w:pPr>
      <w:r>
        <w:rPr>
          <w:rFonts w:hint="eastAsia"/>
        </w:rPr>
        <w:t>本方案各片区拟实施土地征收成片开发面积均不低于60%，遵循节约利用土地资源原则，符合《通知》要求，统筹考虑资源禀赋、基础设施情况、征收难度、融资情况、建设计划等因素，综合论证后制定拟建项目开发时序及年度实施计划。石排镇土地征收成片开发拟建项目用地开发时序为2022年至2023年，即到2023年全部项目用地完成土地征收工作。</w:t>
      </w:r>
    </w:p>
    <w:p>
      <w:pPr>
        <w:spacing w:before="197" w:beforeLines="50" w:line="240" w:lineRule="auto"/>
        <w:ind w:firstLine="0" w:firstLineChars="0"/>
        <w:jc w:val="center"/>
        <w:rPr>
          <w:b/>
          <w:sz w:val="24"/>
          <w:szCs w:val="21"/>
        </w:rPr>
        <w:sectPr>
          <w:pgSz w:w="11906" w:h="16838"/>
          <w:pgMar w:top="1440" w:right="1800" w:bottom="1440" w:left="1800" w:header="851" w:footer="850" w:gutter="0"/>
          <w:cols w:space="0" w:num="1"/>
          <w:docGrid w:type="lines" w:linePitch="395" w:charSpace="0"/>
        </w:sectPr>
      </w:pPr>
    </w:p>
    <w:p>
      <w:pPr>
        <w:spacing w:before="197" w:beforeLines="50" w:line="240" w:lineRule="auto"/>
        <w:ind w:firstLine="0" w:firstLineChars="0"/>
        <w:jc w:val="center"/>
        <w:rPr>
          <w:b/>
          <w:sz w:val="24"/>
          <w:szCs w:val="21"/>
        </w:rPr>
      </w:pPr>
      <w:r>
        <w:rPr>
          <w:rFonts w:hint="eastAsia"/>
          <w:b/>
          <w:sz w:val="24"/>
          <w:szCs w:val="21"/>
        </w:rPr>
        <w:t>表5</w:t>
      </w:r>
      <w:r>
        <w:rPr>
          <w:b/>
          <w:sz w:val="24"/>
          <w:szCs w:val="21"/>
        </w:rPr>
        <w:t xml:space="preserve"> </w:t>
      </w:r>
      <w:r>
        <w:rPr>
          <w:rFonts w:hint="eastAsia"/>
          <w:b/>
          <w:sz w:val="24"/>
          <w:szCs w:val="21"/>
        </w:rPr>
        <w:t>开发时序和年度实施计划一览表</w:t>
      </w:r>
    </w:p>
    <w:p>
      <w:pPr>
        <w:spacing w:line="240" w:lineRule="auto"/>
        <w:ind w:firstLine="0" w:firstLineChars="0"/>
        <w:jc w:val="right"/>
        <w:rPr>
          <w:b/>
          <w:sz w:val="24"/>
          <w:szCs w:val="21"/>
        </w:rPr>
      </w:pPr>
      <w:r>
        <w:rPr>
          <w:rFonts w:hint="eastAsia"/>
          <w:b/>
          <w:sz w:val="24"/>
          <w:szCs w:val="21"/>
        </w:rPr>
        <w:t>单位：公顷</w:t>
      </w:r>
    </w:p>
    <w:tbl>
      <w:tblPr>
        <w:tblStyle w:val="15"/>
        <w:tblW w:w="4872" w:type="pct"/>
        <w:tblInd w:w="1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94"/>
        <w:gridCol w:w="2962"/>
        <w:gridCol w:w="1538"/>
        <w:gridCol w:w="1274"/>
        <w:gridCol w:w="12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atLeast"/>
          <w:tblHeader/>
        </w:trPr>
        <w:tc>
          <w:tcPr>
            <w:tcW w:w="779" w:type="pct"/>
            <w:noWrap/>
            <w:vAlign w:val="center"/>
          </w:tcPr>
          <w:p>
            <w:pPr>
              <w:widowControl/>
              <w:spacing w:line="240" w:lineRule="auto"/>
              <w:ind w:firstLine="0" w:firstLineChars="0"/>
              <w:jc w:val="center"/>
              <w:rPr>
                <w:rFonts w:ascii="仿宋" w:hAnsi="仿宋" w:cs="宋体"/>
                <w:b/>
                <w:bCs/>
                <w:kern w:val="0"/>
                <w:sz w:val="24"/>
                <w:szCs w:val="24"/>
              </w:rPr>
            </w:pPr>
            <w:r>
              <w:rPr>
                <w:rFonts w:hint="eastAsia" w:ascii="仿宋" w:hAnsi="仿宋" w:cs="宋体"/>
                <w:b/>
                <w:bCs/>
                <w:kern w:val="0"/>
                <w:sz w:val="24"/>
                <w:szCs w:val="24"/>
              </w:rPr>
              <w:t>成片开发范围名称</w:t>
            </w:r>
          </w:p>
        </w:tc>
        <w:tc>
          <w:tcPr>
            <w:tcW w:w="1784" w:type="pct"/>
            <w:noWrap/>
            <w:vAlign w:val="center"/>
          </w:tcPr>
          <w:p>
            <w:pPr>
              <w:widowControl/>
              <w:spacing w:line="240" w:lineRule="auto"/>
              <w:ind w:firstLine="0" w:firstLineChars="0"/>
              <w:jc w:val="center"/>
              <w:rPr>
                <w:rFonts w:ascii="仿宋" w:hAnsi="仿宋" w:cs="宋体"/>
                <w:b/>
                <w:bCs/>
                <w:kern w:val="0"/>
                <w:sz w:val="24"/>
                <w:szCs w:val="24"/>
              </w:rPr>
            </w:pPr>
            <w:r>
              <w:rPr>
                <w:rFonts w:hint="eastAsia" w:ascii="仿宋" w:hAnsi="仿宋" w:cs="宋体"/>
                <w:b/>
                <w:bCs/>
                <w:kern w:val="0"/>
                <w:sz w:val="24"/>
                <w:szCs w:val="24"/>
              </w:rPr>
              <w:t>项目名称</w:t>
            </w:r>
          </w:p>
        </w:tc>
        <w:tc>
          <w:tcPr>
            <w:tcW w:w="926" w:type="pct"/>
            <w:noWrap/>
            <w:vAlign w:val="center"/>
          </w:tcPr>
          <w:p>
            <w:pPr>
              <w:widowControl/>
              <w:spacing w:line="240" w:lineRule="auto"/>
              <w:ind w:firstLine="0" w:firstLineChars="0"/>
              <w:jc w:val="center"/>
              <w:rPr>
                <w:rFonts w:ascii="仿宋" w:hAnsi="仿宋" w:cs="宋体"/>
                <w:b/>
                <w:bCs/>
                <w:kern w:val="0"/>
                <w:sz w:val="24"/>
                <w:szCs w:val="24"/>
              </w:rPr>
            </w:pPr>
            <w:r>
              <w:rPr>
                <w:rFonts w:hint="eastAsia" w:ascii="仿宋" w:hAnsi="仿宋" w:cs="宋体"/>
                <w:b/>
                <w:bCs/>
                <w:kern w:val="0"/>
                <w:sz w:val="24"/>
                <w:szCs w:val="24"/>
              </w:rPr>
              <w:t>项目类型</w:t>
            </w:r>
          </w:p>
        </w:tc>
        <w:tc>
          <w:tcPr>
            <w:tcW w:w="767" w:type="pct"/>
            <w:noWrap/>
            <w:vAlign w:val="center"/>
          </w:tcPr>
          <w:p>
            <w:pPr>
              <w:widowControl/>
              <w:spacing w:line="240" w:lineRule="auto"/>
              <w:ind w:firstLine="0" w:firstLineChars="0"/>
              <w:jc w:val="center"/>
              <w:rPr>
                <w:rFonts w:ascii="仿宋" w:hAnsi="仿宋" w:cs="宋体"/>
                <w:b/>
                <w:bCs/>
                <w:kern w:val="0"/>
                <w:sz w:val="24"/>
                <w:szCs w:val="24"/>
              </w:rPr>
            </w:pPr>
            <w:r>
              <w:rPr>
                <w:rFonts w:hint="eastAsia" w:ascii="仿宋" w:hAnsi="仿宋" w:cs="宋体"/>
                <w:b/>
                <w:bCs/>
                <w:kern w:val="0"/>
                <w:sz w:val="24"/>
                <w:szCs w:val="24"/>
              </w:rPr>
              <w:t>拟征地</w:t>
            </w:r>
          </w:p>
          <w:p>
            <w:pPr>
              <w:widowControl/>
              <w:spacing w:line="240" w:lineRule="auto"/>
              <w:ind w:firstLine="0" w:firstLineChars="0"/>
              <w:jc w:val="center"/>
              <w:rPr>
                <w:rFonts w:ascii="仿宋" w:hAnsi="仿宋" w:cs="宋体"/>
                <w:b/>
                <w:bCs/>
                <w:kern w:val="0"/>
                <w:sz w:val="24"/>
                <w:szCs w:val="24"/>
              </w:rPr>
            </w:pPr>
            <w:r>
              <w:rPr>
                <w:rFonts w:hint="eastAsia" w:ascii="仿宋" w:hAnsi="仿宋" w:cs="宋体"/>
                <w:b/>
                <w:bCs/>
                <w:kern w:val="0"/>
                <w:sz w:val="24"/>
                <w:szCs w:val="24"/>
              </w:rPr>
              <w:t>面积</w:t>
            </w:r>
          </w:p>
        </w:tc>
        <w:tc>
          <w:tcPr>
            <w:tcW w:w="744" w:type="pct"/>
            <w:noWrap/>
            <w:vAlign w:val="center"/>
          </w:tcPr>
          <w:p>
            <w:pPr>
              <w:widowControl/>
              <w:spacing w:line="240" w:lineRule="auto"/>
              <w:ind w:firstLine="0" w:firstLineChars="0"/>
              <w:jc w:val="center"/>
              <w:rPr>
                <w:rFonts w:ascii="仿宋" w:hAnsi="仿宋" w:cs="宋体"/>
                <w:b/>
                <w:bCs/>
                <w:kern w:val="0"/>
                <w:sz w:val="24"/>
                <w:szCs w:val="24"/>
              </w:rPr>
            </w:pPr>
            <w:r>
              <w:rPr>
                <w:rFonts w:hint="eastAsia" w:ascii="仿宋" w:hAnsi="仿宋" w:cs="宋体"/>
                <w:b/>
                <w:bCs/>
                <w:kern w:val="0"/>
                <w:sz w:val="24"/>
                <w:szCs w:val="24"/>
              </w:rPr>
              <w:t>征收时间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779" w:type="pct"/>
            <w:noWrap/>
            <w:vAlign w:val="center"/>
          </w:tcPr>
          <w:p>
            <w:pPr>
              <w:widowControl/>
              <w:spacing w:line="240" w:lineRule="auto"/>
              <w:ind w:firstLine="0" w:firstLineChars="0"/>
              <w:jc w:val="center"/>
              <w:rPr>
                <w:rFonts w:ascii="仿宋" w:hAnsi="仿宋" w:cs="宋体"/>
                <w:kern w:val="0"/>
                <w:sz w:val="24"/>
                <w:szCs w:val="24"/>
              </w:rPr>
            </w:pPr>
            <w:r>
              <w:rPr>
                <w:rFonts w:hint="eastAsia" w:ascii="仿宋" w:hAnsi="仿宋" w:cs="宋体"/>
                <w:kern w:val="0"/>
                <w:sz w:val="24"/>
                <w:szCs w:val="24"/>
              </w:rPr>
              <w:t>塘尾古城片区</w:t>
            </w:r>
          </w:p>
        </w:tc>
        <w:tc>
          <w:tcPr>
            <w:tcW w:w="1784" w:type="pct"/>
            <w:noWrap/>
            <w:vAlign w:val="center"/>
          </w:tcPr>
          <w:p>
            <w:pPr>
              <w:widowControl/>
              <w:spacing w:line="240" w:lineRule="auto"/>
              <w:ind w:firstLine="0" w:firstLineChars="0"/>
              <w:jc w:val="center"/>
              <w:rPr>
                <w:rFonts w:ascii="仿宋" w:hAnsi="仿宋" w:cs="宋体"/>
                <w:kern w:val="0"/>
                <w:sz w:val="24"/>
                <w:szCs w:val="24"/>
              </w:rPr>
            </w:pPr>
            <w:r>
              <w:rPr>
                <w:rFonts w:hint="eastAsia" w:ascii="仿宋" w:hAnsi="仿宋" w:cs="宋体"/>
                <w:kern w:val="0"/>
                <w:sz w:val="24"/>
                <w:szCs w:val="24"/>
              </w:rPr>
              <w:t>东莞市石排镇</w:t>
            </w:r>
            <w:r>
              <w:rPr>
                <w:rFonts w:hint="eastAsia"/>
                <w:sz w:val="24"/>
                <w:szCs w:val="21"/>
              </w:rPr>
              <w:t>2022</w:t>
            </w:r>
            <w:r>
              <w:rPr>
                <w:rFonts w:hint="eastAsia" w:ascii="仿宋" w:hAnsi="仿宋" w:cs="宋体"/>
                <w:kern w:val="0"/>
                <w:sz w:val="24"/>
                <w:szCs w:val="24"/>
              </w:rPr>
              <w:t>年度第七批次城镇建设用地</w:t>
            </w:r>
          </w:p>
        </w:tc>
        <w:tc>
          <w:tcPr>
            <w:tcW w:w="926" w:type="pct"/>
            <w:noWrap/>
            <w:vAlign w:val="center"/>
          </w:tcPr>
          <w:p>
            <w:pPr>
              <w:widowControl/>
              <w:spacing w:line="240" w:lineRule="auto"/>
              <w:ind w:firstLine="0" w:firstLineChars="0"/>
              <w:jc w:val="center"/>
              <w:rPr>
                <w:rFonts w:ascii="仿宋" w:hAnsi="仿宋" w:cs="宋体"/>
                <w:kern w:val="0"/>
                <w:sz w:val="24"/>
                <w:szCs w:val="24"/>
              </w:rPr>
            </w:pPr>
            <w:r>
              <w:rPr>
                <w:rFonts w:hint="eastAsia" w:ascii="仿宋" w:hAnsi="仿宋" w:cs="宋体"/>
                <w:kern w:val="0"/>
                <w:sz w:val="24"/>
                <w:szCs w:val="24"/>
              </w:rPr>
              <w:t>产业发展类</w:t>
            </w:r>
          </w:p>
        </w:tc>
        <w:tc>
          <w:tcPr>
            <w:tcW w:w="767" w:type="pct"/>
            <w:noWrap/>
            <w:vAlign w:val="center"/>
          </w:tcPr>
          <w:p>
            <w:pPr>
              <w:widowControl/>
              <w:spacing w:line="240" w:lineRule="auto"/>
              <w:ind w:firstLine="0" w:firstLineChars="0"/>
              <w:jc w:val="center"/>
              <w:rPr>
                <w:rFonts w:eastAsia="等线"/>
                <w:color w:val="000000"/>
                <w:kern w:val="0"/>
                <w:sz w:val="24"/>
                <w:szCs w:val="24"/>
              </w:rPr>
            </w:pPr>
            <w:r>
              <w:rPr>
                <w:rFonts w:hint="eastAsia" w:eastAsia="等线"/>
                <w:color w:val="000000"/>
                <w:kern w:val="0"/>
                <w:sz w:val="24"/>
                <w:szCs w:val="24"/>
              </w:rPr>
              <w:t>2.2612</w:t>
            </w:r>
          </w:p>
        </w:tc>
        <w:tc>
          <w:tcPr>
            <w:tcW w:w="744" w:type="pct"/>
            <w:vMerge w:val="restart"/>
            <w:noWrap/>
            <w:vAlign w:val="center"/>
          </w:tcPr>
          <w:p>
            <w:pPr>
              <w:widowControl/>
              <w:spacing w:line="240" w:lineRule="auto"/>
              <w:ind w:firstLine="0" w:firstLineChars="0"/>
              <w:jc w:val="center"/>
              <w:rPr>
                <w:rFonts w:ascii="仿宋" w:hAnsi="仿宋" w:cs="宋体"/>
                <w:kern w:val="0"/>
                <w:sz w:val="24"/>
                <w:szCs w:val="24"/>
              </w:rPr>
            </w:pPr>
            <w:r>
              <w:rPr>
                <w:rFonts w:hint="eastAsia"/>
                <w:sz w:val="24"/>
                <w:szCs w:val="21"/>
              </w:rPr>
              <w:t>2023</w:t>
            </w:r>
            <w:r>
              <w:rPr>
                <w:rFonts w:hint="eastAsia" w:ascii="仿宋" w:hAnsi="仿宋" w:cs="宋体"/>
                <w:kern w:val="0"/>
                <w:sz w:val="24"/>
                <w:szCs w:val="24"/>
              </w:rPr>
              <w:t>年完成征收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779" w:type="pct"/>
            <w:noWrap/>
            <w:vAlign w:val="center"/>
          </w:tcPr>
          <w:p>
            <w:pPr>
              <w:widowControl/>
              <w:spacing w:line="240" w:lineRule="auto"/>
              <w:ind w:firstLine="0" w:firstLineChars="0"/>
              <w:jc w:val="center"/>
              <w:rPr>
                <w:rFonts w:ascii="仿宋" w:hAnsi="仿宋" w:cs="宋体"/>
                <w:kern w:val="0"/>
                <w:sz w:val="24"/>
                <w:szCs w:val="24"/>
              </w:rPr>
            </w:pPr>
            <w:r>
              <w:rPr>
                <w:rFonts w:hint="eastAsia" w:ascii="仿宋" w:hAnsi="仿宋" w:cs="宋体"/>
                <w:kern w:val="0"/>
                <w:sz w:val="24"/>
                <w:szCs w:val="24"/>
              </w:rPr>
              <w:t>石崇组团片区</w:t>
            </w:r>
          </w:p>
        </w:tc>
        <w:tc>
          <w:tcPr>
            <w:tcW w:w="1784" w:type="pct"/>
            <w:noWrap/>
            <w:vAlign w:val="center"/>
          </w:tcPr>
          <w:p>
            <w:pPr>
              <w:widowControl/>
              <w:spacing w:line="240" w:lineRule="auto"/>
              <w:ind w:firstLine="0" w:firstLineChars="0"/>
              <w:jc w:val="center"/>
              <w:rPr>
                <w:rFonts w:ascii="仿宋" w:hAnsi="仿宋" w:cs="宋体"/>
                <w:kern w:val="0"/>
                <w:sz w:val="24"/>
                <w:szCs w:val="24"/>
              </w:rPr>
            </w:pPr>
            <w:r>
              <w:rPr>
                <w:rFonts w:hint="eastAsia" w:ascii="仿宋" w:hAnsi="仿宋" w:cs="宋体"/>
                <w:kern w:val="0"/>
                <w:sz w:val="24"/>
                <w:szCs w:val="24"/>
              </w:rPr>
              <w:t>东莞市石排镇</w:t>
            </w:r>
            <w:r>
              <w:rPr>
                <w:rFonts w:hint="eastAsia"/>
                <w:sz w:val="24"/>
                <w:szCs w:val="21"/>
              </w:rPr>
              <w:t>2022</w:t>
            </w:r>
            <w:r>
              <w:rPr>
                <w:rFonts w:hint="eastAsia" w:ascii="仿宋" w:hAnsi="仿宋" w:cs="宋体"/>
                <w:kern w:val="0"/>
                <w:sz w:val="24"/>
                <w:szCs w:val="24"/>
              </w:rPr>
              <w:t>年度第八批次城镇建设用地</w:t>
            </w:r>
          </w:p>
        </w:tc>
        <w:tc>
          <w:tcPr>
            <w:tcW w:w="926" w:type="pct"/>
            <w:noWrap/>
            <w:vAlign w:val="center"/>
          </w:tcPr>
          <w:p>
            <w:pPr>
              <w:widowControl/>
              <w:spacing w:line="240" w:lineRule="auto"/>
              <w:ind w:firstLine="0" w:firstLineChars="0"/>
              <w:jc w:val="center"/>
              <w:rPr>
                <w:rFonts w:ascii="仿宋" w:hAnsi="仿宋" w:cs="宋体"/>
                <w:kern w:val="0"/>
                <w:sz w:val="24"/>
                <w:szCs w:val="24"/>
              </w:rPr>
            </w:pPr>
            <w:r>
              <w:rPr>
                <w:rFonts w:hint="eastAsia" w:ascii="仿宋" w:hAnsi="仿宋" w:cs="宋体"/>
                <w:kern w:val="0"/>
                <w:sz w:val="24"/>
                <w:szCs w:val="24"/>
              </w:rPr>
              <w:t>产业发展类</w:t>
            </w:r>
          </w:p>
        </w:tc>
        <w:tc>
          <w:tcPr>
            <w:tcW w:w="767" w:type="pct"/>
            <w:noWrap/>
            <w:vAlign w:val="center"/>
          </w:tcPr>
          <w:p>
            <w:pPr>
              <w:widowControl/>
              <w:spacing w:line="240" w:lineRule="auto"/>
              <w:ind w:firstLine="0" w:firstLineChars="0"/>
              <w:jc w:val="center"/>
              <w:rPr>
                <w:rFonts w:eastAsia="等线"/>
                <w:color w:val="000000"/>
                <w:kern w:val="0"/>
                <w:sz w:val="24"/>
                <w:szCs w:val="24"/>
              </w:rPr>
            </w:pPr>
            <w:r>
              <w:rPr>
                <w:rFonts w:hint="eastAsia" w:eastAsia="等线"/>
                <w:color w:val="000000"/>
                <w:kern w:val="0"/>
                <w:sz w:val="24"/>
                <w:szCs w:val="24"/>
              </w:rPr>
              <w:t>4.5965</w:t>
            </w:r>
          </w:p>
        </w:tc>
        <w:tc>
          <w:tcPr>
            <w:tcW w:w="744" w:type="pct"/>
            <w:vMerge w:val="continue"/>
            <w:noWrap/>
            <w:vAlign w:val="center"/>
          </w:tcPr>
          <w:p>
            <w:pPr>
              <w:widowControl/>
              <w:spacing w:line="240" w:lineRule="auto"/>
              <w:ind w:firstLine="0" w:firstLineChars="0"/>
              <w:jc w:val="center"/>
              <w:rPr>
                <w:rFonts w:ascii="仿宋" w:hAnsi="仿宋" w:cs="宋体"/>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779" w:type="pct"/>
            <w:noWrap/>
            <w:vAlign w:val="center"/>
          </w:tcPr>
          <w:p>
            <w:pPr>
              <w:widowControl/>
              <w:spacing w:line="240" w:lineRule="auto"/>
              <w:ind w:firstLine="0" w:firstLineChars="0"/>
              <w:jc w:val="center"/>
              <w:rPr>
                <w:rFonts w:ascii="仿宋" w:hAnsi="仿宋" w:cs="宋体"/>
                <w:kern w:val="0"/>
                <w:sz w:val="24"/>
                <w:szCs w:val="24"/>
              </w:rPr>
            </w:pPr>
            <w:r>
              <w:rPr>
                <w:rFonts w:hint="eastAsia" w:ascii="仿宋" w:hAnsi="仿宋" w:cs="宋体"/>
                <w:kern w:val="0"/>
                <w:sz w:val="24"/>
                <w:szCs w:val="24"/>
              </w:rPr>
              <w:t>中心片区</w:t>
            </w:r>
          </w:p>
        </w:tc>
        <w:tc>
          <w:tcPr>
            <w:tcW w:w="1784" w:type="pct"/>
            <w:noWrap/>
            <w:vAlign w:val="center"/>
          </w:tcPr>
          <w:p>
            <w:pPr>
              <w:widowControl/>
              <w:spacing w:line="240" w:lineRule="auto"/>
              <w:ind w:firstLine="0" w:firstLineChars="0"/>
              <w:jc w:val="center"/>
              <w:rPr>
                <w:rFonts w:ascii="仿宋" w:hAnsi="仿宋" w:cs="宋体"/>
                <w:kern w:val="0"/>
                <w:sz w:val="24"/>
                <w:szCs w:val="24"/>
              </w:rPr>
            </w:pPr>
            <w:r>
              <w:rPr>
                <w:rFonts w:hint="eastAsia" w:ascii="仿宋" w:hAnsi="仿宋" w:cs="宋体"/>
                <w:kern w:val="0"/>
                <w:sz w:val="24"/>
                <w:szCs w:val="24"/>
              </w:rPr>
              <w:t>东莞市石排镇</w:t>
            </w:r>
            <w:r>
              <w:rPr>
                <w:rFonts w:hint="eastAsia"/>
                <w:sz w:val="24"/>
                <w:szCs w:val="21"/>
              </w:rPr>
              <w:t>2022</w:t>
            </w:r>
            <w:r>
              <w:rPr>
                <w:rFonts w:hint="eastAsia" w:ascii="仿宋" w:hAnsi="仿宋" w:cs="宋体"/>
                <w:kern w:val="0"/>
                <w:sz w:val="24"/>
                <w:szCs w:val="24"/>
              </w:rPr>
              <w:t>年度第九批次城镇建设用地</w:t>
            </w:r>
          </w:p>
        </w:tc>
        <w:tc>
          <w:tcPr>
            <w:tcW w:w="926" w:type="pct"/>
            <w:noWrap/>
            <w:vAlign w:val="center"/>
          </w:tcPr>
          <w:p>
            <w:pPr>
              <w:widowControl/>
              <w:spacing w:line="240" w:lineRule="auto"/>
              <w:ind w:firstLine="0" w:firstLineChars="0"/>
              <w:jc w:val="center"/>
              <w:rPr>
                <w:rFonts w:ascii="仿宋" w:hAnsi="仿宋" w:cs="宋体"/>
                <w:kern w:val="0"/>
                <w:sz w:val="24"/>
                <w:szCs w:val="24"/>
              </w:rPr>
            </w:pPr>
            <w:r>
              <w:rPr>
                <w:rFonts w:hint="eastAsia" w:ascii="仿宋" w:hAnsi="仿宋" w:cs="宋体"/>
                <w:kern w:val="0"/>
                <w:sz w:val="24"/>
                <w:szCs w:val="24"/>
              </w:rPr>
              <w:t>产业发展类</w:t>
            </w:r>
          </w:p>
        </w:tc>
        <w:tc>
          <w:tcPr>
            <w:tcW w:w="767" w:type="pct"/>
            <w:noWrap/>
            <w:vAlign w:val="center"/>
          </w:tcPr>
          <w:p>
            <w:pPr>
              <w:widowControl/>
              <w:spacing w:line="240" w:lineRule="auto"/>
              <w:ind w:firstLine="0" w:firstLineChars="0"/>
              <w:jc w:val="center"/>
              <w:rPr>
                <w:rFonts w:eastAsia="等线"/>
                <w:color w:val="000000"/>
                <w:kern w:val="0"/>
                <w:sz w:val="24"/>
                <w:szCs w:val="24"/>
              </w:rPr>
            </w:pPr>
            <w:r>
              <w:rPr>
                <w:rFonts w:hint="eastAsia" w:eastAsia="等线"/>
                <w:color w:val="000000"/>
                <w:kern w:val="0"/>
                <w:sz w:val="24"/>
                <w:szCs w:val="24"/>
              </w:rPr>
              <w:t>0.701</w:t>
            </w:r>
            <w:r>
              <w:rPr>
                <w:rFonts w:eastAsia="等线"/>
                <w:color w:val="000000"/>
                <w:kern w:val="0"/>
                <w:sz w:val="24"/>
                <w:szCs w:val="24"/>
              </w:rPr>
              <w:t>3</w:t>
            </w:r>
          </w:p>
        </w:tc>
        <w:tc>
          <w:tcPr>
            <w:tcW w:w="744" w:type="pct"/>
            <w:vMerge w:val="continue"/>
            <w:noWrap/>
            <w:vAlign w:val="center"/>
          </w:tcPr>
          <w:p>
            <w:pPr>
              <w:widowControl/>
              <w:spacing w:line="240" w:lineRule="auto"/>
              <w:ind w:firstLine="0" w:firstLineChars="0"/>
              <w:jc w:val="center"/>
              <w:rPr>
                <w:rFonts w:ascii="仿宋" w:hAnsi="仿宋" w:cs="宋体"/>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3489" w:type="pct"/>
            <w:gridSpan w:val="3"/>
            <w:noWrap/>
            <w:vAlign w:val="center"/>
          </w:tcPr>
          <w:p>
            <w:pPr>
              <w:widowControl/>
              <w:spacing w:line="240" w:lineRule="auto"/>
              <w:ind w:firstLine="0" w:firstLineChars="0"/>
              <w:jc w:val="center"/>
              <w:rPr>
                <w:rFonts w:ascii="仿宋" w:hAnsi="仿宋" w:cs="宋体"/>
                <w:b/>
                <w:bCs/>
                <w:kern w:val="0"/>
                <w:sz w:val="24"/>
                <w:szCs w:val="24"/>
              </w:rPr>
            </w:pPr>
            <w:r>
              <w:rPr>
                <w:rFonts w:hint="eastAsia" w:ascii="仿宋" w:hAnsi="仿宋" w:cs="宋体"/>
                <w:b/>
                <w:bCs/>
                <w:kern w:val="0"/>
                <w:sz w:val="24"/>
                <w:szCs w:val="24"/>
              </w:rPr>
              <w:t>合计</w:t>
            </w:r>
          </w:p>
        </w:tc>
        <w:tc>
          <w:tcPr>
            <w:tcW w:w="767" w:type="pct"/>
            <w:noWrap/>
            <w:vAlign w:val="center"/>
          </w:tcPr>
          <w:p>
            <w:pPr>
              <w:widowControl/>
              <w:spacing w:line="240" w:lineRule="auto"/>
              <w:ind w:firstLine="0" w:firstLineChars="0"/>
              <w:jc w:val="center"/>
              <w:rPr>
                <w:b/>
                <w:bCs/>
                <w:kern w:val="0"/>
                <w:sz w:val="24"/>
                <w:szCs w:val="24"/>
              </w:rPr>
            </w:pPr>
            <w:r>
              <w:rPr>
                <w:b/>
                <w:bCs/>
                <w:kern w:val="0"/>
                <w:sz w:val="24"/>
                <w:szCs w:val="24"/>
              </w:rPr>
              <w:t>7.5590</w:t>
            </w:r>
          </w:p>
        </w:tc>
        <w:tc>
          <w:tcPr>
            <w:tcW w:w="744" w:type="pct"/>
            <w:noWrap/>
            <w:vAlign w:val="center"/>
          </w:tcPr>
          <w:p>
            <w:pPr>
              <w:widowControl/>
              <w:spacing w:line="240" w:lineRule="auto"/>
              <w:ind w:firstLine="0" w:firstLineChars="0"/>
              <w:jc w:val="center"/>
              <w:rPr>
                <w:rFonts w:ascii="仿宋" w:hAnsi="仿宋" w:cs="宋体"/>
                <w:b/>
                <w:bCs/>
                <w:kern w:val="0"/>
                <w:sz w:val="24"/>
                <w:szCs w:val="24"/>
              </w:rPr>
            </w:pPr>
            <w:r>
              <w:rPr>
                <w:rFonts w:hint="eastAsia" w:ascii="仿宋" w:hAnsi="仿宋" w:cs="宋体"/>
                <w:b/>
                <w:bCs/>
                <w:kern w:val="0"/>
                <w:sz w:val="24"/>
                <w:szCs w:val="24"/>
              </w:rPr>
              <w:t>——</w:t>
            </w:r>
          </w:p>
        </w:tc>
      </w:tr>
    </w:tbl>
    <w:p>
      <w:pPr>
        <w:pStyle w:val="3"/>
      </w:pPr>
      <w:bookmarkStart w:id="58" w:name="_Toc115364064"/>
      <w:bookmarkStart w:id="59" w:name="_Toc115364438"/>
      <w:r>
        <w:rPr>
          <w:rFonts w:hint="eastAsia"/>
        </w:rPr>
        <w:t>七、效益评估</w:t>
      </w:r>
      <w:bookmarkEnd w:id="58"/>
      <w:bookmarkEnd w:id="59"/>
    </w:p>
    <w:p>
      <w:pPr>
        <w:pStyle w:val="4"/>
      </w:pPr>
      <w:bookmarkStart w:id="60" w:name="_Toc115364065"/>
      <w:bookmarkStart w:id="61" w:name="_Toc115364439"/>
      <w:r>
        <w:rPr>
          <w:rFonts w:hint="eastAsia"/>
        </w:rPr>
        <w:t>（一）土地利用效益</w:t>
      </w:r>
      <w:bookmarkEnd w:id="60"/>
      <w:bookmarkEnd w:id="61"/>
    </w:p>
    <w:p>
      <w:pPr>
        <w:ind w:firstLine="560"/>
      </w:pPr>
      <w:r>
        <w:rPr>
          <w:rFonts w:hint="eastAsia"/>
        </w:rPr>
        <w:t>本方案涉及塘尾古城片区、中心片区、石崇组团片区3个片区，拟实施土地征收成片开发项目3个。一方面，通过集中投入资金、完善区域多种配套设施，将持续提高石排镇202</w:t>
      </w:r>
      <w:r>
        <w:t>2</w:t>
      </w:r>
      <w:r>
        <w:rPr>
          <w:rFonts w:hint="eastAsia"/>
        </w:rPr>
        <w:t>-202</w:t>
      </w:r>
      <w:r>
        <w:t>4</w:t>
      </w:r>
      <w:r>
        <w:rPr>
          <w:rFonts w:hint="eastAsia"/>
        </w:rPr>
        <w:t>年的土地利用效率，实现土地价值最大化；另一方面，通过统筹整合方式进行成片开发，能有效盘活低效利用及碎片化土地，推动各个片区空间布局合理、连片发展，优化空间资源，实现土地利用节约集约。</w:t>
      </w:r>
    </w:p>
    <w:p>
      <w:pPr>
        <w:pStyle w:val="4"/>
      </w:pPr>
      <w:bookmarkStart w:id="62" w:name="_Toc115364066"/>
      <w:bookmarkStart w:id="63" w:name="_Toc115364440"/>
      <w:r>
        <w:rPr>
          <w:rFonts w:hint="eastAsia"/>
        </w:rPr>
        <w:t>（二）经济效益</w:t>
      </w:r>
      <w:bookmarkEnd w:id="62"/>
      <w:bookmarkEnd w:id="63"/>
    </w:p>
    <w:p>
      <w:pPr>
        <w:ind w:firstLine="560"/>
      </w:pPr>
      <w:r>
        <w:rPr>
          <w:rFonts w:hint="eastAsia"/>
        </w:rPr>
        <w:t>土地成片开发是助推经济发展的重要法宝。本方案成片开发的项目均为工业用途，通过成片开发方案的落实，将有效加快石排镇传统产业提质增效，实现战略性新兴产业项目的落地，全面优化创新业态培育，促进更多优质企业落户石排，预计将拉动13亿元以上投资额，同时推动高成长型、高税收型企业进驻落地和重点企业增资扩产，形成产业新布局，推动石排镇向更高质量发展。</w:t>
      </w:r>
    </w:p>
    <w:p>
      <w:pPr>
        <w:pStyle w:val="4"/>
      </w:pPr>
      <w:bookmarkStart w:id="64" w:name="_Toc115364441"/>
      <w:bookmarkStart w:id="65" w:name="_Toc115364067"/>
      <w:r>
        <w:rPr>
          <w:rFonts w:hint="eastAsia"/>
        </w:rPr>
        <w:t>（三）社会效益</w:t>
      </w:r>
      <w:bookmarkEnd w:id="64"/>
      <w:bookmarkEnd w:id="65"/>
    </w:p>
    <w:p>
      <w:pPr>
        <w:ind w:firstLine="560"/>
      </w:pPr>
      <w:r>
        <w:rPr>
          <w:rFonts w:hint="eastAsia"/>
        </w:rPr>
        <w:t>通过三个片区的开发建设，配合石排镇对于企业的联动协调机制，可进一步吸引企业落户石排，带动地方人才市场发展，为当地居民提供更多的就业机会，实现更加充分更高质量就业，有效提升居民收入水平。</w:t>
      </w:r>
    </w:p>
    <w:p>
      <w:pPr>
        <w:pStyle w:val="4"/>
      </w:pPr>
      <w:bookmarkStart w:id="66" w:name="_Toc115364068"/>
      <w:bookmarkStart w:id="67" w:name="_Toc115364442"/>
      <w:r>
        <w:rPr>
          <w:rFonts w:hint="eastAsia"/>
        </w:rPr>
        <w:t>（四）生态效益</w:t>
      </w:r>
      <w:bookmarkEnd w:id="66"/>
      <w:bookmarkEnd w:id="67"/>
    </w:p>
    <w:p>
      <w:pPr>
        <w:pStyle w:val="5"/>
        <w:numPr>
          <w:ilvl w:val="0"/>
          <w:numId w:val="2"/>
        </w:numPr>
        <w:ind w:firstLineChars="0"/>
      </w:pPr>
      <w:bookmarkStart w:id="68" w:name="_Toc115364443"/>
      <w:r>
        <w:rPr>
          <w:rFonts w:hint="eastAsia"/>
        </w:rPr>
        <w:t>坚守生态安全底线，促进区域可持续发展</w:t>
      </w:r>
      <w:bookmarkEnd w:id="68"/>
    </w:p>
    <w:p>
      <w:pPr>
        <w:ind w:firstLine="560"/>
      </w:pPr>
      <w:r>
        <w:rPr>
          <w:rFonts w:hint="eastAsia"/>
        </w:rPr>
        <w:t>本方案避让永久基本农田、生态保护红线，衔接东莞市“三线一单”管控要求，同时坚持底线原则，不涉及自然保护地、饮用水源保护区等生态安全底线，做到尊重自然、顺应自然、保护自然的发展要求。严格按照广东省“一核一带一区”区域发展格局，坚定不移走生态优先、绿色发展之路，坚持生态发展理念不动摇，同时与其他各类生态管控要素做好衔接，建设人与自然和谐共生的生态网络，促进区域经济可持续发展。</w:t>
      </w:r>
    </w:p>
    <w:p>
      <w:pPr>
        <w:pStyle w:val="5"/>
        <w:numPr>
          <w:ilvl w:val="0"/>
          <w:numId w:val="2"/>
        </w:numPr>
        <w:ind w:firstLineChars="0"/>
      </w:pPr>
      <w:bookmarkStart w:id="69" w:name="_Toc115364444"/>
      <w:r>
        <w:rPr>
          <w:rFonts w:hint="eastAsia"/>
        </w:rPr>
        <w:t>构建绿色低碳产业，提升城市生态品质</w:t>
      </w:r>
      <w:bookmarkEnd w:id="69"/>
    </w:p>
    <w:p>
      <w:pPr>
        <w:ind w:firstLine="560"/>
      </w:pPr>
      <w:r>
        <w:rPr>
          <w:rFonts w:hint="eastAsia"/>
        </w:rPr>
        <w:t>本方案通过加快落实新兴产业发展，加快构建生态产业体系，预计单位GDP二氧化碳排放量降低3.9%、单位GDP能源消耗降低2.34%。对实现生态环境良性循环，提升城市生态品质，全力打造“湾区都市、品质东莞”具有重要作用。</w:t>
      </w:r>
    </w:p>
    <w:p>
      <w:pPr>
        <w:pStyle w:val="3"/>
      </w:pPr>
      <w:bookmarkStart w:id="70" w:name="_Toc115364069"/>
      <w:bookmarkStart w:id="71" w:name="_Toc115364445"/>
      <w:r>
        <w:rPr>
          <w:rFonts w:hint="eastAsia"/>
        </w:rPr>
        <w:t>八、结论</w:t>
      </w:r>
      <w:bookmarkEnd w:id="70"/>
      <w:bookmarkEnd w:id="71"/>
    </w:p>
    <w:p>
      <w:pPr>
        <w:ind w:firstLine="560"/>
      </w:pPr>
      <w:r>
        <w:rPr>
          <w:rFonts w:hint="eastAsia"/>
        </w:rPr>
        <w:t>1、成片开发范围位于石排镇土地利用总体规划的城镇建设用地、镇总体规划的建设用地范围内以及国土空间总体规划的城镇集中建设区内，方案不涉及占用永久基本农田和生态保护红线，与在编国土空间总体规划充分衔接。</w:t>
      </w:r>
    </w:p>
    <w:p>
      <w:pPr>
        <w:ind w:firstLine="560"/>
      </w:pPr>
      <w:r>
        <w:rPr>
          <w:rFonts w:hint="eastAsia"/>
        </w:rPr>
        <w:t>2、本方案各片区成片开发范围内公益性用地比例不低于40%，拟实施征收地块面积不小于成片开发范围面积的60%。</w:t>
      </w:r>
    </w:p>
    <w:p>
      <w:pPr>
        <w:ind w:firstLine="560"/>
      </w:pPr>
      <w:r>
        <w:t>3</w:t>
      </w:r>
      <w:r>
        <w:rPr>
          <w:rFonts w:hint="eastAsia"/>
        </w:rPr>
        <w:t>、本方案符合东莞市国民经济和社会发展规划，实施计划已纳入国民经济和社会发展第十四个五年规划和2035年远景目标纲要。</w:t>
      </w:r>
    </w:p>
    <w:p>
      <w:pPr>
        <w:ind w:firstLine="560"/>
      </w:pPr>
      <w:r>
        <w:t>4</w:t>
      </w:r>
      <w:r>
        <w:rPr>
          <w:rFonts w:hint="eastAsia"/>
        </w:rPr>
        <w:t>、石排镇域范围内不存在大量批而未供或闲置土地情况，不存在连续两年未完成已批准实施的土地征收成片开发方案安排的年度实施计划的情况。</w:t>
      </w:r>
    </w:p>
    <w:p>
      <w:pPr>
        <w:ind w:firstLine="560"/>
        <w:sectPr>
          <w:footerReference r:id="rId16" w:type="default"/>
          <w:pgSz w:w="11906" w:h="16838"/>
          <w:pgMar w:top="1440" w:right="1800" w:bottom="1440" w:left="1800" w:header="851" w:footer="850" w:gutter="0"/>
          <w:cols w:space="0" w:num="1"/>
          <w:docGrid w:type="lines" w:linePitch="395" w:charSpace="0"/>
        </w:sectPr>
      </w:pPr>
      <w:r>
        <w:rPr>
          <w:rFonts w:hint="eastAsia"/>
        </w:rPr>
        <w:t>综上，《石排镇2022年土地征收成片开发方案》符合《土地征收成片开发标准（试行）》（自然资规〔2020〕5号）和《广东省自然资源厅关于规范土地征收成片开发工作的通知》（粤自然资发〔2021〕20号）的要求。</w:t>
      </w:r>
    </w:p>
    <w:p>
      <w:pPr>
        <w:ind w:firstLine="560"/>
        <w:jc w:val="center"/>
      </w:pPr>
      <w:bookmarkStart w:id="72" w:name="_Toc10627"/>
      <w:r>
        <w:rPr>
          <w:rFonts w:hint="eastAsia"/>
        </w:rPr>
        <mc:AlternateContent>
          <mc:Choice Requires="wps">
            <w:drawing>
              <wp:anchor distT="0" distB="0" distL="0" distR="0" simplePos="0" relativeHeight="251659264" behindDoc="0" locked="0" layoutInCell="1" allowOverlap="1">
                <wp:simplePos x="0" y="0"/>
                <wp:positionH relativeFrom="page">
                  <wp:posOffset>600710</wp:posOffset>
                </wp:positionH>
                <wp:positionV relativeFrom="page">
                  <wp:posOffset>324485</wp:posOffset>
                </wp:positionV>
                <wp:extent cx="5599430" cy="310515"/>
                <wp:effectExtent l="0" t="0" r="635" b="5080"/>
                <wp:wrapNone/>
                <wp:docPr id="1026" name="文本框 9"/>
                <wp:cNvGraphicFramePr/>
                <a:graphic xmlns:a="http://schemas.openxmlformats.org/drawingml/2006/main">
                  <a:graphicData uri="http://schemas.microsoft.com/office/word/2010/wordprocessingShape">
                    <wps:wsp>
                      <wps:cNvSpPr/>
                      <wps:spPr>
                        <a:xfrm>
                          <a:off x="0" y="0"/>
                          <a:ext cx="5599323" cy="310783"/>
                        </a:xfrm>
                        <a:prstGeom prst="rect">
                          <a:avLst/>
                        </a:prstGeom>
                        <a:solidFill>
                          <a:srgbClr val="FFFFFF"/>
                        </a:solidFill>
                        <a:ln>
                          <a:noFill/>
                        </a:ln>
                      </wps:spPr>
                      <wps:txbx>
                        <w:txbxContent>
                          <w:p>
                            <w:pPr>
                              <w:spacing w:line="240" w:lineRule="auto"/>
                              <w:ind w:firstLine="560"/>
                            </w:pPr>
                            <w:bookmarkStart w:id="73" w:name="_Toc115364446"/>
                            <w:bookmarkStart w:id="74" w:name="_Toc115364070"/>
                            <w:r>
                              <w:rPr>
                                <w:rFonts w:hint="eastAsia"/>
                              </w:rPr>
                              <w:t>附图：东莞市石排镇2022年度土地征收成片开发范围示意图</w:t>
                            </w:r>
                            <w:bookmarkEnd w:id="73"/>
                            <w:bookmarkEnd w:id="74"/>
                          </w:p>
                          <w:p>
                            <w:pPr>
                              <w:ind w:firstLine="560"/>
                            </w:pPr>
                          </w:p>
                        </w:txbxContent>
                      </wps:txbx>
                      <wps:bodyPr vert="horz" wrap="square" lIns="91440" tIns="45720" rIns="91440" bIns="45720" anchor="t">
                        <a:noAutofit/>
                      </wps:bodyPr>
                    </wps:wsp>
                  </a:graphicData>
                </a:graphic>
              </wp:anchor>
            </w:drawing>
          </mc:Choice>
          <mc:Fallback>
            <w:pict>
              <v:rect id="文本框 9" o:spid="_x0000_s1026" o:spt="1" style="position:absolute;left:0pt;margin-left:47.3pt;margin-top:25.55pt;height:24.45pt;width:440.9pt;mso-position-horizontal-relative:page;mso-position-vertical-relative:page;z-index:251659264;mso-width-relative:page;mso-height-relative:page;" fillcolor="#FFFFFF" filled="t" stroked="f" coordsize="21600,21600" o:gfxdata="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0aE2l9YAAAAJAQAADwAAAAAAAAABACAAAAAiAAAAZHJzL2Rvd25yZXYueG1sUEsBAhQAFAAA&#10;AAgAh07iQNy3wzTxAQAA1wMAAA4AAAAAAAAAAQAgAAAAJQEAAGRycy9lMm9Eb2MueG1sUEsFBgAA&#10;AAAGAAYAWQEAAIgFAAAAAA==&#10;">
                <v:fill on="t" focussize="0,0"/>
                <v:stroke on="f"/>
                <v:imagedata o:title=""/>
                <o:lock v:ext="edit" aspectratio="f"/>
                <v:textbox>
                  <w:txbxContent>
                    <w:p>
                      <w:pPr>
                        <w:spacing w:line="240" w:lineRule="auto"/>
                        <w:ind w:firstLine="560"/>
                      </w:pPr>
                      <w:bookmarkStart w:id="73" w:name="_Toc115364446"/>
                      <w:bookmarkStart w:id="74" w:name="_Toc115364070"/>
                      <w:r>
                        <w:rPr>
                          <w:rFonts w:hint="eastAsia"/>
                        </w:rPr>
                        <w:t>附图：东莞市石排镇2022年度土地征收成片开发范围示意图</w:t>
                      </w:r>
                      <w:bookmarkEnd w:id="73"/>
                      <w:bookmarkEnd w:id="74"/>
                    </w:p>
                    <w:p>
                      <w:pPr>
                        <w:ind w:firstLine="560"/>
                      </w:pPr>
                    </w:p>
                  </w:txbxContent>
                </v:textbox>
              </v:rect>
            </w:pict>
          </mc:Fallback>
        </mc:AlternateContent>
      </w:r>
      <w:r>
        <w:rPr>
          <w:rFonts w:hint="eastAsia"/>
        </w:rPr>
        <w:drawing>
          <wp:inline distT="0" distB="0" distL="0" distR="0">
            <wp:extent cx="8260715" cy="5842635"/>
            <wp:effectExtent l="0" t="0" r="6985" b="5715"/>
            <wp:docPr id="1027" name="图片 8" descr="D:\桌面\石排范围图\总图.jpg总图"/>
            <wp:cNvGraphicFramePr/>
            <a:graphic xmlns:a="http://schemas.openxmlformats.org/drawingml/2006/main">
              <a:graphicData uri="http://schemas.openxmlformats.org/drawingml/2006/picture">
                <pic:pic xmlns:pic="http://schemas.openxmlformats.org/drawingml/2006/picture">
                  <pic:nvPicPr>
                    <pic:cNvPr id="1027" name="图片 8" descr="D:\桌面\石排范围图\总图.jpg总图"/>
                    <pic:cNvPicPr/>
                  </pic:nvPicPr>
                  <pic:blipFill>
                    <a:blip r:embed="rId19" cstate="print"/>
                    <a:srcRect/>
                    <a:stretch>
                      <a:fillRect/>
                    </a:stretch>
                  </pic:blipFill>
                  <pic:spPr>
                    <a:xfrm>
                      <a:off x="0" y="0"/>
                      <a:ext cx="8260715" cy="5842635"/>
                    </a:xfrm>
                    <a:prstGeom prst="rect">
                      <a:avLst/>
                    </a:prstGeom>
                  </pic:spPr>
                </pic:pic>
              </a:graphicData>
            </a:graphic>
          </wp:inline>
        </w:drawing>
      </w:r>
      <w:bookmarkEnd w:id="72"/>
    </w:p>
    <w:p>
      <w:pPr>
        <w:ind w:firstLine="560"/>
        <w:jc w:val="center"/>
      </w:pPr>
      <w:r>
        <w:rPr>
          <w:rFonts w:hint="eastAsia"/>
        </w:rPr>
        <w:drawing>
          <wp:inline distT="0" distB="0" distL="0" distR="0">
            <wp:extent cx="8263890" cy="5843270"/>
            <wp:effectExtent l="0" t="0" r="3810" b="5080"/>
            <wp:docPr id="1028" name="图片 3" descr="D:\桌面\石排范围图\塘尾.jpg塘尾"/>
            <wp:cNvGraphicFramePr/>
            <a:graphic xmlns:a="http://schemas.openxmlformats.org/drawingml/2006/main">
              <a:graphicData uri="http://schemas.openxmlformats.org/drawingml/2006/picture">
                <pic:pic xmlns:pic="http://schemas.openxmlformats.org/drawingml/2006/picture">
                  <pic:nvPicPr>
                    <pic:cNvPr id="1028" name="图片 3" descr="D:\桌面\石排范围图\塘尾.jpg塘尾"/>
                    <pic:cNvPicPr/>
                  </pic:nvPicPr>
                  <pic:blipFill>
                    <a:blip r:embed="rId20" cstate="print"/>
                    <a:srcRect/>
                    <a:stretch>
                      <a:fillRect/>
                    </a:stretch>
                  </pic:blipFill>
                  <pic:spPr>
                    <a:xfrm>
                      <a:off x="0" y="0"/>
                      <a:ext cx="8263890" cy="5843270"/>
                    </a:xfrm>
                    <a:prstGeom prst="rect">
                      <a:avLst/>
                    </a:prstGeom>
                  </pic:spPr>
                </pic:pic>
              </a:graphicData>
            </a:graphic>
          </wp:inline>
        </w:drawing>
      </w:r>
      <w:r>
        <w:rPr>
          <w:rFonts w:hint="eastAsia"/>
        </w:rPr>
        <w:drawing>
          <wp:inline distT="0" distB="0" distL="0" distR="0">
            <wp:extent cx="8261985" cy="5842000"/>
            <wp:effectExtent l="0" t="0" r="5715" b="6350"/>
            <wp:docPr id="1029" name="图片 2" descr="D:\桌面\石排范围图\石崇组团.jpg石崇组团"/>
            <wp:cNvGraphicFramePr/>
            <a:graphic xmlns:a="http://schemas.openxmlformats.org/drawingml/2006/main">
              <a:graphicData uri="http://schemas.openxmlformats.org/drawingml/2006/picture">
                <pic:pic xmlns:pic="http://schemas.openxmlformats.org/drawingml/2006/picture">
                  <pic:nvPicPr>
                    <pic:cNvPr id="1029" name="图片 2" descr="D:\桌面\石排范围图\石崇组团.jpg石崇组团"/>
                    <pic:cNvPicPr/>
                  </pic:nvPicPr>
                  <pic:blipFill>
                    <a:blip r:embed="rId21" cstate="print"/>
                    <a:srcRect/>
                    <a:stretch>
                      <a:fillRect/>
                    </a:stretch>
                  </pic:blipFill>
                  <pic:spPr>
                    <a:xfrm>
                      <a:off x="0" y="0"/>
                      <a:ext cx="8261985" cy="5842000"/>
                    </a:xfrm>
                    <a:prstGeom prst="rect">
                      <a:avLst/>
                    </a:prstGeom>
                  </pic:spPr>
                </pic:pic>
              </a:graphicData>
            </a:graphic>
          </wp:inline>
        </w:drawing>
      </w:r>
      <w:r>
        <w:rPr>
          <w:rFonts w:hint="eastAsia"/>
        </w:rPr>
        <w:drawing>
          <wp:inline distT="0" distB="0" distL="0" distR="0">
            <wp:extent cx="8261985" cy="5842000"/>
            <wp:effectExtent l="0" t="0" r="5715" b="6350"/>
            <wp:docPr id="1030" name="图片 1" descr="D:\桌面\石排范围图\中心.jpg中心"/>
            <wp:cNvGraphicFramePr/>
            <a:graphic xmlns:a="http://schemas.openxmlformats.org/drawingml/2006/main">
              <a:graphicData uri="http://schemas.openxmlformats.org/drawingml/2006/picture">
                <pic:pic xmlns:pic="http://schemas.openxmlformats.org/drawingml/2006/picture">
                  <pic:nvPicPr>
                    <pic:cNvPr id="1030" name="图片 1" descr="D:\桌面\石排范围图\中心.jpg中心"/>
                    <pic:cNvPicPr/>
                  </pic:nvPicPr>
                  <pic:blipFill>
                    <a:blip r:embed="rId22" cstate="print"/>
                    <a:srcRect/>
                    <a:stretch>
                      <a:fillRect/>
                    </a:stretch>
                  </pic:blipFill>
                  <pic:spPr>
                    <a:xfrm>
                      <a:off x="0" y="0"/>
                      <a:ext cx="8261985" cy="5842000"/>
                    </a:xfrm>
                    <a:prstGeom prst="rect">
                      <a:avLst/>
                    </a:prstGeom>
                  </pic:spPr>
                </pic:pic>
              </a:graphicData>
            </a:graphic>
          </wp:inline>
        </w:drawing>
      </w:r>
    </w:p>
    <w:sectPr>
      <w:footerReference r:id="rId17" w:type="default"/>
      <w:pgSz w:w="16838" w:h="11906" w:orient="landscape"/>
      <w:pgMar w:top="720" w:right="720" w:bottom="720" w:left="720" w:header="851" w:footer="850" w:gutter="0"/>
      <w:cols w:space="0" w:num="1"/>
      <w:docGrid w:type="lines" w:linePitch="39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center"/>
    </w:pPr>
    <w:r>
      <w:fldChar w:fldCharType="begin"/>
    </w:r>
    <w:r>
      <w:instrText xml:space="preserve">PAGE   \* MERGEFORMAT</w:instrText>
    </w:r>
    <w:r>
      <w:fldChar w:fldCharType="separate"/>
    </w:r>
    <w:r>
      <w:rPr>
        <w:lang w:val="zh-CN"/>
      </w:rPr>
      <w:t>II</w:t>
    </w:r>
    <w:r>
      <w:fldChar w:fldCharType="end"/>
    </w:r>
  </w:p>
  <w:p>
    <w:pPr>
      <w:pStyle w:val="1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0" w:firstLineChars="0"/>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0"/>
                            <w:ind w:firstLine="360"/>
                          </w:pPr>
                          <w:r>
                            <w:fldChar w:fldCharType="begin"/>
                          </w:r>
                          <w:r>
                            <w:instrText xml:space="preserve"> PAGE  \* MERGEFORMAT </w:instrText>
                          </w:r>
                          <w:r>
                            <w:fldChar w:fldCharType="separate"/>
                          </w:r>
                          <w:r>
                            <w:t>6</w:t>
                          </w:r>
                          <w:r>
                            <w:fldChar w:fldCharType="end"/>
                          </w:r>
                        </w:p>
                      </w:txbxContent>
                    </wps:txbx>
                    <wps:bodyPr vert="horz" wrap="none" lIns="0" tIns="0" rIns="0" bIns="0" anchor="t">
                      <a:spAutoFit/>
                    </wps:bodyPr>
                  </wps:wsp>
                </a:graphicData>
              </a:graphic>
            </wp:anchor>
          </w:drawing>
        </mc:Choice>
        <mc:Fallback>
          <w:pict>
            <v:rect id="文本框 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HwkrQrKAQAAkgMAAA4AAAAAAAAAAQAgAAAAHwEAAGRycy9lMm9E&#10;b2MueG1sUEsFBgAAAAAGAAYAWQEAAFsFAAAAAA==&#10;">
              <v:fill on="f" focussize="0,0"/>
              <v:stroke on="f"/>
              <v:imagedata o:title=""/>
              <o:lock v:ext="edit" aspectratio="f"/>
              <v:textbox inset="0mm,0mm,0mm,0mm" style="mso-fit-shape-to-text:t;">
                <w:txbxContent>
                  <w:p>
                    <w:pPr>
                      <w:pStyle w:val="10"/>
                      <w:ind w:firstLine="360"/>
                    </w:pPr>
                    <w:r>
                      <w:fldChar w:fldCharType="begin"/>
                    </w:r>
                    <w:r>
                      <w:instrText xml:space="preserve"> PAGE  \* MERGEFORMAT </w:instrText>
                    </w:r>
                    <w:r>
                      <w:fldChar w:fldCharType="separate"/>
                    </w:r>
                    <w:r>
                      <w:t>6</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0" w:firstLineChars="0"/>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0"/>
                            <w:ind w:firstLine="360"/>
                          </w:pPr>
                          <w:r>
                            <w:fldChar w:fldCharType="begin"/>
                          </w:r>
                          <w:r>
                            <w:instrText xml:space="preserve"> PAGE  \* MERGEFORMAT </w:instrText>
                          </w:r>
                          <w:r>
                            <w:fldChar w:fldCharType="separate"/>
                          </w:r>
                          <w:r>
                            <w:t>9</w:t>
                          </w:r>
                          <w:r>
                            <w:fldChar w:fldCharType="end"/>
                          </w:r>
                        </w:p>
                      </w:txbxContent>
                    </wps:txbx>
                    <wps:bodyPr vert="horz" wrap="none" lIns="0" tIns="0" rIns="0" bIns="0" anchor="t">
                      <a:spAutoFit/>
                    </wps:bodyPr>
                  </wps:wsp>
                </a:graphicData>
              </a:graphic>
            </wp:anchor>
          </w:drawing>
        </mc:Choice>
        <mc:Fallback>
          <w:pict>
            <v:rect id="文本框 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5dblS0AAAAAUBAAAPAAAAAAAAAAEAIAAAACIAAABkcnMvZG93bnJldi54bWxQ&#10;SwECFAAUAAAACACHTuJAYbaqPMYBAACPAwAADgAAAAAAAAABACAAAAAfAQAAZHJzL2Uyb0RvYy54&#10;bWxQSwUGAAAAAAYABgBZAQAAVwUAAAAA&#10;">
              <v:fill on="f" focussize="0,0"/>
              <v:stroke on="f"/>
              <v:imagedata o:title=""/>
              <o:lock v:ext="edit" aspectratio="f"/>
              <v:textbox inset="0mm,0mm,0mm,0mm" style="mso-fit-shape-to-text:t;">
                <w:txbxContent>
                  <w:p>
                    <w:pPr>
                      <w:pStyle w:val="10"/>
                      <w:ind w:firstLine="360"/>
                    </w:pPr>
                    <w:r>
                      <w:fldChar w:fldCharType="begin"/>
                    </w:r>
                    <w:r>
                      <w:instrText xml:space="preserve"> PAGE  \* MERGEFORMAT </w:instrText>
                    </w:r>
                    <w:r>
                      <w:fldChar w:fldCharType="separate"/>
                    </w:r>
                    <w:r>
                      <w:t>9</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0"/>
                            <w:ind w:firstLine="360"/>
                          </w:pPr>
                          <w:r>
                            <w:fldChar w:fldCharType="begin"/>
                          </w:r>
                          <w:r>
                            <w:instrText xml:space="preserve"> PAGE  \* MERGEFORMAT </w:instrText>
                          </w:r>
                          <w:r>
                            <w:fldChar w:fldCharType="separate"/>
                          </w:r>
                          <w:r>
                            <w:t>13</w:t>
                          </w:r>
                          <w:r>
                            <w:fldChar w:fldCharType="end"/>
                          </w:r>
                        </w:p>
                      </w:txbxContent>
                    </wps:txbx>
                    <wps:bodyPr vert="horz" wrap="none" lIns="0" tIns="0" rIns="0" bIns="0" anchor="t">
                      <a:spAutoFit/>
                    </wps:bodyPr>
                  </wps:wsp>
                </a:graphicData>
              </a:graphic>
            </wp:anchor>
          </w:drawing>
        </mc:Choice>
        <mc:Fallback>
          <w:pict>
            <v:rect id="文本框 5"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j2fYzMkBAACSAwAADgAAAAAAAAABACAAAAAfAQAAZHJzL2Uyb0Rv&#10;Yy54bWxQSwUGAAAAAAYABgBZAQAAWgUAAAAA&#10;">
              <v:fill on="f" focussize="0,0"/>
              <v:stroke on="f"/>
              <v:imagedata o:title=""/>
              <o:lock v:ext="edit" aspectratio="f"/>
              <v:textbox inset="0mm,0mm,0mm,0mm" style="mso-fit-shape-to-text:t;">
                <w:txbxContent>
                  <w:p>
                    <w:pPr>
                      <w:pStyle w:val="10"/>
                      <w:ind w:firstLine="360"/>
                    </w:pPr>
                    <w:r>
                      <w:fldChar w:fldCharType="begin"/>
                    </w:r>
                    <w:r>
                      <w:instrText xml:space="preserve"> PAGE  \* MERGEFORMAT </w:instrText>
                    </w:r>
                    <w:r>
                      <w:fldChar w:fldCharType="separate"/>
                    </w:r>
                    <w:r>
                      <w:t>13</w:t>
                    </w:r>
                    <w:r>
                      <w:fldChar w:fldCharType="end"/>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top w:val="none" w:color="auto" w:sz="0" w:space="1"/>
        <w:left w:val="none" w:color="auto" w:sz="0" w:space="4"/>
        <w:bottom w:val="none" w:color="auto" w:sz="0" w:space="1"/>
        <w:right w:val="none" w:color="auto" w:sz="0" w:space="4"/>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top w:val="none" w:color="auto" w:sz="0" w:space="1"/>
        <w:left w:val="none" w:color="auto" w:sz="0" w:space="4"/>
        <w:bottom w:val="none" w:color="auto" w:sz="0" w:space="1"/>
        <w:right w:val="none" w:color="auto" w:sz="0" w:space="4"/>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B780581"/>
    <w:multiLevelType w:val="multilevel"/>
    <w:tmpl w:val="4B780581"/>
    <w:lvl w:ilvl="0" w:tentative="0">
      <w:start w:val="1"/>
      <w:numFmt w:val="decimal"/>
      <w:pStyle w:val="5"/>
      <w:lvlText w:val="%1."/>
      <w:lvlJc w:val="left"/>
      <w:pPr>
        <w:ind w:left="845" w:hanging="420"/>
      </w:pPr>
      <w:rPr>
        <w:rFonts w:hint="eastAsia"/>
      </w:rPr>
    </w:lvl>
    <w:lvl w:ilvl="1" w:tentative="0">
      <w:start w:val="3"/>
      <w:numFmt w:val="decimal"/>
      <w:lvlText w:val="%2）"/>
      <w:lvlJc w:val="left"/>
      <w:pPr>
        <w:ind w:left="1565" w:hanging="720"/>
      </w:pPr>
      <w:rPr>
        <w:rFonts w:hint="default"/>
      </w:r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num w:numId="1">
    <w:abstractNumId w:val="0"/>
  </w:num>
  <w:num w:numId="2">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bordersDoNotSurroundHeader w:val="1"/>
  <w:bordersDoNotSurroundFooter w:val="1"/>
  <w:documentProtection w:enforcement="0"/>
  <w:defaultTabStop w:val="420"/>
  <w:drawingGridHorizontalSpacing w:val="140"/>
  <w:drawingGridVerticalSpacing w:val="395"/>
  <w:displayHorizont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JlZTVhNmM4M2Y1OGFhMDBjNmU4NzUyZmE0N2RiNDgifQ=="/>
  </w:docVars>
  <w:rsids>
    <w:rsidRoot w:val="008B6EC9"/>
    <w:rsid w:val="000A44A3"/>
    <w:rsid w:val="000B4961"/>
    <w:rsid w:val="00173D1A"/>
    <w:rsid w:val="002C1281"/>
    <w:rsid w:val="003C2A19"/>
    <w:rsid w:val="00411903"/>
    <w:rsid w:val="004159A6"/>
    <w:rsid w:val="00450889"/>
    <w:rsid w:val="00495C22"/>
    <w:rsid w:val="004B534C"/>
    <w:rsid w:val="00636E8C"/>
    <w:rsid w:val="006D2C7C"/>
    <w:rsid w:val="00705165"/>
    <w:rsid w:val="008B6EC9"/>
    <w:rsid w:val="00AF6EE8"/>
    <w:rsid w:val="00B23569"/>
    <w:rsid w:val="00CC5EAA"/>
    <w:rsid w:val="00E713CF"/>
    <w:rsid w:val="00EB0B65"/>
    <w:rsid w:val="00F12F62"/>
    <w:rsid w:val="00F53884"/>
    <w:rsid w:val="00F54C1B"/>
    <w:rsid w:val="00F84BD5"/>
    <w:rsid w:val="58A047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仿宋" w:cs="Times New Roman"/>
      <w:kern w:val="2"/>
      <w:sz w:val="28"/>
      <w:szCs w:val="22"/>
      <w:lang w:val="en-US" w:eastAsia="zh-CN" w:bidi="ar-SA"/>
    </w:rPr>
  </w:style>
  <w:style w:type="paragraph" w:styleId="3">
    <w:name w:val="heading 1"/>
    <w:next w:val="1"/>
    <w:qFormat/>
    <w:uiPriority w:val="9"/>
    <w:pPr>
      <w:keepNext/>
      <w:keepLines/>
      <w:outlineLvl w:val="0"/>
    </w:pPr>
    <w:rPr>
      <w:rFonts w:ascii="Times New Roman" w:hAnsi="Times New Roman" w:eastAsia="黑体" w:cs="Times New Roman"/>
      <w:bCs/>
      <w:kern w:val="44"/>
      <w:sz w:val="32"/>
      <w:szCs w:val="44"/>
      <w:lang w:val="en-US" w:eastAsia="zh-CN" w:bidi="ar-SA"/>
    </w:rPr>
  </w:style>
  <w:style w:type="paragraph" w:styleId="4">
    <w:name w:val="heading 2"/>
    <w:next w:val="1"/>
    <w:qFormat/>
    <w:uiPriority w:val="9"/>
    <w:pPr>
      <w:keepNext/>
      <w:keepLines/>
      <w:outlineLvl w:val="1"/>
    </w:pPr>
    <w:rPr>
      <w:rFonts w:ascii="Calibri Light" w:hAnsi="Calibri Light" w:eastAsia="楷体" w:cs="Times New Roman"/>
      <w:b/>
      <w:bCs/>
      <w:kern w:val="2"/>
      <w:sz w:val="32"/>
      <w:szCs w:val="32"/>
      <w:lang w:val="en-US" w:eastAsia="zh-CN" w:bidi="ar-SA"/>
    </w:rPr>
  </w:style>
  <w:style w:type="paragraph" w:styleId="5">
    <w:name w:val="heading 3"/>
    <w:basedOn w:val="1"/>
    <w:next w:val="1"/>
    <w:qFormat/>
    <w:uiPriority w:val="9"/>
    <w:pPr>
      <w:keepNext/>
      <w:keepLines/>
      <w:numPr>
        <w:ilvl w:val="0"/>
        <w:numId w:val="1"/>
      </w:numPr>
      <w:ind w:left="0" w:firstLine="200"/>
      <w:outlineLvl w:val="2"/>
    </w:pPr>
    <w:rPr>
      <w:b/>
      <w:bCs/>
      <w:szCs w:val="32"/>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2">
    <w:name w:val="Body Text"/>
    <w:basedOn w:val="1"/>
    <w:qFormat/>
    <w:uiPriority w:val="99"/>
  </w:style>
  <w:style w:type="paragraph" w:styleId="6">
    <w:name w:val="annotation text"/>
    <w:basedOn w:val="1"/>
    <w:link w:val="26"/>
    <w:qFormat/>
    <w:uiPriority w:val="99"/>
    <w:pPr>
      <w:jc w:val="left"/>
    </w:pPr>
  </w:style>
  <w:style w:type="paragraph" w:styleId="7">
    <w:name w:val="toc 3"/>
    <w:basedOn w:val="1"/>
    <w:next w:val="1"/>
    <w:uiPriority w:val="39"/>
    <w:pPr>
      <w:widowControl/>
      <w:spacing w:after="100" w:line="259" w:lineRule="auto"/>
      <w:ind w:left="440" w:firstLine="0" w:firstLineChars="0"/>
      <w:jc w:val="left"/>
    </w:pPr>
    <w:rPr>
      <w:rFonts w:ascii="等线" w:hAnsi="等线" w:eastAsia="等线"/>
      <w:kern w:val="0"/>
      <w:sz w:val="22"/>
    </w:rPr>
  </w:style>
  <w:style w:type="paragraph" w:styleId="8">
    <w:name w:val="Plain Text"/>
    <w:basedOn w:val="1"/>
    <w:link w:val="21"/>
    <w:qFormat/>
    <w:uiPriority w:val="99"/>
    <w:pPr>
      <w:spacing w:line="500" w:lineRule="exact"/>
      <w:ind w:firstLine="0" w:firstLineChars="0"/>
    </w:pPr>
    <w:rPr>
      <w:rFonts w:ascii="宋体" w:hAnsi="Courier New" w:eastAsia="宋体" w:cs="Courier New"/>
      <w:sz w:val="24"/>
      <w:szCs w:val="21"/>
    </w:rPr>
  </w:style>
  <w:style w:type="paragraph" w:styleId="9">
    <w:name w:val="Balloon Text"/>
    <w:basedOn w:val="1"/>
    <w:link w:val="28"/>
    <w:qFormat/>
    <w:uiPriority w:val="99"/>
    <w:pPr>
      <w:spacing w:line="240" w:lineRule="auto"/>
    </w:pPr>
    <w:rPr>
      <w:sz w:val="18"/>
      <w:szCs w:val="18"/>
    </w:rPr>
  </w:style>
  <w:style w:type="paragraph" w:styleId="10">
    <w:name w:val="footer"/>
    <w:basedOn w:val="1"/>
    <w:link w:val="23"/>
    <w:qFormat/>
    <w:uiPriority w:val="99"/>
    <w:pPr>
      <w:tabs>
        <w:tab w:val="center" w:pos="4153"/>
        <w:tab w:val="right" w:pos="8306"/>
      </w:tabs>
      <w:snapToGrid w:val="0"/>
      <w:jc w:val="left"/>
    </w:pPr>
    <w:rPr>
      <w:sz w:val="18"/>
      <w:szCs w:val="18"/>
    </w:rPr>
  </w:style>
  <w:style w:type="paragraph" w:styleId="11">
    <w:name w:val="header"/>
    <w:basedOn w:val="1"/>
    <w:link w:val="25"/>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pPr>
      <w:tabs>
        <w:tab w:val="left" w:pos="479"/>
        <w:tab w:val="right" w:leader="dot" w:pos="8296"/>
      </w:tabs>
      <w:spacing w:line="240" w:lineRule="auto"/>
      <w:ind w:firstLine="0" w:firstLineChars="0"/>
      <w:jc w:val="center"/>
    </w:pPr>
    <w:rPr>
      <w:rFonts w:eastAsia="宋体"/>
      <w:b/>
      <w:sz w:val="22"/>
    </w:rPr>
  </w:style>
  <w:style w:type="paragraph" w:styleId="13">
    <w:name w:val="toc 2"/>
    <w:basedOn w:val="1"/>
    <w:next w:val="1"/>
    <w:qFormat/>
    <w:uiPriority w:val="39"/>
    <w:pPr>
      <w:ind w:left="420" w:leftChars="200"/>
    </w:pPr>
  </w:style>
  <w:style w:type="paragraph" w:styleId="14">
    <w:name w:val="annotation subject"/>
    <w:basedOn w:val="6"/>
    <w:next w:val="6"/>
    <w:link w:val="27"/>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qFormat/>
    <w:uiPriority w:val="99"/>
    <w:rPr>
      <w:color w:val="0563C1"/>
      <w:u w:val="single"/>
    </w:rPr>
  </w:style>
  <w:style w:type="character" w:styleId="19">
    <w:name w:val="annotation reference"/>
    <w:basedOn w:val="17"/>
    <w:qFormat/>
    <w:uiPriority w:val="99"/>
    <w:rPr>
      <w:sz w:val="21"/>
      <w:szCs w:val="21"/>
    </w:rPr>
  </w:style>
  <w:style w:type="character" w:customStyle="1" w:styleId="20">
    <w:name w:val="纯文本 字符"/>
    <w:basedOn w:val="17"/>
    <w:qFormat/>
    <w:uiPriority w:val="99"/>
    <w:rPr>
      <w:rFonts w:ascii="等线" w:hAnsi="Courier New" w:cs="Courier New"/>
      <w:sz w:val="28"/>
    </w:rPr>
  </w:style>
  <w:style w:type="character" w:customStyle="1" w:styleId="21">
    <w:name w:val="纯文本 字符1"/>
    <w:link w:val="8"/>
    <w:qFormat/>
    <w:uiPriority w:val="99"/>
    <w:rPr>
      <w:rFonts w:ascii="宋体" w:hAnsi="Courier New" w:eastAsia="宋体" w:cs="Courier New"/>
      <w:sz w:val="24"/>
      <w:szCs w:val="21"/>
    </w:rPr>
  </w:style>
  <w:style w:type="character" w:customStyle="1" w:styleId="22">
    <w:name w:val="页脚 字符"/>
    <w:basedOn w:val="17"/>
    <w:qFormat/>
    <w:uiPriority w:val="99"/>
    <w:rPr>
      <w:rFonts w:ascii="Times New Roman" w:hAnsi="Times New Roman" w:eastAsia="仿宋" w:cs="Times New Roman"/>
      <w:sz w:val="18"/>
      <w:szCs w:val="18"/>
    </w:rPr>
  </w:style>
  <w:style w:type="character" w:customStyle="1" w:styleId="23">
    <w:name w:val="页脚 字符1"/>
    <w:link w:val="10"/>
    <w:qFormat/>
    <w:uiPriority w:val="99"/>
    <w:rPr>
      <w:rFonts w:ascii="Times New Roman" w:hAnsi="Times New Roman" w:eastAsia="仿宋" w:cs="Times New Roman"/>
      <w:sz w:val="18"/>
      <w:szCs w:val="18"/>
    </w:rPr>
  </w:style>
  <w:style w:type="character" w:customStyle="1" w:styleId="24">
    <w:name w:val="页眉 字符"/>
    <w:basedOn w:val="17"/>
    <w:qFormat/>
    <w:uiPriority w:val="99"/>
    <w:rPr>
      <w:rFonts w:ascii="Times New Roman" w:hAnsi="Times New Roman" w:eastAsia="仿宋" w:cs="Times New Roman"/>
      <w:sz w:val="18"/>
      <w:szCs w:val="18"/>
    </w:rPr>
  </w:style>
  <w:style w:type="character" w:customStyle="1" w:styleId="25">
    <w:name w:val="页眉 字符1"/>
    <w:link w:val="11"/>
    <w:qFormat/>
    <w:uiPriority w:val="99"/>
    <w:rPr>
      <w:rFonts w:ascii="Times New Roman" w:hAnsi="Times New Roman" w:eastAsia="仿宋" w:cs="Times New Roman"/>
      <w:sz w:val="18"/>
      <w:szCs w:val="18"/>
    </w:rPr>
  </w:style>
  <w:style w:type="character" w:customStyle="1" w:styleId="26">
    <w:name w:val="批注文字 字符"/>
    <w:basedOn w:val="17"/>
    <w:link w:val="6"/>
    <w:qFormat/>
    <w:uiPriority w:val="99"/>
    <w:rPr>
      <w:rFonts w:eastAsia="仿宋"/>
      <w:kern w:val="2"/>
      <w:sz w:val="28"/>
      <w:szCs w:val="22"/>
    </w:rPr>
  </w:style>
  <w:style w:type="character" w:customStyle="1" w:styleId="27">
    <w:name w:val="批注主题 字符"/>
    <w:basedOn w:val="26"/>
    <w:link w:val="14"/>
    <w:qFormat/>
    <w:uiPriority w:val="99"/>
    <w:rPr>
      <w:rFonts w:eastAsia="仿宋"/>
      <w:b/>
      <w:bCs/>
      <w:kern w:val="2"/>
      <w:sz w:val="28"/>
      <w:szCs w:val="22"/>
    </w:rPr>
  </w:style>
  <w:style w:type="character" w:customStyle="1" w:styleId="28">
    <w:name w:val="批注框文本 字符"/>
    <w:basedOn w:val="17"/>
    <w:link w:val="9"/>
    <w:qFormat/>
    <w:uiPriority w:val="99"/>
    <w:rPr>
      <w:rFonts w:eastAsia="仿宋"/>
      <w:kern w:val="2"/>
      <w:sz w:val="18"/>
      <w:szCs w:val="18"/>
    </w:rPr>
  </w:style>
  <w:style w:type="paragraph" w:customStyle="1" w:styleId="29">
    <w:name w:val="TOC Heading_f3f638d1-125f-4aa6-9b57-25ad0e441511"/>
    <w:basedOn w:val="3"/>
    <w:next w:val="1"/>
    <w:qFormat/>
    <w:uiPriority w:val="39"/>
    <w:pPr>
      <w:spacing w:before="240" w:line="259" w:lineRule="auto"/>
      <w:outlineLvl w:val="9"/>
    </w:pPr>
    <w:rPr>
      <w:rFonts w:ascii="等线 Light" w:hAnsi="等线 Light" w:eastAsia="等线 Light" w:cs="宋体"/>
      <w:bCs w:val="0"/>
      <w:color w:val="2E75B6"/>
      <w:kern w:val="0"/>
      <w:szCs w:val="32"/>
    </w:rPr>
  </w:style>
  <w:style w:type="paragraph" w:customStyle="1" w:styleId="30">
    <w:name w:val="Revision_f1b906b8-9691-40b7-ac99-24d9735fef7b"/>
    <w:qFormat/>
    <w:uiPriority w:val="99"/>
    <w:rPr>
      <w:rFonts w:ascii="Times New Roman" w:hAnsi="Times New Roman" w:eastAsia="仿宋" w:cs="Times New Roman"/>
      <w:kern w:val="2"/>
      <w:sz w:val="28"/>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4.jpeg"/><Relationship Id="rId21" Type="http://schemas.openxmlformats.org/officeDocument/2006/relationships/image" Target="media/image3.jpeg"/><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896068F-FC9C-4F4E-8781-CAE27FE03EA3}">
  <ds:schemaRefs/>
</ds:datastoreItem>
</file>

<file path=docProps/app.xml><?xml version="1.0" encoding="utf-8"?>
<Properties xmlns="http://schemas.openxmlformats.org/officeDocument/2006/extended-properties" xmlns:vt="http://schemas.openxmlformats.org/officeDocument/2006/docPropsVTypes">
  <Template>Normal</Template>
  <Pages>15</Pages>
  <Words>4128</Words>
  <Characters>4475</Characters>
  <Lines>40</Lines>
  <Paragraphs>11</Paragraphs>
  <TotalTime>85</TotalTime>
  <ScaleCrop>false</ScaleCrop>
  <LinksUpToDate>false</LinksUpToDate>
  <CharactersWithSpaces>4501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2022-09-29T17:58:00Z</dcterms:created>
  <dc:creator>Administrator</dc:creator>
  <cp:lastModifiedBy>XJY</cp:lastModifiedBy>
  <cp:lastPrinted>2022-09-30T02:46:00Z</cp:lastPrinted>
  <dcterms:modified xsi:type="dcterms:W3CDTF">2023-05-22T01:33:03Z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1710CECC721749FBAE85023F685BAD5B</vt:lpwstr>
  </property>
</Properties>
</file>