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lang w:eastAsia="zh-Hans"/>
        </w:rPr>
      </w:pPr>
      <w:r>
        <w:rPr>
          <w:highlight w:val="none"/>
        </w:rPr>
        <w:br w:type="textWrapping"/>
      </w:r>
    </w:p>
    <w:p>
      <w:pPr>
        <w:rPr>
          <w:highlight w:val="none"/>
        </w:rPr>
      </w:pPr>
    </w:p>
    <w:p>
      <w:pPr>
        <w:rPr>
          <w:highlight w:val="none"/>
        </w:rPr>
      </w:pP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rFonts w:hint="eastAsia"/>
          <w:b/>
          <w:sz w:val="48"/>
          <w:highlight w:val="none"/>
        </w:rPr>
        <w:t>东莞市万江街道政府采购</w:t>
      </w:r>
    </w:p>
    <w:p>
      <w:pPr>
        <w:jc w:val="center"/>
        <w:rPr>
          <w:highlight w:val="none"/>
        </w:rPr>
      </w:pPr>
      <w:r>
        <w:rPr>
          <w:b/>
          <w:sz w:val="48"/>
          <w:highlight w:val="none"/>
        </w:rPr>
        <w:t>公开招标文件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both"/>
        <w:rPr>
          <w:rFonts w:hint="eastAsia" w:eastAsiaTheme="minorEastAsia"/>
          <w:b/>
          <w:sz w:val="24"/>
          <w:highlight w:val="none"/>
          <w:lang w:val="en-US" w:eastAsia="zh-CN"/>
        </w:rPr>
      </w:pPr>
      <w:r>
        <w:rPr>
          <w:b/>
          <w:sz w:val="24"/>
          <w:highlight w:val="none"/>
        </w:rPr>
        <w:t>采购项目编号：</w:t>
      </w:r>
      <w:r>
        <w:rPr>
          <w:rFonts w:hint="eastAsia"/>
          <w:b/>
          <w:sz w:val="24"/>
          <w:highlight w:val="none"/>
          <w:lang w:val="en-US" w:eastAsia="zh-CN"/>
        </w:rPr>
        <w:t>WJGP2023004</w:t>
      </w:r>
    </w:p>
    <w:p>
      <w:pPr>
        <w:jc w:val="left"/>
        <w:rPr>
          <w:rFonts w:hint="eastAsia"/>
          <w:b/>
          <w:sz w:val="24"/>
          <w:highlight w:val="none"/>
          <w:lang w:eastAsia="zh-CN"/>
        </w:rPr>
      </w:pPr>
      <w:r>
        <w:rPr>
          <w:b/>
          <w:sz w:val="24"/>
          <w:highlight w:val="none"/>
        </w:rPr>
        <w:t>项目名称：</w:t>
      </w:r>
      <w:r>
        <w:rPr>
          <w:rFonts w:hint="eastAsia"/>
          <w:b/>
          <w:sz w:val="24"/>
          <w:highlight w:val="none"/>
          <w:lang w:val="en-US" w:eastAsia="zh-CN"/>
        </w:rPr>
        <w:t>2023年</w:t>
      </w:r>
      <w:r>
        <w:rPr>
          <w:rFonts w:hint="eastAsia"/>
          <w:b/>
          <w:sz w:val="24"/>
          <w:highlight w:val="none"/>
          <w:lang w:eastAsia="zh-CN"/>
        </w:rPr>
        <w:t>万江街道办事处网络安全设备采购项目</w:t>
      </w:r>
    </w:p>
    <w:p>
      <w:pPr>
        <w:jc w:val="left"/>
        <w:rPr>
          <w:rFonts w:hint="eastAsia"/>
          <w:b/>
          <w:sz w:val="24"/>
          <w:highlight w:val="none"/>
          <w:lang w:eastAsia="zh-CN"/>
        </w:rPr>
      </w:pPr>
      <w:r>
        <w:rPr>
          <w:b/>
          <w:sz w:val="24"/>
          <w:highlight w:val="none"/>
        </w:rPr>
        <w:t>采购人：</w:t>
      </w:r>
      <w:r>
        <w:rPr>
          <w:rFonts w:hint="eastAsia"/>
          <w:b/>
          <w:sz w:val="24"/>
          <w:highlight w:val="none"/>
        </w:rPr>
        <w:t>东莞市</w:t>
      </w:r>
      <w:r>
        <w:rPr>
          <w:rFonts w:hint="eastAsia"/>
          <w:b/>
          <w:sz w:val="24"/>
          <w:highlight w:val="none"/>
          <w:lang w:eastAsia="zh-CN"/>
        </w:rPr>
        <w:t>万江街道办事处</w:t>
      </w:r>
    </w:p>
    <w:p>
      <w:pPr>
        <w:jc w:val="left"/>
        <w:rPr>
          <w:highlight w:val="none"/>
        </w:rPr>
      </w:pPr>
      <w:r>
        <w:rPr>
          <w:b/>
          <w:sz w:val="24"/>
          <w:highlight w:val="none"/>
        </w:rPr>
        <w:t>采购代理机构：东莞市万江招投标服务所</w:t>
      </w:r>
    </w:p>
    <w:p>
      <w:pPr>
        <w:ind w:firstLine="480"/>
        <w:rPr>
          <w:highlight w:val="none"/>
        </w:rPr>
      </w:pPr>
    </w:p>
    <w:p>
      <w:pPr>
        <w:rPr>
          <w:highlight w:val="none"/>
        </w:rPr>
      </w:pPr>
      <w:r>
        <w:rPr>
          <w:highlight w:val="none"/>
        </w:rPr>
        <w:t xml:space="preserve"> </w:t>
      </w:r>
    </w:p>
    <w:p>
      <w:pPr>
        <w:rPr>
          <w:highlight w:val="none"/>
        </w:rPr>
      </w:pPr>
    </w:p>
    <w:p>
      <w:pPr>
        <w:jc w:val="center"/>
        <w:rPr>
          <w:b/>
          <w:sz w:val="36"/>
          <w:highlight w:val="none"/>
        </w:rPr>
      </w:pPr>
    </w:p>
    <w:p>
      <w:pPr>
        <w:jc w:val="center"/>
        <w:rPr>
          <w:highlight w:val="none"/>
        </w:rPr>
      </w:pPr>
      <w:r>
        <w:rPr>
          <w:b/>
          <w:sz w:val="36"/>
          <w:highlight w:val="none"/>
        </w:rPr>
        <w:t>第一章投标邀请</w:t>
      </w:r>
    </w:p>
    <w:p>
      <w:pPr>
        <w:ind w:firstLine="480"/>
        <w:rPr>
          <w:highlight w:val="none"/>
        </w:rPr>
      </w:pPr>
      <w:r>
        <w:rPr>
          <w:highlight w:val="none"/>
        </w:rPr>
        <w:t>东莞市万江招投标服务所受</w:t>
      </w:r>
      <w:r>
        <w:rPr>
          <w:rFonts w:hint="eastAsia"/>
          <w:highlight w:val="none"/>
          <w:u w:val="single"/>
          <w:lang w:eastAsia="zh-CN"/>
        </w:rPr>
        <w:t>东莞市万江街道办事处</w:t>
      </w:r>
      <w:r>
        <w:rPr>
          <w:highlight w:val="none"/>
        </w:rPr>
        <w:t>的委托，采用公开招标方式组织采购</w:t>
      </w:r>
      <w:r>
        <w:rPr>
          <w:rFonts w:hint="eastAsia"/>
          <w:highlight w:val="none"/>
          <w:u w:val="single"/>
        </w:rPr>
        <w:t>2023年万江街道办事处网络安全设备采购项目</w:t>
      </w:r>
      <w:r>
        <w:rPr>
          <w:highlight w:val="none"/>
        </w:rPr>
        <w:t>。欢迎符合资格条件的国内供应商参加投标。</w:t>
      </w:r>
    </w:p>
    <w:p>
      <w:pPr>
        <w:rPr>
          <w:highlight w:val="none"/>
        </w:rPr>
      </w:pPr>
      <w:r>
        <w:rPr>
          <w:b/>
          <w:sz w:val="28"/>
          <w:highlight w:val="none"/>
        </w:rPr>
        <w:t>一.项目概述</w:t>
      </w:r>
    </w:p>
    <w:p>
      <w:pPr>
        <w:rPr>
          <w:highlight w:val="none"/>
        </w:rPr>
      </w:pPr>
      <w:r>
        <w:rPr>
          <w:b/>
          <w:sz w:val="24"/>
          <w:highlight w:val="none"/>
        </w:rPr>
        <w:t>1.名称与编号</w:t>
      </w:r>
    </w:p>
    <w:p>
      <w:pPr>
        <w:ind w:firstLine="480"/>
        <w:rPr>
          <w:rFonts w:hint="eastAsia"/>
          <w:highlight w:val="none"/>
        </w:rPr>
      </w:pPr>
      <w:r>
        <w:rPr>
          <w:highlight w:val="none"/>
        </w:rPr>
        <w:t>项目名称：</w:t>
      </w:r>
      <w:r>
        <w:rPr>
          <w:rFonts w:hint="eastAsia"/>
          <w:highlight w:val="none"/>
        </w:rPr>
        <w:t>2023年万江街道办事处网络安全设备采购项目</w:t>
      </w:r>
    </w:p>
    <w:p>
      <w:pPr>
        <w:ind w:firstLine="480"/>
        <w:rPr>
          <w:rFonts w:hint="eastAsia" w:eastAsiaTheme="minorEastAsia"/>
          <w:highlight w:val="none"/>
          <w:lang w:eastAsia="zh-CN"/>
        </w:rPr>
      </w:pPr>
      <w:r>
        <w:rPr>
          <w:highlight w:val="none"/>
        </w:rPr>
        <w:t>采购项目编号：</w:t>
      </w:r>
      <w:r>
        <w:rPr>
          <w:rFonts w:hint="eastAsia"/>
          <w:highlight w:val="none"/>
        </w:rPr>
        <w:t>WJGP202300</w:t>
      </w:r>
      <w:r>
        <w:rPr>
          <w:rFonts w:hint="eastAsia"/>
          <w:highlight w:val="none"/>
          <w:lang w:val="en-US" w:eastAsia="zh-CN"/>
        </w:rPr>
        <w:t>4</w:t>
      </w:r>
    </w:p>
    <w:p>
      <w:pPr>
        <w:ind w:firstLine="480"/>
        <w:rPr>
          <w:highlight w:val="none"/>
        </w:rPr>
      </w:pPr>
      <w:r>
        <w:rPr>
          <w:highlight w:val="none"/>
        </w:rPr>
        <w:t>采购方式：公开招标</w:t>
      </w:r>
    </w:p>
    <w:p>
      <w:pPr>
        <w:ind w:firstLine="480"/>
        <w:rPr>
          <w:highlight w:val="none"/>
        </w:rPr>
      </w:pPr>
      <w:r>
        <w:rPr>
          <w:highlight w:val="none"/>
        </w:rPr>
        <w:t>预算金额：</w:t>
      </w:r>
      <w:r>
        <w:rPr>
          <w:rFonts w:hint="eastAsia"/>
          <w:highlight w:val="none"/>
        </w:rPr>
        <w:t>902262.5</w:t>
      </w:r>
      <w:r>
        <w:rPr>
          <w:rFonts w:hint="eastAsia"/>
          <w:highlight w:val="none"/>
          <w:lang w:val="en-US" w:eastAsia="zh-CN"/>
        </w:rPr>
        <w:t>0</w:t>
      </w:r>
      <w:r>
        <w:rPr>
          <w:rFonts w:hint="eastAsia"/>
          <w:highlight w:val="none"/>
        </w:rPr>
        <w:t>元</w:t>
      </w:r>
    </w:p>
    <w:p>
      <w:pPr>
        <w:rPr>
          <w:highlight w:val="none"/>
        </w:rPr>
      </w:pPr>
      <w:r>
        <w:rPr>
          <w:b/>
          <w:sz w:val="24"/>
          <w:highlight w:val="none"/>
        </w:rPr>
        <w:t>2.项目内容及需求情况（采购项目技术规格、参数及要求）</w:t>
      </w:r>
    </w:p>
    <w:p>
      <w:pPr>
        <w:ind w:firstLine="480"/>
        <w:rPr>
          <w:highlight w:val="none"/>
        </w:rPr>
      </w:pPr>
      <w:r>
        <w:rPr>
          <w:highlight w:val="none"/>
        </w:rPr>
        <w:t>采购包1(</w:t>
      </w:r>
      <w:r>
        <w:rPr>
          <w:rFonts w:hint="eastAsia"/>
          <w:highlight w:val="none"/>
          <w:lang w:eastAsia="zh-CN"/>
        </w:rPr>
        <w:t>2023年万江街道办事处网络安全设备采购项目</w:t>
      </w:r>
      <w:r>
        <w:rPr>
          <w:highlight w:val="none"/>
        </w:rPr>
        <w:t>):</w:t>
      </w:r>
    </w:p>
    <w:p>
      <w:pPr>
        <w:rPr>
          <w:highlight w:val="none"/>
        </w:rPr>
      </w:pPr>
      <w:r>
        <w:rPr>
          <w:highlight w:val="none"/>
        </w:rPr>
        <w:t>采购包预算金额：</w:t>
      </w:r>
      <w:r>
        <w:rPr>
          <w:rFonts w:hint="eastAsia"/>
          <w:highlight w:val="none"/>
          <w:lang w:eastAsia="zh-CN"/>
        </w:rPr>
        <w:t>902262.50</w:t>
      </w:r>
      <w:r>
        <w:rPr>
          <w:highlight w:val="none"/>
        </w:rPr>
        <w:t>元</w:t>
      </w:r>
    </w:p>
    <w:tbl>
      <w:tblPr>
        <w:tblStyle w:val="15"/>
        <w:tblW w:w="53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294"/>
        <w:gridCol w:w="1294"/>
        <w:gridCol w:w="1294"/>
        <w:gridCol w:w="1294"/>
        <w:gridCol w:w="1481"/>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highlight w:val="none"/>
                <w:lang w:eastAsia="zh-CN"/>
              </w:rPr>
              <w:t>采</w:t>
            </w:r>
            <w:r>
              <w:rPr>
                <w:rFonts w:hint="eastAsia" w:ascii="仿宋_GB2312" w:hAnsi="仿宋_GB2312" w:eastAsia="仿宋_GB2312" w:cs="仿宋_GB2312"/>
                <w:highlight w:val="none"/>
              </w:rPr>
              <w:t>购标的</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b/>
                <w:bCs/>
                <w:color w:val="000000"/>
                <w:sz w:val="24"/>
                <w:highlight w:val="none"/>
                <w:vertAlign w:val="baseline"/>
                <w:lang w:eastAsia="zh-CN"/>
              </w:rPr>
              <w:t>部件</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b/>
                <w:bCs/>
                <w:color w:val="000000"/>
                <w:sz w:val="24"/>
                <w:highlight w:val="none"/>
                <w:vertAlign w:val="baseline"/>
                <w:lang w:eastAsia="zh-CN"/>
              </w:rPr>
              <w:t>单位</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b/>
                <w:bCs/>
                <w:color w:val="000000"/>
                <w:sz w:val="24"/>
                <w:highlight w:val="none"/>
                <w:vertAlign w:val="baseline"/>
                <w:lang w:eastAsia="zh-CN"/>
              </w:rPr>
              <w:t>数量</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b/>
                <w:bCs/>
                <w:color w:val="000000"/>
                <w:sz w:val="24"/>
                <w:highlight w:val="none"/>
                <w:vertAlign w:val="baseline"/>
                <w:lang w:eastAsia="zh-CN"/>
              </w:rPr>
              <w:t>技术规格、参数及要求</w:t>
            </w: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b/>
                <w:bCs/>
                <w:color w:val="000000"/>
                <w:sz w:val="24"/>
                <w:highlight w:val="none"/>
                <w:vertAlign w:val="baseline"/>
                <w:lang w:eastAsia="zh-CN"/>
              </w:rPr>
            </w:pPr>
            <w:r>
              <w:rPr>
                <w:rFonts w:hint="eastAsia" w:ascii="仿宋_GB2312" w:hAnsi="仿宋_GB2312" w:eastAsia="仿宋_GB2312" w:cs="仿宋_GB2312"/>
                <w:highlight w:val="none"/>
              </w:rPr>
              <w:t>品目预算(元)</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大数据智能安全平台</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平台软件</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restar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详见第二章</w:t>
            </w: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272650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平台硬件</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台</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125400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流量监测探针</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180500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威胁情报订阅模块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年</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76000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终端安全管理系统</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终端安全管理中心</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8075</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PC防护模块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个</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1000</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190000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服务器防护模块</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个</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5</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5937.5</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数据集中备份系统</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系统硬件</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台</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Merge w:val="restart"/>
            <w:vAlign w:val="center"/>
          </w:tcPr>
          <w:p>
            <w:pPr>
              <w:tabs>
                <w:tab w:val="left" w:pos="575"/>
              </w:tabs>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r>
              <w:rPr>
                <w:rFonts w:hint="eastAsia" w:ascii="仿宋_GB2312" w:hAnsi="仿宋_GB2312" w:eastAsia="仿宋_GB2312" w:cs="仿宋_GB2312"/>
                <w:color w:val="auto"/>
                <w:sz w:val="20"/>
                <w:szCs w:val="20"/>
                <w:highlight w:val="none"/>
                <w:shd w:val="clear" w:color="auto" w:fill="auto"/>
                <w:vertAlign w:val="baseline"/>
                <w:lang w:val="en-US" w:eastAsia="zh-CN"/>
              </w:rPr>
              <w:t>43700</w:t>
            </w: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eastAsia="zh-CN"/>
              </w:rPr>
            </w:pP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软件系统</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个</w:t>
            </w:r>
          </w:p>
        </w:tc>
        <w:tc>
          <w:tcPr>
            <w:tcW w:w="714"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714"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p>
        </w:tc>
        <w:tc>
          <w:tcPr>
            <w:tcW w:w="817" w:type="pct"/>
            <w:vMerge w:val="continue"/>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shd w:val="clear" w:color="auto" w:fill="auto"/>
                <w:vertAlign w:val="baseline"/>
                <w:lang w:val="en-US" w:eastAsia="zh-CN"/>
              </w:rPr>
            </w:pPr>
          </w:p>
        </w:tc>
        <w:tc>
          <w:tcPr>
            <w:tcW w:w="611" w:type="pct"/>
            <w:vAlign w:val="center"/>
          </w:tcPr>
          <w:p>
            <w:pPr>
              <w:autoSpaceDE w:val="0"/>
              <w:autoSpaceDN w:val="0"/>
              <w:adjustRightInd w:val="0"/>
              <w:spacing w:line="420" w:lineRule="exact"/>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否</w:t>
            </w:r>
          </w:p>
        </w:tc>
      </w:tr>
    </w:tbl>
    <w:p>
      <w:pPr>
        <w:rPr>
          <w:highlight w:val="none"/>
        </w:rPr>
      </w:pPr>
    </w:p>
    <w:p>
      <w:pPr>
        <w:jc w:val="left"/>
        <w:rPr>
          <w:highlight w:val="none"/>
        </w:rPr>
      </w:pPr>
      <w:r>
        <w:rPr>
          <w:highlight w:val="none"/>
        </w:rPr>
        <w:t>本采购包不接受联合体投标</w:t>
      </w:r>
    </w:p>
    <w:p>
      <w:pPr>
        <w:jc w:val="left"/>
        <w:rPr>
          <w:rFonts w:hint="eastAsia" w:eastAsiaTheme="minorEastAsia"/>
          <w:highlight w:val="none"/>
          <w:lang w:eastAsia="zh-CN"/>
        </w:rPr>
      </w:pPr>
      <w:r>
        <w:rPr>
          <w:highlight w:val="none"/>
        </w:rPr>
        <w:t>合同履行期限：</w:t>
      </w:r>
      <w:r>
        <w:rPr>
          <w:rFonts w:hint="eastAsia"/>
          <w:highlight w:val="none"/>
        </w:rPr>
        <w:t>质保期：项目验收合格之日起3年</w:t>
      </w:r>
      <w:r>
        <w:rPr>
          <w:rFonts w:hint="eastAsia"/>
          <w:highlight w:val="none"/>
          <w:lang w:eastAsia="zh-CN"/>
        </w:rPr>
        <w:t>。</w:t>
      </w:r>
    </w:p>
    <w:p>
      <w:pPr>
        <w:rPr>
          <w:highlight w:val="none"/>
        </w:rPr>
      </w:pPr>
    </w:p>
    <w:p>
      <w:pPr>
        <w:rPr>
          <w:highlight w:val="none"/>
        </w:rPr>
      </w:pPr>
      <w:r>
        <w:rPr>
          <w:b/>
          <w:sz w:val="28"/>
          <w:highlight w:val="none"/>
        </w:rPr>
        <w:t>二.投标人的资格要求</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2）有依法缴纳税收和社会保障资金的良好记录：提供投标截止日前6个月内任意1个月依法缴纳税收和社会保障资金的相关材料。如依法免税或不需要缴纳社会保障资金的， 提供相应证明材料。</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3）具有良好的商业信誉和健全的财务会计制度：供应商必须具有良好的商业信誉和健全的财务会计制度（提供2021年度财务状况报告或基本开户行出具的资信证明或专业担保机构出具的投标担保函） 。</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4）履行合同所必需的设备和专业技术能力：按投标（响应）文件格式填报设备及专业技术能力情况，否则视为不符合。</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rPr>
          <w:highlight w:val="none"/>
        </w:rPr>
      </w:pPr>
    </w:p>
    <w:p>
      <w:pPr>
        <w:rPr>
          <w:highlight w:val="none"/>
        </w:rPr>
      </w:pPr>
      <w:r>
        <w:rPr>
          <w:b/>
          <w:sz w:val="24"/>
          <w:highlight w:val="none"/>
        </w:rPr>
        <w:t>2.落实政府采购政策需满足的资格要求：</w:t>
      </w:r>
    </w:p>
    <w:p>
      <w:pPr>
        <w:jc w:val="left"/>
        <w:rPr>
          <w:highlight w:val="none"/>
        </w:rPr>
      </w:pPr>
    </w:p>
    <w:p>
      <w:pP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采购包1（2023年万江街道办事处网络安全设备采购项目）：（</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本项目不专门面向中小企业采购。（2）需落实《政府采购促进中小企业发展管理办法》（财库〔2020〕46号）、《关于政府采购支持监狱企业发展有关问题的通知》(财库〔2014〕68号)、《关于促进残疾人就业政府采购政策的通知》（财库〔2017〕141号)、《广东省财政厅广东省工业和信息化厅关于进一步加强政府采购促进中小企业发展的通知》（粤财采购〔2022〕6号）。</w:t>
      </w:r>
    </w:p>
    <w:p>
      <w:pPr>
        <w:rPr>
          <w:highlight w:val="none"/>
        </w:rPr>
      </w:pPr>
      <w:r>
        <w:rPr>
          <w:b/>
          <w:sz w:val="24"/>
          <w:highlight w:val="none"/>
        </w:rPr>
        <w:t>3.本项目特定的资格要求：</w:t>
      </w:r>
    </w:p>
    <w:p>
      <w:pPr>
        <w:rPr>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2023年万江街道办事处网络安全设备采购项目</w:t>
      </w:r>
      <w:r>
        <w:rPr>
          <w:rFonts w:hint="eastAsia" w:ascii="仿宋_GB2312" w:hAnsi="仿宋_GB2312" w:eastAsia="仿宋_GB2312" w:cs="仿宋_GB2312"/>
          <w:highlight w:val="none"/>
        </w:rPr>
        <w:t>）：</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2)单位负责人为同一人或者存在直接控股、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p>
    <w:p>
      <w:pPr>
        <w:rPr>
          <w:highlight w:val="none"/>
        </w:rPr>
      </w:pPr>
      <w:r>
        <w:rPr>
          <w:b/>
          <w:sz w:val="28"/>
          <w:highlight w:val="none"/>
        </w:rPr>
        <w:t>三.获取招标文件</w:t>
      </w:r>
    </w:p>
    <w:p>
      <w:pPr>
        <w:autoSpaceDE w:val="0"/>
        <w:autoSpaceDN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1、招标文件公告期限：</w:t>
      </w:r>
      <w:r>
        <w:rPr>
          <w:rFonts w:hint="eastAsia" w:ascii="仿宋" w:hAnsi="仿宋" w:eastAsia="仿宋" w:cs="仿宋"/>
          <w:sz w:val="28"/>
          <w:szCs w:val="28"/>
          <w:highlight w:val="non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日起至202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日止</w:t>
      </w:r>
    </w:p>
    <w:p>
      <w:pPr>
        <w:autoSpaceDE w:val="0"/>
        <w:autoSpaceDN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2、招标文件获取网址：中国东莞万江街道栏目。</w:t>
      </w:r>
    </w:p>
    <w:p>
      <w:pPr>
        <w:autoSpaceDE w:val="0"/>
        <w:autoSpaceDN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3、获取招标文件方式：在线获取招标文件以及相关附件，文件均不收费。</w:t>
      </w:r>
    </w:p>
    <w:p>
      <w:pPr>
        <w:autoSpaceDE w:val="0"/>
        <w:autoSpaceDN w:val="0"/>
        <w:spacing w:line="500" w:lineRule="exact"/>
        <w:rPr>
          <w:b/>
          <w:sz w:val="28"/>
          <w:highlight w:val="none"/>
        </w:rPr>
      </w:pPr>
      <w:r>
        <w:rPr>
          <w:rFonts w:hint="eastAsia"/>
          <w:b/>
          <w:sz w:val="28"/>
          <w:highlight w:val="none"/>
        </w:rPr>
        <w:t>四.投标人购买采购文件登记事宜</w:t>
      </w:r>
    </w:p>
    <w:p>
      <w:pPr>
        <w:autoSpaceDE w:val="0"/>
        <w:autoSpaceDN w:val="0"/>
        <w:spacing w:line="500" w:lineRule="exact"/>
        <w:ind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1.购买时间：</w:t>
      </w:r>
      <w:r>
        <w:rPr>
          <w:rFonts w:hint="eastAsia" w:eastAsia="仿宋_GB2312"/>
          <w:sz w:val="28"/>
          <w:szCs w:val="28"/>
          <w:highlight w:val="none"/>
        </w:rPr>
        <w:t>符合资格的投标人应当在</w:t>
      </w:r>
      <w:r>
        <w:rPr>
          <w:rFonts w:hint="eastAsia" w:ascii="仿宋" w:hAnsi="仿宋" w:eastAsia="仿宋" w:cs="仿宋"/>
          <w:sz w:val="28"/>
          <w:szCs w:val="28"/>
          <w:highlight w:val="non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日起至202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bookmarkStart w:id="242" w:name="_GoBack"/>
      <w:bookmarkEnd w:id="242"/>
      <w:r>
        <w:rPr>
          <w:rFonts w:hint="eastAsia" w:ascii="仿宋" w:hAnsi="仿宋" w:eastAsia="仿宋" w:cs="仿宋"/>
          <w:sz w:val="28"/>
          <w:szCs w:val="28"/>
          <w:highlight w:val="none"/>
        </w:rPr>
        <w:t>止</w:t>
      </w:r>
      <w:r>
        <w:rPr>
          <w:rFonts w:hint="eastAsia" w:eastAsia="仿宋_GB2312"/>
          <w:sz w:val="28"/>
          <w:szCs w:val="28"/>
          <w:highlight w:val="none"/>
        </w:rPr>
        <w:t>（法定节假日除外）</w:t>
      </w:r>
    </w:p>
    <w:p>
      <w:pPr>
        <w:autoSpaceDE w:val="0"/>
        <w:autoSpaceDN w:val="0"/>
        <w:spacing w:line="500" w:lineRule="exact"/>
        <w:ind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2、登记地点：东莞市万江街道</w:t>
      </w:r>
      <w:r>
        <w:rPr>
          <w:rFonts w:hint="eastAsia" w:ascii="仿宋" w:hAnsi="仿宋" w:eastAsia="仿宋" w:cs="仿宋"/>
          <w:sz w:val="28"/>
          <w:szCs w:val="28"/>
          <w:highlight w:val="none"/>
          <w:lang w:eastAsia="zh-CN"/>
        </w:rPr>
        <w:t>徐屋街</w:t>
      </w:r>
      <w:r>
        <w:rPr>
          <w:rFonts w:hint="eastAsia" w:ascii="仿宋" w:hAnsi="仿宋" w:eastAsia="仿宋" w:cs="仿宋"/>
          <w:sz w:val="28"/>
          <w:szCs w:val="28"/>
          <w:highlight w:val="none"/>
          <w:lang w:val="en-US" w:eastAsia="zh-CN"/>
        </w:rPr>
        <w:t>10号</w:t>
      </w:r>
      <w:r>
        <w:rPr>
          <w:rFonts w:hint="eastAsia" w:ascii="仿宋" w:hAnsi="仿宋" w:eastAsia="仿宋" w:cs="仿宋"/>
          <w:sz w:val="28"/>
          <w:szCs w:val="28"/>
          <w:highlight w:val="none"/>
        </w:rPr>
        <w:t>行政办事中心3号楼2楼办公室</w:t>
      </w:r>
    </w:p>
    <w:p>
      <w:pPr>
        <w:autoSpaceDE w:val="0"/>
        <w:autoSpaceDN w:val="0"/>
        <w:spacing w:line="500" w:lineRule="exact"/>
        <w:ind w:firstLine="420" w:firstLineChars="150"/>
        <w:rPr>
          <w:rFonts w:eastAsia="仿宋_GB2312"/>
          <w:sz w:val="28"/>
          <w:szCs w:val="28"/>
          <w:highlight w:val="none"/>
        </w:rPr>
      </w:pPr>
      <w:r>
        <w:rPr>
          <w:rFonts w:hint="eastAsia" w:ascii="仿宋" w:hAnsi="仿宋" w:eastAsia="仿宋" w:cs="仿宋"/>
          <w:sz w:val="28"/>
          <w:szCs w:val="28"/>
          <w:highlight w:val="none"/>
        </w:rPr>
        <w:t>3、</w:t>
      </w:r>
      <w:r>
        <w:rPr>
          <w:rFonts w:hint="eastAsia" w:eastAsia="仿宋_GB2312"/>
          <w:sz w:val="28"/>
          <w:szCs w:val="28"/>
          <w:highlight w:val="none"/>
        </w:rPr>
        <w:t>购买采购文件登记</w:t>
      </w:r>
      <w:r>
        <w:rPr>
          <w:rFonts w:eastAsia="仿宋_GB2312"/>
          <w:sz w:val="28"/>
          <w:szCs w:val="28"/>
          <w:highlight w:val="none"/>
        </w:rPr>
        <w:t>时须提供“</w:t>
      </w:r>
      <w:r>
        <w:rPr>
          <w:rFonts w:eastAsia="仿宋_GB2312"/>
          <w:b/>
          <w:bCs/>
          <w:sz w:val="28"/>
          <w:szCs w:val="28"/>
          <w:highlight w:val="none"/>
        </w:rPr>
        <w:t>万江招投标服务所登记表</w:t>
      </w:r>
      <w:r>
        <w:rPr>
          <w:rFonts w:eastAsia="仿宋_GB2312"/>
          <w:sz w:val="28"/>
          <w:szCs w:val="28"/>
          <w:highlight w:val="none"/>
        </w:rPr>
        <w:t>”和《营业执照》或《事业单位法人证书》复印件（加盖公章）。</w:t>
      </w:r>
    </w:p>
    <w:p>
      <w:pPr>
        <w:autoSpaceDE w:val="0"/>
        <w:autoSpaceDN w:val="0"/>
        <w:spacing w:line="500" w:lineRule="exact"/>
        <w:rPr>
          <w:highlight w:val="none"/>
        </w:rPr>
      </w:pPr>
      <w:r>
        <w:rPr>
          <w:rFonts w:eastAsia="仿宋_GB2312"/>
          <w:b/>
          <w:bCs/>
          <w:sz w:val="28"/>
          <w:szCs w:val="28"/>
          <w:highlight w:val="none"/>
        </w:rPr>
        <w:t>注： 如“三证合一”的营业执照，则不需要提供税务登记证和组织机构代码证。</w:t>
      </w:r>
    </w:p>
    <w:p>
      <w:pPr>
        <w:autoSpaceDE w:val="0"/>
        <w:autoSpaceDN w:val="0"/>
        <w:spacing w:line="500" w:lineRule="exact"/>
        <w:rPr>
          <w:b/>
          <w:sz w:val="28"/>
          <w:highlight w:val="none"/>
        </w:rPr>
      </w:pPr>
      <w:r>
        <w:rPr>
          <w:rFonts w:hint="eastAsia"/>
          <w:b/>
          <w:sz w:val="28"/>
          <w:highlight w:val="none"/>
        </w:rPr>
        <w:t>五.</w:t>
      </w:r>
      <w:r>
        <w:rPr>
          <w:b/>
          <w:sz w:val="28"/>
          <w:highlight w:val="none"/>
        </w:rPr>
        <w:t xml:space="preserve"> 提交投标文件截止时间、开标时间和地点</w:t>
      </w:r>
    </w:p>
    <w:p>
      <w:pPr>
        <w:autoSpaceDE w:val="0"/>
        <w:autoSpaceDN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1、递交投标文件开始时间：20</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日上午9:00</w:t>
      </w:r>
    </w:p>
    <w:p>
      <w:pPr>
        <w:spacing w:line="500" w:lineRule="exact"/>
        <w:ind w:firstLine="588" w:firstLineChars="210"/>
        <w:rPr>
          <w:rFonts w:ascii="仿宋" w:hAnsi="仿宋" w:eastAsia="仿宋" w:cs="仿宋"/>
          <w:sz w:val="28"/>
          <w:szCs w:val="28"/>
          <w:highlight w:val="none"/>
        </w:rPr>
      </w:pPr>
      <w:r>
        <w:rPr>
          <w:rFonts w:hint="eastAsia" w:ascii="仿宋" w:hAnsi="仿宋" w:eastAsia="仿宋" w:cs="仿宋"/>
          <w:sz w:val="28"/>
          <w:szCs w:val="28"/>
          <w:highlight w:val="none"/>
        </w:rPr>
        <w:t>递交投标文件截止及开标时间：20</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日上午9:30时</w:t>
      </w:r>
    </w:p>
    <w:p>
      <w:pPr>
        <w:spacing w:line="500" w:lineRule="exact"/>
        <w:ind w:firstLine="590" w:firstLineChars="210"/>
        <w:rPr>
          <w:rFonts w:ascii="仿宋" w:hAnsi="仿宋" w:eastAsia="仿宋" w:cs="仿宋"/>
          <w:b/>
          <w:sz w:val="28"/>
          <w:szCs w:val="28"/>
          <w:highlight w:val="none"/>
        </w:rPr>
      </w:pPr>
      <w:r>
        <w:rPr>
          <w:rFonts w:hint="eastAsia" w:ascii="仿宋" w:hAnsi="仿宋" w:eastAsia="仿宋" w:cs="仿宋"/>
          <w:b/>
          <w:sz w:val="28"/>
          <w:szCs w:val="28"/>
          <w:highlight w:val="none"/>
        </w:rPr>
        <w:t>(逾期送达或未按招标文件要求密封的投标文件恕不接收。)</w:t>
      </w:r>
    </w:p>
    <w:p>
      <w:pPr>
        <w:spacing w:line="500" w:lineRule="exact"/>
        <w:ind w:firstLine="588" w:firstLineChars="210"/>
        <w:rPr>
          <w:rFonts w:ascii="仿宋" w:hAnsi="仿宋" w:eastAsia="仿宋" w:cs="仿宋"/>
          <w:sz w:val="28"/>
          <w:szCs w:val="28"/>
          <w:highlight w:val="none"/>
        </w:rPr>
      </w:pPr>
      <w:r>
        <w:rPr>
          <w:rFonts w:hint="eastAsia" w:ascii="仿宋" w:hAnsi="仿宋" w:eastAsia="仿宋" w:cs="仿宋"/>
          <w:sz w:val="28"/>
          <w:szCs w:val="28"/>
          <w:highlight w:val="none"/>
        </w:rPr>
        <w:t>2、递交投标文件及开标地点：东莞市万江街道</w:t>
      </w:r>
      <w:r>
        <w:rPr>
          <w:rFonts w:hint="eastAsia" w:ascii="仿宋" w:hAnsi="仿宋" w:eastAsia="仿宋" w:cs="仿宋"/>
          <w:sz w:val="28"/>
          <w:szCs w:val="28"/>
          <w:highlight w:val="none"/>
          <w:lang w:eastAsia="zh-CN"/>
        </w:rPr>
        <w:t>徐屋街</w:t>
      </w:r>
      <w:r>
        <w:rPr>
          <w:rFonts w:hint="eastAsia" w:ascii="仿宋" w:hAnsi="仿宋" w:eastAsia="仿宋" w:cs="仿宋"/>
          <w:sz w:val="28"/>
          <w:szCs w:val="28"/>
          <w:highlight w:val="none"/>
          <w:lang w:val="en-US" w:eastAsia="zh-CN"/>
        </w:rPr>
        <w:t>10号</w:t>
      </w:r>
      <w:r>
        <w:rPr>
          <w:rFonts w:hint="eastAsia" w:ascii="仿宋" w:hAnsi="仿宋" w:eastAsia="仿宋" w:cs="仿宋"/>
          <w:sz w:val="28"/>
          <w:szCs w:val="28"/>
          <w:highlight w:val="none"/>
        </w:rPr>
        <w:t>行政办事中心3号楼1楼会议室。</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bCs/>
          <w:sz w:val="28"/>
          <w:szCs w:val="28"/>
          <w:highlight w:val="none"/>
        </w:rPr>
        <w:t>签到事宜：</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3.1 投标人的法定代表人参加的，需携带有效身份证明签名报到；</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3.2 非法定代表人参加的，需携带有效身份证明，并在签到时向招标所现场工作人员提供法定代表人授权委托书原件。</w:t>
      </w:r>
    </w:p>
    <w:p>
      <w:pPr>
        <w:autoSpaceDE w:val="0"/>
        <w:autoSpaceDN w:val="0"/>
        <w:spacing w:line="500" w:lineRule="exact"/>
        <w:rPr>
          <w:rFonts w:ascii="仿宋" w:hAnsi="仿宋" w:eastAsia="仿宋" w:cs="仿宋"/>
          <w:sz w:val="28"/>
          <w:szCs w:val="28"/>
          <w:highlight w:val="none"/>
        </w:rPr>
      </w:pPr>
      <w:r>
        <w:rPr>
          <w:rFonts w:hint="eastAsia"/>
          <w:b/>
          <w:sz w:val="28"/>
          <w:highlight w:val="none"/>
        </w:rPr>
        <w:t>六</w:t>
      </w:r>
      <w:r>
        <w:rPr>
          <w:b/>
          <w:sz w:val="28"/>
          <w:highlight w:val="none"/>
        </w:rPr>
        <w:t>.</w:t>
      </w:r>
      <w:r>
        <w:rPr>
          <w:rFonts w:hint="eastAsia" w:ascii="仿宋" w:hAnsi="仿宋" w:eastAsia="仿宋" w:cs="仿宋"/>
          <w:sz w:val="28"/>
          <w:szCs w:val="28"/>
          <w:highlight w:val="none"/>
        </w:rPr>
        <w:t xml:space="preserve"> </w:t>
      </w:r>
      <w:r>
        <w:rPr>
          <w:rFonts w:hint="eastAsia"/>
          <w:b/>
          <w:sz w:val="28"/>
          <w:highlight w:val="none"/>
        </w:rPr>
        <w:t>投标保证金事宜</w:t>
      </w:r>
    </w:p>
    <w:p>
      <w:pPr>
        <w:autoSpaceDE w:val="0"/>
        <w:autoSpaceDN w:val="0"/>
        <w:spacing w:line="500" w:lineRule="exact"/>
        <w:ind w:firstLine="562" w:firstLineChars="200"/>
        <w:rPr>
          <w:rFonts w:ascii="仿宋" w:hAnsi="仿宋" w:eastAsia="仿宋" w:cs="仿宋"/>
          <w:highlight w:val="none"/>
        </w:rPr>
      </w:pPr>
      <w:r>
        <w:rPr>
          <w:rFonts w:hint="eastAsia" w:ascii="仿宋" w:hAnsi="仿宋" w:eastAsia="仿宋" w:cs="仿宋"/>
          <w:b/>
          <w:bCs/>
          <w:sz w:val="28"/>
          <w:szCs w:val="28"/>
          <w:highlight w:val="none"/>
        </w:rPr>
        <w:t>本项目不收取投标保证金。</w:t>
      </w:r>
    </w:p>
    <w:p>
      <w:pPr>
        <w:rPr>
          <w:b/>
          <w:sz w:val="28"/>
          <w:highlight w:val="none"/>
        </w:rPr>
      </w:pPr>
      <w:r>
        <w:rPr>
          <w:rFonts w:hint="eastAsia"/>
          <w:b/>
          <w:sz w:val="28"/>
          <w:highlight w:val="none"/>
        </w:rPr>
        <w:t>七</w:t>
      </w:r>
      <w:r>
        <w:rPr>
          <w:b/>
          <w:sz w:val="28"/>
          <w:highlight w:val="none"/>
        </w:rPr>
        <w:t>.本项目联系方式：</w:t>
      </w:r>
    </w:p>
    <w:p>
      <w:pPr>
        <w:rPr>
          <w:highlight w:val="none"/>
        </w:rPr>
      </w:pPr>
      <w:r>
        <w:rPr>
          <w:b/>
          <w:sz w:val="24"/>
          <w:highlight w:val="none"/>
        </w:rPr>
        <w:t>1.采购人信息</w:t>
      </w:r>
    </w:p>
    <w:p>
      <w:pPr>
        <w:spacing w:line="500" w:lineRule="exact"/>
        <w:ind w:firstLine="588" w:firstLineChars="21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东莞市万江街道办事处</w:t>
      </w:r>
    </w:p>
    <w:p>
      <w:pPr>
        <w:spacing w:line="50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地址：东莞市万江街道万福路83号  　</w:t>
      </w:r>
    </w:p>
    <w:p>
      <w:pPr>
        <w:spacing w:line="500" w:lineRule="exact"/>
        <w:ind w:firstLine="588" w:firstLineChars="21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联系方式：（0769）22776681</w:t>
      </w:r>
    </w:p>
    <w:p>
      <w:pPr>
        <w:rPr>
          <w:highlight w:val="none"/>
        </w:rPr>
      </w:pPr>
      <w:r>
        <w:rPr>
          <w:b/>
          <w:sz w:val="24"/>
          <w:highlight w:val="none"/>
        </w:rPr>
        <w:t>2.采购代理机构信息</w:t>
      </w:r>
    </w:p>
    <w:p>
      <w:pPr>
        <w:ind w:firstLine="480"/>
        <w:rPr>
          <w:rFonts w:ascii="仿宋" w:hAnsi="仿宋" w:eastAsia="仿宋" w:cs="仿宋"/>
          <w:sz w:val="28"/>
          <w:szCs w:val="28"/>
          <w:highlight w:val="none"/>
        </w:rPr>
      </w:pPr>
      <w:r>
        <w:rPr>
          <w:rFonts w:ascii="仿宋" w:hAnsi="仿宋" w:eastAsia="仿宋" w:cs="仿宋"/>
          <w:sz w:val="28"/>
          <w:szCs w:val="28"/>
          <w:highlight w:val="none"/>
        </w:rPr>
        <w:t>名称：东莞市万江招投标服务所</w:t>
      </w:r>
    </w:p>
    <w:p>
      <w:pPr>
        <w:ind w:firstLine="480"/>
        <w:rPr>
          <w:rFonts w:ascii="仿宋" w:hAnsi="仿宋" w:eastAsia="仿宋" w:cs="仿宋"/>
          <w:sz w:val="28"/>
          <w:szCs w:val="28"/>
          <w:highlight w:val="none"/>
        </w:rPr>
      </w:pPr>
      <w:r>
        <w:rPr>
          <w:rFonts w:ascii="仿宋" w:hAnsi="仿宋" w:eastAsia="仿宋" w:cs="仿宋"/>
          <w:sz w:val="28"/>
          <w:szCs w:val="28"/>
          <w:highlight w:val="none"/>
        </w:rPr>
        <w:t>地址：东莞市万江街道徐屋街10号行政办事中心3号楼2楼办公室</w:t>
      </w:r>
    </w:p>
    <w:p>
      <w:pPr>
        <w:ind w:firstLine="480"/>
        <w:rPr>
          <w:rFonts w:ascii="仿宋" w:hAnsi="仿宋" w:eastAsia="仿宋" w:cs="仿宋"/>
          <w:sz w:val="28"/>
          <w:szCs w:val="28"/>
          <w:highlight w:val="none"/>
        </w:rPr>
      </w:pPr>
      <w:r>
        <w:rPr>
          <w:rFonts w:ascii="仿宋" w:hAnsi="仿宋" w:eastAsia="仿宋" w:cs="仿宋"/>
          <w:sz w:val="28"/>
          <w:szCs w:val="28"/>
          <w:highlight w:val="none"/>
        </w:rPr>
        <w:t>联系方式：（0769）21661806</w:t>
      </w:r>
    </w:p>
    <w:p>
      <w:pPr>
        <w:rPr>
          <w:highlight w:val="none"/>
        </w:rPr>
      </w:pPr>
      <w:r>
        <w:rPr>
          <w:b/>
          <w:sz w:val="24"/>
          <w:highlight w:val="none"/>
        </w:rPr>
        <w:t>3.项目联系方式</w:t>
      </w:r>
    </w:p>
    <w:p>
      <w:pPr>
        <w:ind w:firstLine="480"/>
        <w:rPr>
          <w:rFonts w:hint="eastAsia" w:ascii="仿宋" w:hAnsi="仿宋" w:eastAsia="仿宋" w:cs="仿宋"/>
          <w:sz w:val="28"/>
          <w:szCs w:val="28"/>
          <w:highlight w:val="none"/>
          <w:lang w:eastAsia="zh-CN"/>
        </w:rPr>
      </w:pPr>
      <w:r>
        <w:rPr>
          <w:rFonts w:ascii="仿宋" w:hAnsi="仿宋" w:eastAsia="仿宋" w:cs="仿宋"/>
          <w:sz w:val="28"/>
          <w:szCs w:val="28"/>
          <w:highlight w:val="none"/>
        </w:rPr>
        <w:t>项目联系人：</w:t>
      </w:r>
      <w:r>
        <w:rPr>
          <w:rFonts w:hint="eastAsia" w:ascii="仿宋" w:hAnsi="仿宋" w:eastAsia="仿宋" w:cs="仿宋"/>
          <w:sz w:val="28"/>
          <w:szCs w:val="28"/>
          <w:highlight w:val="none"/>
          <w:lang w:eastAsia="zh-CN"/>
        </w:rPr>
        <w:t>李小姐</w:t>
      </w:r>
    </w:p>
    <w:p>
      <w:pPr>
        <w:ind w:firstLine="480"/>
        <w:rPr>
          <w:rFonts w:ascii="仿宋" w:hAnsi="仿宋" w:eastAsia="仿宋" w:cs="仿宋"/>
          <w:sz w:val="28"/>
          <w:szCs w:val="28"/>
          <w:highlight w:val="none"/>
        </w:rPr>
      </w:pPr>
      <w:r>
        <w:rPr>
          <w:rFonts w:ascii="仿宋" w:hAnsi="仿宋" w:eastAsia="仿宋" w:cs="仿宋"/>
          <w:sz w:val="28"/>
          <w:szCs w:val="28"/>
          <w:highlight w:val="none"/>
        </w:rPr>
        <w:t>电话：（0769）21661806</w:t>
      </w:r>
    </w:p>
    <w:p>
      <w:pPr>
        <w:ind w:firstLine="480"/>
        <w:rPr>
          <w:b/>
          <w:sz w:val="24"/>
          <w:highlight w:val="none"/>
        </w:rPr>
      </w:pPr>
    </w:p>
    <w:p>
      <w:pPr>
        <w:ind w:firstLine="480"/>
        <w:rPr>
          <w:b/>
          <w:sz w:val="24"/>
          <w:highlight w:val="none"/>
        </w:rPr>
      </w:pPr>
    </w:p>
    <w:p>
      <w:pPr>
        <w:rPr>
          <w:b/>
          <w:sz w:val="24"/>
          <w:highlight w:val="none"/>
        </w:rPr>
      </w:pPr>
    </w:p>
    <w:p>
      <w:pPr>
        <w:rPr>
          <w:b/>
          <w:sz w:val="24"/>
          <w:highlight w:val="none"/>
        </w:rPr>
      </w:pPr>
    </w:p>
    <w:p>
      <w:pPr>
        <w:rPr>
          <w:b/>
          <w:sz w:val="24"/>
          <w:highlight w:val="none"/>
        </w:rPr>
      </w:pPr>
    </w:p>
    <w:p>
      <w:pPr>
        <w:rPr>
          <w:b/>
          <w:sz w:val="24"/>
          <w:highlight w:val="none"/>
        </w:rPr>
      </w:pPr>
    </w:p>
    <w:p>
      <w:pPr>
        <w:rPr>
          <w:b/>
          <w:sz w:val="24"/>
          <w:highlight w:val="none"/>
        </w:rPr>
      </w:pPr>
    </w:p>
    <w:p>
      <w:pPr>
        <w:rPr>
          <w:b/>
          <w:sz w:val="24"/>
          <w:highlight w:val="none"/>
        </w:rPr>
      </w:pPr>
    </w:p>
    <w:p>
      <w:pPr>
        <w:rPr>
          <w:b/>
          <w:sz w:val="24"/>
          <w:highlight w:val="none"/>
        </w:rPr>
      </w:pPr>
    </w:p>
    <w:p>
      <w:pPr>
        <w:rPr>
          <w:b/>
          <w:sz w:val="24"/>
          <w:highlight w:val="none"/>
        </w:rPr>
      </w:pPr>
    </w:p>
    <w:p>
      <w:pPr>
        <w:rPr>
          <w:highlight w:val="none"/>
        </w:rPr>
      </w:pPr>
    </w:p>
    <w:p>
      <w:pPr>
        <w:rPr>
          <w:b/>
          <w:sz w:val="36"/>
          <w:highlight w:val="none"/>
        </w:rPr>
      </w:pPr>
      <w:r>
        <w:rPr>
          <w:b/>
          <w:sz w:val="36"/>
          <w:highlight w:val="none"/>
        </w:rPr>
        <w:br w:type="page"/>
      </w:r>
    </w:p>
    <w:p>
      <w:pPr>
        <w:jc w:val="center"/>
        <w:rPr>
          <w:rFonts w:hint="eastAsia" w:ascii="仿宋_GB2312" w:hAnsi="仿宋_GB2312" w:eastAsia="仿宋_GB2312" w:cs="仿宋_GB2312"/>
          <w:highlight w:val="none"/>
        </w:rPr>
      </w:pPr>
      <w:r>
        <w:rPr>
          <w:rFonts w:hint="eastAsia" w:ascii="仿宋_GB2312" w:hAnsi="仿宋_GB2312" w:eastAsia="仿宋_GB2312" w:cs="仿宋_GB2312"/>
          <w:b/>
          <w:sz w:val="36"/>
          <w:highlight w:val="none"/>
        </w:rPr>
        <w:t>第二章 采购需求</w:t>
      </w:r>
    </w:p>
    <w:p>
      <w:pPr>
        <w:rPr>
          <w:rFonts w:hint="eastAsia" w:ascii="仿宋_GB2312" w:hAnsi="仿宋_GB2312" w:eastAsia="仿宋_GB2312" w:cs="仿宋_GB2312"/>
          <w:highlight w:val="none"/>
        </w:rPr>
      </w:pPr>
      <w:r>
        <w:rPr>
          <w:rFonts w:hint="eastAsia" w:ascii="仿宋_GB2312" w:hAnsi="仿宋_GB2312" w:eastAsia="仿宋_GB2312" w:cs="仿宋_GB2312"/>
          <w:b/>
          <w:sz w:val="28"/>
          <w:highlight w:val="none"/>
        </w:rPr>
        <w:t>一、项目概况：</w:t>
      </w:r>
    </w:p>
    <w:p>
      <w:pPr>
        <w:pStyle w:val="2"/>
        <w:ind w:firstLine="480" w:firstLineChars="200"/>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b w:val="0"/>
          <w:color w:val="000000"/>
          <w:spacing w:val="0"/>
          <w:kern w:val="2"/>
          <w:sz w:val="24"/>
          <w:szCs w:val="22"/>
          <w:highlight w:val="none"/>
          <w:lang w:eastAsia="zh-CN"/>
        </w:rPr>
        <w:t>为进一步加强万江街道办事处网络安全防护，提升对各类网络安全问题的预防和处置能力，完善网络安全建设。我办将采购一批网络安全设备用于万江街道办事处主楼</w:t>
      </w:r>
      <w:r>
        <w:rPr>
          <w:rFonts w:hint="eastAsia" w:ascii="仿宋_GB2312" w:hAnsi="仿宋_GB2312" w:eastAsia="仿宋_GB2312" w:cs="仿宋_GB2312"/>
          <w:b w:val="0"/>
          <w:color w:val="000000"/>
          <w:spacing w:val="0"/>
          <w:kern w:val="2"/>
          <w:sz w:val="24"/>
          <w:szCs w:val="22"/>
          <w:highlight w:val="none"/>
          <w:lang w:val="en-US" w:eastAsia="zh-CN"/>
        </w:rPr>
        <w:t>3楼机房。其中通过采购大数据智能安全平台，</w:t>
      </w:r>
      <w:r>
        <w:rPr>
          <w:rFonts w:hint="eastAsia" w:ascii="仿宋_GB2312" w:hAnsi="仿宋_GB2312" w:eastAsia="仿宋_GB2312" w:cs="仿宋_GB2312"/>
          <w:b w:val="0"/>
          <w:color w:val="000000"/>
          <w:spacing w:val="0"/>
          <w:kern w:val="2"/>
          <w:sz w:val="24"/>
          <w:szCs w:val="22"/>
          <w:highlight w:val="none"/>
          <w:lang w:eastAsia="zh-CN"/>
        </w:rPr>
        <w:t>及时探测发现和处理来自外部网络的攻击和威胁，保障办事处网络的安全；通过采购终端安全管理系统和数据集中备份系统，规范街道内部网络办公设备的上网行为，加强街道内部网络的管理。</w:t>
      </w:r>
    </w:p>
    <w:p>
      <w:pPr>
        <w:ind w:firstLine="562"/>
        <w:rPr>
          <w:rFonts w:hint="eastAsia" w:ascii="仿宋_GB2312" w:hAnsi="仿宋_GB2312" w:eastAsia="仿宋_GB2312" w:cs="仿宋_GB2312"/>
          <w:b/>
          <w:color w:val="000000"/>
          <w:sz w:val="28"/>
          <w:highlight w:val="none"/>
        </w:rPr>
      </w:pPr>
    </w:p>
    <w:p>
      <w:pPr>
        <w:autoSpaceDE w:val="0"/>
        <w:autoSpaceDN w:val="0"/>
        <w:adjustRightInd w:val="0"/>
        <w:spacing w:line="420" w:lineRule="exact"/>
        <w:rPr>
          <w:rFonts w:ascii="仿宋" w:hAnsi="仿宋" w:eastAsia="仿宋"/>
          <w:color w:val="FF0000"/>
          <w:sz w:val="24"/>
          <w:highlight w:val="none"/>
        </w:rPr>
      </w:pPr>
      <w:r>
        <w:rPr>
          <w:rFonts w:hint="eastAsia" w:ascii="仿宋" w:hAnsi="仿宋" w:eastAsia="仿宋"/>
          <w:color w:val="000000"/>
          <w:sz w:val="24"/>
          <w:highlight w:val="none"/>
        </w:rPr>
        <w:t>注：1.用户需求书中标注“■”号的内容为采购的主要标的（核心产品）。</w:t>
      </w:r>
    </w:p>
    <w:p>
      <w:pPr>
        <w:autoSpaceDE w:val="0"/>
        <w:autoSpaceDN w:val="0"/>
        <w:adjustRightInd w:val="0"/>
        <w:spacing w:line="420" w:lineRule="exact"/>
        <w:rPr>
          <w:rFonts w:ascii="仿宋" w:hAnsi="仿宋" w:eastAsia="仿宋"/>
          <w:color w:val="FF0000"/>
          <w:sz w:val="24"/>
          <w:highlight w:val="none"/>
        </w:rPr>
      </w:pPr>
      <w:r>
        <w:rPr>
          <w:rFonts w:hint="eastAsia" w:ascii="仿宋" w:hAnsi="仿宋" w:eastAsia="仿宋"/>
          <w:color w:val="000000"/>
          <w:sz w:val="24"/>
          <w:highlight w:val="none"/>
        </w:rPr>
        <w:t>2.用户需求书中标注“●”号的内容为政府强制采购的节能产品。</w:t>
      </w:r>
    </w:p>
    <w:p>
      <w:pPr>
        <w:autoSpaceDE w:val="0"/>
        <w:autoSpaceDN w:val="0"/>
        <w:adjustRightInd w:val="0"/>
        <w:spacing w:line="420" w:lineRule="exact"/>
        <w:rPr>
          <w:rFonts w:ascii="仿宋" w:hAnsi="仿宋" w:eastAsia="仿宋"/>
          <w:color w:val="000000"/>
          <w:sz w:val="24"/>
          <w:highlight w:val="none"/>
        </w:rPr>
      </w:pPr>
      <w:r>
        <w:rPr>
          <w:rFonts w:hint="eastAsia" w:ascii="仿宋" w:hAnsi="仿宋" w:eastAsia="仿宋"/>
          <w:color w:val="000000"/>
          <w:sz w:val="24"/>
          <w:highlight w:val="none"/>
        </w:rPr>
        <w:t>3.在《用户需求书》中所提供的货物参数要求，其目的仅仅是为了使投标人更加准确地了解</w:t>
      </w:r>
      <w:r>
        <w:rPr>
          <w:rFonts w:hint="eastAsia" w:ascii="仿宋" w:hAnsi="仿宋" w:eastAsia="仿宋"/>
          <w:color w:val="000000"/>
          <w:sz w:val="24"/>
          <w:highlight w:val="none"/>
          <w:lang w:eastAsia="zh-CN"/>
        </w:rPr>
        <w:t>询价</w:t>
      </w:r>
      <w:r>
        <w:rPr>
          <w:rFonts w:hint="eastAsia" w:ascii="仿宋" w:hAnsi="仿宋" w:eastAsia="仿宋"/>
          <w:color w:val="000000"/>
          <w:sz w:val="24"/>
          <w:highlight w:val="none"/>
        </w:rPr>
        <w:t>要求，不构成对投标单位所报品牌的任何约束；投标人所投货物参数应不低于《用户需求书》中的要求。</w:t>
      </w:r>
    </w:p>
    <w:p>
      <w:pPr>
        <w:autoSpaceDE w:val="0"/>
        <w:autoSpaceDN w:val="0"/>
        <w:adjustRightInd w:val="0"/>
        <w:spacing w:line="420" w:lineRule="exact"/>
        <w:rPr>
          <w:rFonts w:ascii="仿宋" w:hAnsi="仿宋" w:eastAsia="仿宋"/>
          <w:color w:val="000000"/>
          <w:sz w:val="24"/>
          <w:highlight w:val="none"/>
        </w:rPr>
      </w:pPr>
      <w:bookmarkStart w:id="0" w:name="_Toc31587"/>
      <w:bookmarkStart w:id="1" w:name="_Toc502156711"/>
      <w:bookmarkStart w:id="2" w:name="_Toc29260"/>
      <w:bookmarkStart w:id="3" w:name="_Toc24860"/>
      <w:bookmarkStart w:id="4" w:name="_Toc3889"/>
      <w:bookmarkStart w:id="5" w:name="_Toc12605"/>
      <w:bookmarkStart w:id="6" w:name="_Toc28309"/>
      <w:r>
        <w:rPr>
          <w:rFonts w:hint="eastAsia" w:ascii="仿宋" w:hAnsi="仿宋" w:eastAsia="仿宋"/>
          <w:color w:val="000000"/>
          <w:sz w:val="24"/>
          <w:highlight w:val="none"/>
        </w:rPr>
        <w:t>一、</w:t>
      </w:r>
      <w:r>
        <w:rPr>
          <w:rFonts w:hint="eastAsia" w:ascii="仿宋" w:hAnsi="仿宋" w:eastAsia="仿宋"/>
          <w:color w:val="000000"/>
          <w:sz w:val="24"/>
          <w:highlight w:val="none"/>
          <w:lang w:eastAsia="zh-CN"/>
        </w:rPr>
        <w:t>设备</w:t>
      </w:r>
      <w:r>
        <w:rPr>
          <w:rFonts w:hint="eastAsia" w:ascii="仿宋" w:hAnsi="仿宋" w:eastAsia="仿宋"/>
          <w:color w:val="000000"/>
          <w:sz w:val="24"/>
          <w:highlight w:val="none"/>
        </w:rPr>
        <w:t>清单</w:t>
      </w:r>
      <w:bookmarkEnd w:id="0"/>
      <w:bookmarkEnd w:id="1"/>
      <w:bookmarkEnd w:id="2"/>
      <w:bookmarkEnd w:id="3"/>
      <w:bookmarkEnd w:id="4"/>
      <w:bookmarkEnd w:id="5"/>
      <w:bookmarkEnd w:id="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center"/>
          </w:tcPr>
          <w:p>
            <w:pPr>
              <w:autoSpaceDE w:val="0"/>
              <w:autoSpaceDN w:val="0"/>
              <w:adjustRightInd w:val="0"/>
              <w:spacing w:line="420" w:lineRule="exact"/>
              <w:jc w:val="center"/>
              <w:rPr>
                <w:rFonts w:hint="eastAsia" w:ascii="仿宋" w:hAnsi="仿宋" w:eastAsia="仿宋"/>
                <w:b/>
                <w:bCs/>
                <w:color w:val="000000"/>
                <w:sz w:val="24"/>
                <w:highlight w:val="none"/>
                <w:vertAlign w:val="baseline"/>
                <w:lang w:eastAsia="zh-CN"/>
              </w:rPr>
            </w:pPr>
            <w:r>
              <w:rPr>
                <w:rFonts w:hint="eastAsia" w:ascii="仿宋" w:hAnsi="仿宋" w:eastAsia="仿宋"/>
                <w:b/>
                <w:bCs/>
                <w:color w:val="000000"/>
                <w:sz w:val="24"/>
                <w:highlight w:val="none"/>
                <w:vertAlign w:val="baseline"/>
                <w:lang w:eastAsia="zh-CN"/>
              </w:rPr>
              <w:t>序号</w:t>
            </w:r>
          </w:p>
        </w:tc>
        <w:tc>
          <w:tcPr>
            <w:tcW w:w="1703" w:type="dxa"/>
            <w:noWrap w:val="0"/>
            <w:vAlign w:val="center"/>
          </w:tcPr>
          <w:p>
            <w:pPr>
              <w:autoSpaceDE w:val="0"/>
              <w:autoSpaceDN w:val="0"/>
              <w:adjustRightInd w:val="0"/>
              <w:spacing w:line="420" w:lineRule="exact"/>
              <w:jc w:val="center"/>
              <w:rPr>
                <w:rFonts w:hint="eastAsia" w:ascii="仿宋" w:hAnsi="仿宋" w:eastAsia="仿宋"/>
                <w:b/>
                <w:bCs/>
                <w:color w:val="000000"/>
                <w:sz w:val="24"/>
                <w:highlight w:val="none"/>
                <w:vertAlign w:val="baseline"/>
                <w:lang w:eastAsia="zh-CN"/>
              </w:rPr>
            </w:pPr>
            <w:r>
              <w:rPr>
                <w:rFonts w:hint="eastAsia" w:ascii="仿宋" w:hAnsi="仿宋" w:eastAsia="仿宋"/>
                <w:b/>
                <w:bCs/>
                <w:color w:val="000000"/>
                <w:sz w:val="24"/>
                <w:highlight w:val="none"/>
                <w:vertAlign w:val="baseline"/>
                <w:lang w:eastAsia="zh-CN"/>
              </w:rPr>
              <w:t>设备名称</w:t>
            </w:r>
          </w:p>
        </w:tc>
        <w:tc>
          <w:tcPr>
            <w:tcW w:w="1704" w:type="dxa"/>
            <w:noWrap w:val="0"/>
            <w:vAlign w:val="center"/>
          </w:tcPr>
          <w:p>
            <w:pPr>
              <w:autoSpaceDE w:val="0"/>
              <w:autoSpaceDN w:val="0"/>
              <w:adjustRightInd w:val="0"/>
              <w:spacing w:line="420" w:lineRule="exact"/>
              <w:jc w:val="center"/>
              <w:rPr>
                <w:rFonts w:hint="eastAsia" w:ascii="仿宋" w:hAnsi="仿宋" w:eastAsia="仿宋"/>
                <w:b/>
                <w:bCs/>
                <w:color w:val="000000"/>
                <w:sz w:val="24"/>
                <w:highlight w:val="none"/>
                <w:vertAlign w:val="baseline"/>
                <w:lang w:eastAsia="zh-CN"/>
              </w:rPr>
            </w:pPr>
            <w:r>
              <w:rPr>
                <w:rFonts w:hint="eastAsia" w:ascii="仿宋" w:hAnsi="仿宋" w:eastAsia="仿宋"/>
                <w:b/>
                <w:bCs/>
                <w:color w:val="000000"/>
                <w:sz w:val="24"/>
                <w:highlight w:val="none"/>
                <w:vertAlign w:val="baseline"/>
                <w:lang w:eastAsia="zh-CN"/>
              </w:rPr>
              <w:t>部件</w:t>
            </w:r>
          </w:p>
        </w:tc>
        <w:tc>
          <w:tcPr>
            <w:tcW w:w="1704" w:type="dxa"/>
            <w:noWrap w:val="0"/>
            <w:vAlign w:val="center"/>
          </w:tcPr>
          <w:p>
            <w:pPr>
              <w:autoSpaceDE w:val="0"/>
              <w:autoSpaceDN w:val="0"/>
              <w:adjustRightInd w:val="0"/>
              <w:spacing w:line="420" w:lineRule="exact"/>
              <w:jc w:val="center"/>
              <w:rPr>
                <w:rFonts w:hint="eastAsia" w:ascii="仿宋" w:hAnsi="仿宋" w:eastAsia="仿宋"/>
                <w:b/>
                <w:bCs/>
                <w:color w:val="000000"/>
                <w:sz w:val="24"/>
                <w:highlight w:val="none"/>
                <w:vertAlign w:val="baseline"/>
                <w:lang w:eastAsia="zh-CN"/>
              </w:rPr>
            </w:pPr>
            <w:r>
              <w:rPr>
                <w:rFonts w:hint="eastAsia" w:ascii="仿宋" w:hAnsi="仿宋" w:eastAsia="仿宋"/>
                <w:b/>
                <w:bCs/>
                <w:color w:val="000000"/>
                <w:sz w:val="24"/>
                <w:highlight w:val="none"/>
                <w:vertAlign w:val="baseline"/>
                <w:lang w:eastAsia="zh-CN"/>
              </w:rPr>
              <w:t>单位</w:t>
            </w:r>
          </w:p>
        </w:tc>
        <w:tc>
          <w:tcPr>
            <w:tcW w:w="1704" w:type="dxa"/>
            <w:noWrap w:val="0"/>
            <w:vAlign w:val="center"/>
          </w:tcPr>
          <w:p>
            <w:pPr>
              <w:autoSpaceDE w:val="0"/>
              <w:autoSpaceDN w:val="0"/>
              <w:adjustRightInd w:val="0"/>
              <w:spacing w:line="420" w:lineRule="exact"/>
              <w:jc w:val="center"/>
              <w:rPr>
                <w:rFonts w:hint="eastAsia" w:ascii="仿宋" w:hAnsi="仿宋" w:eastAsia="仿宋"/>
                <w:b/>
                <w:bCs/>
                <w:color w:val="000000"/>
                <w:sz w:val="24"/>
                <w:highlight w:val="none"/>
                <w:vertAlign w:val="baseline"/>
                <w:lang w:eastAsia="zh-CN"/>
              </w:rPr>
            </w:pPr>
            <w:r>
              <w:rPr>
                <w:rFonts w:hint="eastAsia" w:ascii="仿宋" w:hAnsi="仿宋" w:eastAsia="仿宋"/>
                <w:b/>
                <w:bCs/>
                <w:color w:val="000000"/>
                <w:sz w:val="24"/>
                <w:highlight w:val="none"/>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仿宋" w:hAnsi="仿宋" w:eastAsia="仿宋"/>
                <w:color w:val="000000"/>
                <w:sz w:val="24"/>
                <w:highlight w:val="none"/>
              </w:rPr>
              <w:t>■</w:t>
            </w:r>
            <w:r>
              <w:rPr>
                <w:rFonts w:hint="eastAsia" w:ascii="宋体" w:hAnsi="宋体" w:eastAsia="宋体" w:cs="宋体"/>
                <w:color w:val="000000"/>
                <w:sz w:val="20"/>
                <w:szCs w:val="20"/>
                <w:highlight w:val="none"/>
                <w:vertAlign w:val="baseline"/>
                <w:lang w:eastAsia="zh-CN"/>
              </w:rPr>
              <w:t>大数据智能安全平台</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平台软件</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套</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平台硬件</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台</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流量监测探针</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套</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威胁情报订阅模块</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年</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2</w:t>
            </w:r>
          </w:p>
        </w:tc>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终端安全管理系统</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终端安全管理中心</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套</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PC防护模块</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个</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服务器防护模块</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个</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3</w:t>
            </w:r>
          </w:p>
        </w:tc>
        <w:tc>
          <w:tcPr>
            <w:tcW w:w="1703" w:type="dxa"/>
            <w:vMerge w:val="restart"/>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r>
              <w:rPr>
                <w:rFonts w:hint="eastAsia" w:ascii="宋体" w:hAnsi="宋体" w:eastAsia="宋体" w:cs="宋体"/>
                <w:color w:val="000000"/>
                <w:sz w:val="20"/>
                <w:szCs w:val="20"/>
                <w:highlight w:val="none"/>
                <w:vertAlign w:val="baseline"/>
                <w:lang w:eastAsia="zh-CN"/>
              </w:rPr>
              <w:t>数据集中备份系统</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系统硬件</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台</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p>
        </w:tc>
        <w:tc>
          <w:tcPr>
            <w:tcW w:w="1703" w:type="dxa"/>
            <w:vMerge w:val="continue"/>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eastAsia="zh-CN"/>
              </w:rPr>
            </w:pP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软件系统</w:t>
            </w:r>
          </w:p>
        </w:tc>
        <w:tc>
          <w:tcPr>
            <w:tcW w:w="1704" w:type="dxa"/>
            <w:noWrap w:val="0"/>
            <w:vAlign w:val="center"/>
          </w:tcPr>
          <w:p>
            <w:pPr>
              <w:autoSpaceDE w:val="0"/>
              <w:autoSpaceDN w:val="0"/>
              <w:adjustRightInd w:val="0"/>
              <w:spacing w:line="420" w:lineRule="exact"/>
              <w:jc w:val="center"/>
              <w:rPr>
                <w:rFonts w:hint="eastAsia"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个</w:t>
            </w:r>
          </w:p>
        </w:tc>
        <w:tc>
          <w:tcPr>
            <w:tcW w:w="1704" w:type="dxa"/>
            <w:noWrap w:val="0"/>
            <w:vAlign w:val="center"/>
          </w:tcPr>
          <w:p>
            <w:pPr>
              <w:autoSpaceDE w:val="0"/>
              <w:autoSpaceDN w:val="0"/>
              <w:adjustRightInd w:val="0"/>
              <w:spacing w:line="420" w:lineRule="exact"/>
              <w:jc w:val="center"/>
              <w:rPr>
                <w:rFonts w:hint="default" w:ascii="宋体" w:hAnsi="宋体" w:eastAsia="宋体" w:cs="宋体"/>
                <w:color w:val="000000"/>
                <w:sz w:val="20"/>
                <w:szCs w:val="20"/>
                <w:highlight w:val="none"/>
                <w:vertAlign w:val="baseline"/>
                <w:lang w:val="en-US" w:eastAsia="zh-CN"/>
              </w:rPr>
            </w:pPr>
            <w:r>
              <w:rPr>
                <w:rFonts w:hint="eastAsia" w:ascii="宋体" w:hAnsi="宋体" w:eastAsia="宋体" w:cs="宋体"/>
                <w:color w:val="000000"/>
                <w:sz w:val="20"/>
                <w:szCs w:val="20"/>
                <w:highlight w:val="none"/>
                <w:vertAlign w:val="baseline"/>
                <w:lang w:val="en-US" w:eastAsia="zh-CN"/>
              </w:rPr>
              <w:t>1</w:t>
            </w:r>
          </w:p>
        </w:tc>
      </w:tr>
    </w:tbl>
    <w:p>
      <w:pPr>
        <w:autoSpaceDE w:val="0"/>
        <w:autoSpaceDN w:val="0"/>
        <w:adjustRightInd w:val="0"/>
        <w:spacing w:line="420" w:lineRule="exact"/>
        <w:rPr>
          <w:rFonts w:ascii="仿宋" w:hAnsi="仿宋" w:eastAsia="仿宋"/>
          <w:color w:val="000000"/>
          <w:sz w:val="24"/>
          <w:highlight w:val="none"/>
        </w:rPr>
      </w:pPr>
    </w:p>
    <w:p>
      <w:pPr>
        <w:autoSpaceDE w:val="0"/>
        <w:autoSpaceDN w:val="0"/>
        <w:adjustRightInd w:val="0"/>
        <w:spacing w:line="420" w:lineRule="exact"/>
        <w:rPr>
          <w:rFonts w:ascii="仿宋" w:hAnsi="仿宋" w:eastAsia="仿宋"/>
          <w:color w:val="000000"/>
          <w:sz w:val="24"/>
          <w:highlight w:val="none"/>
        </w:rPr>
      </w:pPr>
    </w:p>
    <w:p>
      <w:pPr>
        <w:autoSpaceDE w:val="0"/>
        <w:autoSpaceDN w:val="0"/>
        <w:adjustRightInd w:val="0"/>
        <w:spacing w:line="420" w:lineRule="exact"/>
        <w:rPr>
          <w:rFonts w:hint="eastAsia" w:ascii="仿宋" w:hAnsi="仿宋" w:eastAsia="仿宋"/>
          <w:color w:val="000000"/>
          <w:sz w:val="24"/>
          <w:highlight w:val="none"/>
        </w:rPr>
      </w:pPr>
      <w:r>
        <w:rPr>
          <w:rFonts w:hint="eastAsia" w:ascii="仿宋" w:hAnsi="仿宋" w:eastAsia="仿宋"/>
          <w:color w:val="000000"/>
          <w:sz w:val="24"/>
          <w:highlight w:val="none"/>
        </w:rPr>
        <w:t>二、主要技术参数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58"/>
        <w:gridCol w:w="1359"/>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adjustRightInd w:val="0"/>
              <w:spacing w:line="420" w:lineRule="exact"/>
              <w:jc w:val="center"/>
              <w:rPr>
                <w:rFonts w:cs="Times New Roman"/>
                <w:b/>
                <w:bCs/>
                <w:color w:val="000000"/>
                <w:sz w:val="24"/>
                <w:highlight w:val="none"/>
              </w:rPr>
            </w:pPr>
            <w:bookmarkStart w:id="7" w:name="_Hlk117275482"/>
            <w:r>
              <w:rPr>
                <w:rFonts w:hint="eastAsia" w:cs="Times New Roman"/>
                <w:b/>
                <w:bCs/>
                <w:color w:val="000000"/>
                <w:sz w:val="24"/>
                <w:highlight w:val="none"/>
              </w:rPr>
              <w:t>序号</w:t>
            </w:r>
          </w:p>
        </w:tc>
        <w:tc>
          <w:tcPr>
            <w:tcW w:w="1703" w:type="dxa"/>
            <w:vAlign w:val="center"/>
          </w:tcPr>
          <w:p>
            <w:pPr>
              <w:adjustRightInd w:val="0"/>
              <w:spacing w:line="420" w:lineRule="exact"/>
              <w:jc w:val="center"/>
              <w:rPr>
                <w:rFonts w:cs="Times New Roman"/>
                <w:b/>
                <w:bCs/>
                <w:color w:val="000000"/>
                <w:sz w:val="24"/>
                <w:highlight w:val="none"/>
              </w:rPr>
            </w:pPr>
            <w:r>
              <w:rPr>
                <w:rFonts w:hint="eastAsia" w:cs="Times New Roman"/>
                <w:b/>
                <w:bCs/>
                <w:color w:val="000000"/>
                <w:sz w:val="24"/>
                <w:highlight w:val="none"/>
              </w:rPr>
              <w:t>设备名称</w:t>
            </w:r>
          </w:p>
        </w:tc>
        <w:tc>
          <w:tcPr>
            <w:tcW w:w="1704" w:type="dxa"/>
            <w:vAlign w:val="center"/>
          </w:tcPr>
          <w:p>
            <w:pPr>
              <w:adjustRightInd w:val="0"/>
              <w:spacing w:line="420" w:lineRule="exact"/>
              <w:jc w:val="center"/>
              <w:rPr>
                <w:rFonts w:cs="Times New Roman"/>
                <w:b/>
                <w:bCs/>
                <w:color w:val="000000"/>
                <w:sz w:val="24"/>
                <w:highlight w:val="none"/>
              </w:rPr>
            </w:pPr>
            <w:r>
              <w:rPr>
                <w:rFonts w:hint="eastAsia" w:cs="Times New Roman"/>
                <w:b/>
                <w:bCs/>
                <w:color w:val="000000"/>
                <w:sz w:val="24"/>
                <w:highlight w:val="none"/>
              </w:rPr>
              <w:t>部件</w:t>
            </w:r>
          </w:p>
        </w:tc>
        <w:tc>
          <w:tcPr>
            <w:tcW w:w="5682" w:type="dxa"/>
            <w:vAlign w:val="center"/>
          </w:tcPr>
          <w:p>
            <w:pPr>
              <w:adjustRightInd w:val="0"/>
              <w:spacing w:line="420" w:lineRule="exact"/>
              <w:jc w:val="center"/>
              <w:rPr>
                <w:rFonts w:cs="Times New Roman"/>
                <w:b/>
                <w:bCs/>
                <w:color w:val="000000"/>
                <w:sz w:val="24"/>
                <w:highlight w:val="none"/>
              </w:rPr>
            </w:pPr>
            <w:r>
              <w:rPr>
                <w:rFonts w:hint="eastAsia" w:cstheme="minorEastAsia"/>
                <w:b/>
                <w:bCs/>
                <w:color w:val="000000"/>
                <w:sz w:val="20"/>
                <w:szCs w:val="20"/>
                <w:highlight w:val="none"/>
              </w:rPr>
              <w:t>主要技术参数与要求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1</w:t>
            </w:r>
          </w:p>
        </w:tc>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大数据智能安全平台</w:t>
            </w: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平台软件</w:t>
            </w:r>
          </w:p>
        </w:tc>
        <w:tc>
          <w:tcPr>
            <w:tcW w:w="5682" w:type="dxa"/>
            <w:vAlign w:val="center"/>
          </w:tcPr>
          <w:p>
            <w:pPr>
              <w:numPr>
                <w:ilvl w:val="255"/>
                <w:numId w:val="0"/>
              </w:numPr>
              <w:adjustRightInd w:val="0"/>
              <w:jc w:val="both"/>
              <w:rPr>
                <w:rFonts w:cstheme="minorEastAsia"/>
                <w:sz w:val="20"/>
                <w:szCs w:val="20"/>
                <w:highlight w:val="none"/>
              </w:rPr>
            </w:pPr>
            <w:r>
              <w:rPr>
                <w:rFonts w:cstheme="minorEastAsia"/>
                <w:sz w:val="20"/>
                <w:szCs w:val="20"/>
                <w:highlight w:val="none"/>
              </w:rPr>
              <w:t>1</w:t>
            </w:r>
            <w:r>
              <w:rPr>
                <w:rFonts w:hint="eastAsia" w:cstheme="minorEastAsia"/>
                <w:sz w:val="20"/>
                <w:szCs w:val="20"/>
                <w:highlight w:val="none"/>
              </w:rPr>
              <w:t>、产品应具备安全设备监管、审计管理、自身安全、资产管理、数据采集、安全分析、态势展示、告警管理、知识库管理、状态监控等基础能力</w:t>
            </w:r>
            <w:r>
              <w:rPr>
                <w:rFonts w:hint="eastAsia" w:cstheme="minorEastAsia"/>
                <w:b/>
                <w:bCs/>
                <w:sz w:val="20"/>
                <w:szCs w:val="20"/>
                <w:highlight w:val="none"/>
              </w:rPr>
              <w:t>；</w:t>
            </w:r>
          </w:p>
          <w:p>
            <w:pPr>
              <w:numPr>
                <w:ilvl w:val="255"/>
                <w:numId w:val="0"/>
              </w:numPr>
              <w:adjustRightInd w:val="0"/>
              <w:jc w:val="both"/>
              <w:rPr>
                <w:rFonts w:cstheme="minorEastAsia"/>
                <w:sz w:val="20"/>
                <w:szCs w:val="20"/>
                <w:highlight w:val="none"/>
              </w:rPr>
            </w:pPr>
            <w:r>
              <w:rPr>
                <w:rFonts w:cstheme="minorEastAsia"/>
                <w:sz w:val="20"/>
                <w:szCs w:val="20"/>
                <w:highlight w:val="none"/>
              </w:rPr>
              <w:t>2</w:t>
            </w:r>
            <w:r>
              <w:rPr>
                <w:rFonts w:hint="eastAsia" w:cstheme="minorEastAsia"/>
                <w:sz w:val="20"/>
                <w:szCs w:val="20"/>
                <w:highlight w:val="none"/>
              </w:rPr>
              <w:t>、</w:t>
            </w:r>
            <w:r>
              <w:rPr>
                <w:rFonts w:hint="eastAsia" w:cs="Times New Roman"/>
                <w:sz w:val="20"/>
                <w:szCs w:val="20"/>
                <w:highlight w:val="none"/>
              </w:rPr>
              <w:t>▲</w:t>
            </w:r>
            <w:r>
              <w:rPr>
                <w:rFonts w:hint="eastAsia" w:cstheme="minorEastAsia"/>
                <w:sz w:val="20"/>
                <w:szCs w:val="20"/>
                <w:highlight w:val="none"/>
              </w:rPr>
              <w:t>支持态势展示，</w:t>
            </w:r>
            <w:r>
              <w:rPr>
                <w:rFonts w:cstheme="minorEastAsia"/>
                <w:sz w:val="20"/>
                <w:szCs w:val="20"/>
                <w:highlight w:val="none"/>
              </w:rPr>
              <w:t>能够根据监测结果对安全数据态势、资产安全态势、网络攻击态势、网络防火墙态势等功能进行展现</w:t>
            </w:r>
            <w:r>
              <w:rPr>
                <w:rFonts w:hint="eastAsia" w:cstheme="minorEastAsia"/>
                <w:sz w:val="20"/>
                <w:szCs w:val="20"/>
                <w:highlight w:val="none"/>
              </w:rPr>
              <w:t>，其中展示的内容包括今日数据量、本周数据量、数据趋势、威胁类型分布等；</w:t>
            </w:r>
            <w:r>
              <w:rPr>
                <w:rFonts w:cstheme="minorEastAsia"/>
                <w:sz w:val="20"/>
                <w:szCs w:val="20"/>
                <w:highlight w:val="none"/>
              </w:rPr>
              <w:t>资产安全态势展示的内容包括资产类型分布、资产重要性分布、受</w:t>
            </w:r>
            <w:r>
              <w:rPr>
                <w:rFonts w:hint="eastAsia" w:cstheme="minorEastAsia"/>
                <w:sz w:val="20"/>
                <w:szCs w:val="20"/>
                <w:highlight w:val="none"/>
              </w:rPr>
              <w:t>威胁</w:t>
            </w:r>
            <w:r>
              <w:rPr>
                <w:rFonts w:cstheme="minorEastAsia"/>
                <w:sz w:val="20"/>
                <w:szCs w:val="20"/>
                <w:highlight w:val="none"/>
              </w:rPr>
              <w:t>资产分布等</w:t>
            </w:r>
            <w:r>
              <w:rPr>
                <w:rFonts w:hint="eastAsia" w:cstheme="minorEastAsia"/>
                <w:sz w:val="20"/>
                <w:szCs w:val="20"/>
                <w:highlight w:val="none"/>
              </w:rPr>
              <w:t>；</w:t>
            </w:r>
            <w:r>
              <w:rPr>
                <w:rFonts w:cstheme="minorEastAsia"/>
                <w:sz w:val="20"/>
                <w:szCs w:val="20"/>
                <w:highlight w:val="none"/>
              </w:rPr>
              <w:t>网络攻击态势展示的内容包括攻击趋势攻击类型分布、攻击源TOP5、受攻击资产TOP5、受攻击端口TOP5</w:t>
            </w:r>
            <w:r>
              <w:rPr>
                <w:rFonts w:hint="eastAsia" w:cstheme="minorEastAsia"/>
                <w:sz w:val="20"/>
                <w:szCs w:val="20"/>
                <w:highlight w:val="none"/>
              </w:rPr>
              <w:t>；</w:t>
            </w:r>
            <w:r>
              <w:rPr>
                <w:rFonts w:cstheme="minorEastAsia"/>
                <w:sz w:val="20"/>
                <w:szCs w:val="20"/>
                <w:highlight w:val="none"/>
              </w:rPr>
              <w:t>网络防火墙态势展示的内容包括威肘级别分布、协议分布、数据趋势等</w:t>
            </w:r>
            <w:r>
              <w:rPr>
                <w:rFonts w:hint="eastAsia" w:cstheme="minorEastAsia"/>
                <w:b/>
                <w:bCs/>
                <w:color w:val="000000" w:themeColor="text1"/>
                <w:sz w:val="20"/>
                <w:szCs w:val="20"/>
                <w:highlight w:val="none"/>
                <w14:textFill>
                  <w14:solidFill>
                    <w14:schemeClr w14:val="tx1"/>
                  </w14:solidFill>
                </w14:textFill>
              </w:rPr>
              <w:t>（提供由公安部相关检测机构出具的检验检测报告，并加盖投标人公章）</w:t>
            </w:r>
            <w:r>
              <w:rPr>
                <w:rFonts w:hint="eastAsia" w:cstheme="minorEastAsia"/>
                <w:b/>
                <w:bCs/>
                <w:sz w:val="20"/>
                <w:szCs w:val="20"/>
                <w:highlight w:val="none"/>
              </w:rPr>
              <w:t>；</w:t>
            </w:r>
          </w:p>
          <w:p>
            <w:pPr>
              <w:numPr>
                <w:ilvl w:val="255"/>
                <w:numId w:val="0"/>
              </w:numPr>
              <w:adjustRightInd w:val="0"/>
              <w:jc w:val="both"/>
              <w:rPr>
                <w:rFonts w:cstheme="minorEastAsia"/>
                <w:sz w:val="20"/>
                <w:szCs w:val="20"/>
                <w:highlight w:val="none"/>
              </w:rPr>
            </w:pPr>
            <w:r>
              <w:rPr>
                <w:rFonts w:cstheme="minorEastAsia"/>
                <w:sz w:val="20"/>
                <w:szCs w:val="20"/>
                <w:highlight w:val="none"/>
              </w:rPr>
              <w:t>3</w:t>
            </w:r>
            <w:r>
              <w:rPr>
                <w:rFonts w:hint="eastAsia" w:cstheme="minorEastAsia"/>
                <w:sz w:val="20"/>
                <w:szCs w:val="20"/>
                <w:highlight w:val="none"/>
              </w:rPr>
              <w:t>、</w:t>
            </w:r>
            <w:r>
              <w:rPr>
                <w:rFonts w:hint="eastAsia" w:cs="Times New Roman"/>
                <w:sz w:val="20"/>
                <w:szCs w:val="20"/>
                <w:highlight w:val="none"/>
              </w:rPr>
              <w:t>▲</w:t>
            </w:r>
            <w:r>
              <w:rPr>
                <w:rFonts w:hint="eastAsia" w:cstheme="minorEastAsia"/>
                <w:sz w:val="20"/>
                <w:szCs w:val="20"/>
                <w:highlight w:val="none"/>
              </w:rPr>
              <w:t>支持告警管理，可</w:t>
            </w:r>
            <w:r>
              <w:rPr>
                <w:rFonts w:cstheme="minorEastAsia"/>
                <w:sz w:val="20"/>
                <w:szCs w:val="20"/>
                <w:highlight w:val="none"/>
              </w:rPr>
              <w:t>对告警规则进行管理</w:t>
            </w:r>
            <w:r>
              <w:rPr>
                <w:rFonts w:hint="eastAsia" w:cstheme="minorEastAsia"/>
                <w:sz w:val="20"/>
                <w:szCs w:val="20"/>
                <w:highlight w:val="none"/>
              </w:rPr>
              <w:t>；</w:t>
            </w:r>
            <w:r>
              <w:rPr>
                <w:rFonts w:cstheme="minorEastAsia"/>
                <w:sz w:val="20"/>
                <w:szCs w:val="20"/>
                <w:highlight w:val="none"/>
              </w:rPr>
              <w:t>支持告警信息的查看和处置</w:t>
            </w:r>
            <w:r>
              <w:rPr>
                <w:rFonts w:hint="eastAsia" w:cstheme="minorEastAsia"/>
                <w:sz w:val="20"/>
                <w:szCs w:val="20"/>
                <w:highlight w:val="none"/>
              </w:rPr>
              <w:t>；</w:t>
            </w:r>
            <w:r>
              <w:rPr>
                <w:rFonts w:cstheme="minorEastAsia"/>
                <w:sz w:val="20"/>
                <w:szCs w:val="20"/>
                <w:highlight w:val="none"/>
              </w:rPr>
              <w:t>支持安全预警的发布</w:t>
            </w:r>
            <w:r>
              <w:rPr>
                <w:rFonts w:hint="eastAsia" w:cstheme="minorEastAsia"/>
                <w:sz w:val="20"/>
                <w:szCs w:val="20"/>
                <w:highlight w:val="none"/>
              </w:rPr>
              <w:t>；支持增加、删除告警规则，规则信息包括编号、规则名称、规则分类、修改时间、时间窗口、状态等；支持</w:t>
            </w:r>
            <w:r>
              <w:rPr>
                <w:rFonts w:cstheme="minorEastAsia"/>
                <w:sz w:val="20"/>
                <w:szCs w:val="20"/>
                <w:highlight w:val="none"/>
              </w:rPr>
              <w:t>查看告警信息并进行告警信息的处置，并能够使用模板通过邮件进行告警</w:t>
            </w:r>
            <w:r>
              <w:rPr>
                <w:rFonts w:hint="eastAsia" w:cstheme="minorEastAsia"/>
                <w:sz w:val="20"/>
                <w:szCs w:val="20"/>
                <w:highlight w:val="none"/>
              </w:rPr>
              <w:t>；支持</w:t>
            </w:r>
            <w:r>
              <w:rPr>
                <w:rFonts w:cstheme="minorEastAsia"/>
                <w:sz w:val="20"/>
                <w:szCs w:val="20"/>
                <w:highlight w:val="none"/>
              </w:rPr>
              <w:t>由管理员进行安全预警的发布，会在屏幕上进行展示</w:t>
            </w:r>
            <w:r>
              <w:rPr>
                <w:rFonts w:hint="eastAsia" w:cstheme="minorEastAsia"/>
                <w:b/>
                <w:bCs/>
                <w:color w:val="000000" w:themeColor="text1"/>
                <w:sz w:val="20"/>
                <w:szCs w:val="20"/>
                <w:highlight w:val="none"/>
                <w14:textFill>
                  <w14:solidFill>
                    <w14:schemeClr w14:val="tx1"/>
                  </w14:solidFill>
                </w14:textFill>
              </w:rPr>
              <w:t>（提供由公安部相关检测机构出具的检验检测报告，并加盖投标人公章）；</w:t>
            </w:r>
          </w:p>
          <w:p>
            <w:pPr>
              <w:numPr>
                <w:ilvl w:val="255"/>
                <w:numId w:val="0"/>
              </w:numPr>
              <w:adjustRightInd w:val="0"/>
              <w:jc w:val="both"/>
              <w:rPr>
                <w:rFonts w:cstheme="minorEastAsia"/>
                <w:sz w:val="20"/>
                <w:szCs w:val="20"/>
                <w:highlight w:val="none"/>
              </w:rPr>
            </w:pPr>
            <w:r>
              <w:rPr>
                <w:rFonts w:cstheme="minorEastAsia"/>
                <w:sz w:val="20"/>
                <w:szCs w:val="20"/>
                <w:highlight w:val="none"/>
              </w:rPr>
              <w:t>4</w:t>
            </w:r>
            <w:r>
              <w:rPr>
                <w:rFonts w:hint="eastAsia" w:cstheme="minorEastAsia"/>
                <w:sz w:val="20"/>
                <w:szCs w:val="20"/>
                <w:highlight w:val="none"/>
              </w:rPr>
              <w:t>、支持告警类型与剧本关联，一旦触发告警，可联动执行相应剧本；</w:t>
            </w:r>
          </w:p>
          <w:p>
            <w:pPr>
              <w:numPr>
                <w:ilvl w:val="255"/>
                <w:numId w:val="0"/>
              </w:numPr>
              <w:adjustRightInd w:val="0"/>
              <w:jc w:val="both"/>
              <w:rPr>
                <w:rFonts w:cstheme="minorEastAsia"/>
                <w:sz w:val="20"/>
                <w:szCs w:val="20"/>
                <w:highlight w:val="none"/>
              </w:rPr>
            </w:pPr>
            <w:r>
              <w:rPr>
                <w:rFonts w:cstheme="minorEastAsia"/>
                <w:sz w:val="20"/>
                <w:szCs w:val="20"/>
                <w:highlight w:val="none"/>
              </w:rPr>
              <w:t>5</w:t>
            </w:r>
            <w:r>
              <w:rPr>
                <w:rFonts w:hint="eastAsia" w:cstheme="minorEastAsia"/>
                <w:sz w:val="20"/>
                <w:szCs w:val="20"/>
                <w:highlight w:val="none"/>
              </w:rPr>
              <w:t>、支持联动防火墙、云主机防护、终端防病毒、终端安全管理等产品，实现</w:t>
            </w:r>
            <w:r>
              <w:rPr>
                <w:rFonts w:cstheme="minorEastAsia"/>
                <w:sz w:val="20"/>
                <w:szCs w:val="20"/>
                <w:highlight w:val="none"/>
              </w:rPr>
              <w:t>IP/URL/</w:t>
            </w:r>
            <w:r>
              <w:rPr>
                <w:rFonts w:hint="eastAsia" w:cstheme="minorEastAsia"/>
                <w:sz w:val="20"/>
                <w:szCs w:val="20"/>
                <w:highlight w:val="none"/>
              </w:rPr>
              <w:t>域名封堵、病毒查杀、主机隔离、虚拟补丁、挖矿防护等能力；</w:t>
            </w:r>
          </w:p>
          <w:p>
            <w:pPr>
              <w:numPr>
                <w:ilvl w:val="255"/>
                <w:numId w:val="0"/>
              </w:numPr>
              <w:adjustRightInd w:val="0"/>
              <w:jc w:val="both"/>
              <w:rPr>
                <w:rFonts w:cstheme="minorEastAsia"/>
                <w:sz w:val="20"/>
                <w:szCs w:val="20"/>
                <w:highlight w:val="none"/>
              </w:rPr>
            </w:pPr>
            <w:r>
              <w:rPr>
                <w:rFonts w:cstheme="minorEastAsia"/>
                <w:sz w:val="20"/>
                <w:szCs w:val="20"/>
                <w:highlight w:val="none"/>
              </w:rPr>
              <w:t>6</w:t>
            </w:r>
            <w:r>
              <w:rPr>
                <w:rFonts w:hint="eastAsia" w:cstheme="minorEastAsia"/>
                <w:sz w:val="20"/>
                <w:szCs w:val="20"/>
                <w:highlight w:val="none"/>
              </w:rPr>
              <w:t>、支持以插件形式接入第三方产品的联动处置功能，支持插件热插拔，插件数量不低于</w:t>
            </w:r>
            <w:r>
              <w:rPr>
                <w:rFonts w:cstheme="minorEastAsia"/>
                <w:sz w:val="20"/>
                <w:szCs w:val="20"/>
                <w:highlight w:val="none"/>
              </w:rPr>
              <w:t>100</w:t>
            </w:r>
            <w:r>
              <w:rPr>
                <w:rFonts w:hint="eastAsia" w:cstheme="minorEastAsia"/>
                <w:sz w:val="20"/>
                <w:szCs w:val="20"/>
                <w:highlight w:val="none"/>
              </w:rPr>
              <w:t>种；</w:t>
            </w:r>
          </w:p>
          <w:p>
            <w:pPr>
              <w:numPr>
                <w:ilvl w:val="255"/>
                <w:numId w:val="0"/>
              </w:numPr>
              <w:adjustRightInd w:val="0"/>
              <w:jc w:val="both"/>
              <w:rPr>
                <w:rFonts w:cstheme="minorEastAsia"/>
                <w:sz w:val="20"/>
                <w:szCs w:val="20"/>
                <w:highlight w:val="none"/>
              </w:rPr>
            </w:pPr>
            <w:r>
              <w:rPr>
                <w:rFonts w:cstheme="minorEastAsia"/>
                <w:sz w:val="20"/>
                <w:szCs w:val="20"/>
                <w:highlight w:val="none"/>
              </w:rPr>
              <w:t>7</w:t>
            </w:r>
            <w:r>
              <w:rPr>
                <w:rFonts w:hint="eastAsia" w:cstheme="minorEastAsia"/>
                <w:sz w:val="20"/>
                <w:szCs w:val="20"/>
                <w:highlight w:val="none"/>
              </w:rPr>
              <w:t>、支持剧本自定义编排，提供自动处置、人工处置节点；</w:t>
            </w:r>
          </w:p>
          <w:p>
            <w:pPr>
              <w:numPr>
                <w:ilvl w:val="255"/>
                <w:numId w:val="0"/>
              </w:numPr>
              <w:adjustRightInd w:val="0"/>
              <w:jc w:val="both"/>
              <w:rPr>
                <w:rFonts w:cstheme="minorEastAsia"/>
                <w:sz w:val="20"/>
                <w:szCs w:val="20"/>
                <w:highlight w:val="none"/>
              </w:rPr>
            </w:pPr>
            <w:r>
              <w:rPr>
                <w:rFonts w:cstheme="minorEastAsia"/>
                <w:sz w:val="20"/>
                <w:szCs w:val="20"/>
                <w:highlight w:val="none"/>
              </w:rPr>
              <w:t>8</w:t>
            </w:r>
            <w:r>
              <w:rPr>
                <w:rFonts w:hint="eastAsia" w:cstheme="minorEastAsia"/>
                <w:sz w:val="20"/>
                <w:szCs w:val="20"/>
                <w:highlight w:val="none"/>
              </w:rPr>
              <w:t>、支持剧本任务执行，提供一键封禁、一键查杀、补丁联动、挖矿防护等剧本；</w:t>
            </w:r>
          </w:p>
          <w:p>
            <w:pPr>
              <w:numPr>
                <w:ilvl w:val="255"/>
                <w:numId w:val="0"/>
              </w:numPr>
              <w:adjustRightInd w:val="0"/>
              <w:jc w:val="both"/>
              <w:rPr>
                <w:rFonts w:cstheme="minorEastAsia"/>
                <w:sz w:val="20"/>
                <w:szCs w:val="20"/>
                <w:highlight w:val="none"/>
              </w:rPr>
            </w:pPr>
            <w:r>
              <w:rPr>
                <w:rFonts w:cstheme="minorEastAsia"/>
                <w:sz w:val="20"/>
                <w:szCs w:val="20"/>
                <w:highlight w:val="none"/>
              </w:rPr>
              <w:t>9</w:t>
            </w:r>
            <w:r>
              <w:rPr>
                <w:rFonts w:hint="eastAsia" w:cstheme="minorEastAsia"/>
                <w:sz w:val="20"/>
                <w:szCs w:val="20"/>
                <w:highlight w:val="none"/>
              </w:rPr>
              <w:t>、支持剧本执行历史查询，单剧本可查看执行轨迹。</w:t>
            </w:r>
          </w:p>
          <w:p>
            <w:pPr>
              <w:numPr>
                <w:ilvl w:val="255"/>
                <w:numId w:val="0"/>
              </w:numPr>
              <w:adjustRightInd w:val="0"/>
              <w:jc w:val="both"/>
              <w:rPr>
                <w:rFonts w:cstheme="minorEastAsia"/>
                <w:sz w:val="20"/>
                <w:szCs w:val="20"/>
                <w:highlight w:val="none"/>
              </w:rPr>
            </w:pPr>
            <w:r>
              <w:rPr>
                <w:rFonts w:cstheme="minorEastAsia"/>
                <w:sz w:val="20"/>
                <w:szCs w:val="20"/>
                <w:highlight w:val="none"/>
              </w:rPr>
              <w:t>10</w:t>
            </w:r>
            <w:r>
              <w:rPr>
                <w:rFonts w:hint="eastAsia" w:cstheme="minorEastAsia"/>
                <w:sz w:val="20"/>
                <w:szCs w:val="20"/>
                <w:highlight w:val="none"/>
              </w:rPr>
              <w:t>、支持</w:t>
            </w:r>
            <w:r>
              <w:rPr>
                <w:rFonts w:cstheme="minorEastAsia"/>
                <w:sz w:val="20"/>
                <w:szCs w:val="20"/>
                <w:highlight w:val="none"/>
              </w:rPr>
              <w:t>DGA</w:t>
            </w:r>
            <w:r>
              <w:rPr>
                <w:rFonts w:hint="eastAsia" w:cstheme="minorEastAsia"/>
                <w:sz w:val="20"/>
                <w:szCs w:val="20"/>
                <w:highlight w:val="none"/>
              </w:rPr>
              <w:t>域名检测、</w:t>
            </w:r>
            <w:r>
              <w:rPr>
                <w:rFonts w:cstheme="minorEastAsia"/>
                <w:sz w:val="20"/>
                <w:szCs w:val="20"/>
                <w:highlight w:val="none"/>
              </w:rPr>
              <w:t>DNS</w:t>
            </w:r>
            <w:r>
              <w:rPr>
                <w:rFonts w:hint="eastAsia" w:cstheme="minorEastAsia"/>
                <w:sz w:val="20"/>
                <w:szCs w:val="20"/>
                <w:highlight w:val="none"/>
              </w:rPr>
              <w:t>隐蔽通道检测、</w:t>
            </w:r>
            <w:r>
              <w:rPr>
                <w:rFonts w:cstheme="minorEastAsia"/>
                <w:sz w:val="20"/>
                <w:szCs w:val="20"/>
                <w:highlight w:val="none"/>
              </w:rPr>
              <w:t>WebShell</w:t>
            </w:r>
            <w:r>
              <w:rPr>
                <w:rFonts w:hint="eastAsia" w:cstheme="minorEastAsia"/>
                <w:sz w:val="20"/>
                <w:szCs w:val="20"/>
                <w:highlight w:val="none"/>
              </w:rPr>
              <w:t>攻击检测等高级威胁场景，同时支持展示建模过程的数据流向，确保模型的准确性；</w:t>
            </w:r>
          </w:p>
          <w:p>
            <w:pPr>
              <w:numPr>
                <w:ilvl w:val="255"/>
                <w:numId w:val="0"/>
              </w:numPr>
              <w:adjustRightInd w:val="0"/>
              <w:jc w:val="both"/>
              <w:rPr>
                <w:rFonts w:cstheme="minorEastAsia"/>
                <w:sz w:val="20"/>
                <w:szCs w:val="20"/>
                <w:highlight w:val="none"/>
              </w:rPr>
            </w:pPr>
            <w:r>
              <w:rPr>
                <w:rFonts w:cstheme="minorEastAsia"/>
                <w:sz w:val="20"/>
                <w:szCs w:val="20"/>
                <w:highlight w:val="none"/>
              </w:rPr>
              <w:t>11</w:t>
            </w:r>
            <w:r>
              <w:rPr>
                <w:rFonts w:hint="eastAsia" w:cstheme="minorEastAsia"/>
                <w:sz w:val="20"/>
                <w:szCs w:val="20"/>
                <w:highlight w:val="none"/>
              </w:rPr>
              <w:t>、支持根据</w:t>
            </w:r>
            <w:r>
              <w:rPr>
                <w:rFonts w:cstheme="minorEastAsia"/>
                <w:sz w:val="20"/>
                <w:szCs w:val="20"/>
                <w:highlight w:val="none"/>
              </w:rPr>
              <w:t>IP</w:t>
            </w:r>
            <w:r>
              <w:rPr>
                <w:rFonts w:hint="eastAsia" w:cstheme="minorEastAsia"/>
                <w:sz w:val="20"/>
                <w:szCs w:val="20"/>
                <w:highlight w:val="none"/>
              </w:rPr>
              <w:t>网段和端口段进行扫描内网的资产信息，能够识别操作系统、开放的端口、开放的服务、</w:t>
            </w:r>
            <w:r>
              <w:rPr>
                <w:rFonts w:cstheme="minorEastAsia"/>
                <w:sz w:val="20"/>
                <w:szCs w:val="20"/>
                <w:highlight w:val="none"/>
              </w:rPr>
              <w:t>MAC</w:t>
            </w:r>
            <w:r>
              <w:rPr>
                <w:rFonts w:hint="eastAsia" w:cstheme="minorEastAsia"/>
                <w:sz w:val="20"/>
                <w:szCs w:val="20"/>
                <w:highlight w:val="none"/>
              </w:rPr>
              <w:t>地址、资产名称，所得的资产数据可以自动或者人工确认装载到资产数据库进行统一管理；</w:t>
            </w:r>
          </w:p>
          <w:p>
            <w:pPr>
              <w:pStyle w:val="2"/>
              <w:jc w:val="both"/>
              <w:rPr>
                <w:rFonts w:cstheme="minorEastAsia"/>
                <w:b w:val="0"/>
                <w:bCs w:val="0"/>
                <w:sz w:val="20"/>
                <w:szCs w:val="20"/>
                <w:highlight w:val="none"/>
              </w:rPr>
            </w:pPr>
            <w:r>
              <w:rPr>
                <w:rFonts w:hint="eastAsia" w:cstheme="minorEastAsia"/>
                <w:b w:val="0"/>
                <w:bCs w:val="0"/>
                <w:sz w:val="20"/>
                <w:szCs w:val="20"/>
                <w:highlight w:val="none"/>
              </w:rPr>
              <w:t>1</w:t>
            </w:r>
            <w:r>
              <w:rPr>
                <w:rFonts w:cstheme="minorEastAsia"/>
                <w:b w:val="0"/>
                <w:bCs w:val="0"/>
                <w:sz w:val="20"/>
                <w:szCs w:val="20"/>
                <w:highlight w:val="none"/>
              </w:rPr>
              <w:t>2</w:t>
            </w:r>
            <w:r>
              <w:rPr>
                <w:rFonts w:hint="eastAsia" w:cstheme="minorEastAsia"/>
                <w:b w:val="0"/>
                <w:bCs w:val="0"/>
                <w:sz w:val="20"/>
                <w:szCs w:val="20"/>
                <w:highlight w:val="none"/>
              </w:rPr>
              <w:t>、</w:t>
            </w:r>
            <w:r>
              <w:rPr>
                <w:rFonts w:hint="eastAsia" w:cs="Times New Roman"/>
                <w:sz w:val="20"/>
                <w:szCs w:val="20"/>
                <w:highlight w:val="none"/>
              </w:rPr>
              <w:t>▲</w:t>
            </w:r>
            <w:r>
              <w:rPr>
                <w:rFonts w:hint="eastAsia" w:cstheme="minorEastAsia"/>
                <w:b w:val="0"/>
                <w:bCs w:val="0"/>
                <w:sz w:val="20"/>
                <w:szCs w:val="20"/>
                <w:highlight w:val="none"/>
              </w:rPr>
              <w:t>支持知识库管理，</w:t>
            </w:r>
            <w:r>
              <w:rPr>
                <w:rFonts w:cstheme="minorEastAsia"/>
                <w:b w:val="0"/>
                <w:bCs w:val="0"/>
                <w:sz w:val="20"/>
                <w:szCs w:val="20"/>
                <w:highlight w:val="none"/>
              </w:rPr>
              <w:t>支持对规则、指标、安全事件进行统一管理</w:t>
            </w:r>
            <w:r>
              <w:rPr>
                <w:rFonts w:hint="eastAsia" w:cstheme="minorEastAsia"/>
                <w:b w:val="0"/>
                <w:bCs w:val="0"/>
                <w:sz w:val="20"/>
                <w:szCs w:val="20"/>
                <w:highlight w:val="none"/>
              </w:rPr>
              <w:t>；支持内置规则库，包括违规行为、恶意代码、攻击行为等；支持规则的新增和删除；支持</w:t>
            </w:r>
            <w:r>
              <w:rPr>
                <w:rFonts w:cstheme="minorEastAsia"/>
                <w:b w:val="0"/>
                <w:bCs w:val="0"/>
                <w:sz w:val="20"/>
                <w:szCs w:val="20"/>
                <w:highlight w:val="none"/>
              </w:rPr>
              <w:t>内置指标库，包括指标名称、分类、级别、指标区间(最大事件数)权重</w:t>
            </w:r>
            <w:r>
              <w:rPr>
                <w:rFonts w:hint="eastAsia" w:cstheme="minorEastAsia"/>
                <w:b w:val="0"/>
                <w:bCs w:val="0"/>
                <w:sz w:val="20"/>
                <w:szCs w:val="20"/>
                <w:highlight w:val="none"/>
              </w:rPr>
              <w:t>；</w:t>
            </w:r>
            <w:r>
              <w:rPr>
                <w:rFonts w:cstheme="minorEastAsia"/>
                <w:b w:val="0"/>
                <w:bCs w:val="0"/>
                <w:sz w:val="20"/>
                <w:szCs w:val="20"/>
                <w:highlight w:val="none"/>
              </w:rPr>
              <w:t>支持指标的新建和删除</w:t>
            </w:r>
            <w:r>
              <w:rPr>
                <w:rFonts w:hint="eastAsia" w:cstheme="minorEastAsia"/>
                <w:b w:val="0"/>
                <w:bCs w:val="0"/>
                <w:sz w:val="20"/>
                <w:szCs w:val="20"/>
                <w:highlight w:val="none"/>
              </w:rPr>
              <w:t>；支持</w:t>
            </w:r>
            <w:r>
              <w:rPr>
                <w:rFonts w:cstheme="minorEastAsia"/>
                <w:b w:val="0"/>
                <w:bCs w:val="0"/>
                <w:sz w:val="20"/>
                <w:szCs w:val="20"/>
                <w:highlight w:val="none"/>
              </w:rPr>
              <w:t>内置事件分级分类表，包括输入字段、规则、输出字段、输出值、设备类型、优先级等</w:t>
            </w:r>
            <w:r>
              <w:rPr>
                <w:rFonts w:hint="eastAsia" w:cstheme="minorEastAsia"/>
                <w:b w:val="0"/>
                <w:bCs w:val="0"/>
                <w:sz w:val="20"/>
                <w:szCs w:val="20"/>
                <w:highlight w:val="none"/>
              </w:rPr>
              <w:t>；</w:t>
            </w:r>
            <w:r>
              <w:rPr>
                <w:rFonts w:cstheme="minorEastAsia"/>
                <w:b w:val="0"/>
                <w:bCs w:val="0"/>
                <w:sz w:val="20"/>
                <w:szCs w:val="20"/>
                <w:highlight w:val="none"/>
              </w:rPr>
              <w:t>支持事件的新增和删除</w:t>
            </w:r>
            <w:r>
              <w:rPr>
                <w:rFonts w:hint="eastAsia" w:cstheme="minorEastAsia"/>
                <w:color w:val="000000" w:themeColor="text1"/>
                <w:sz w:val="20"/>
                <w:szCs w:val="20"/>
                <w:highlight w:val="none"/>
                <w14:textFill>
                  <w14:solidFill>
                    <w14:schemeClr w14:val="tx1"/>
                  </w14:solidFill>
                </w14:textFill>
              </w:rPr>
              <w:t>（提供由公安部相关检测机构出具的检验检测报告，并加盖投标人公章）</w:t>
            </w:r>
            <w:r>
              <w:rPr>
                <w:rFonts w:hint="eastAsia" w:cstheme="minorEastAsia"/>
                <w:sz w:val="20"/>
                <w:highlight w:val="none"/>
              </w:rPr>
              <w:t>；</w:t>
            </w:r>
          </w:p>
          <w:p>
            <w:pPr>
              <w:numPr>
                <w:ilvl w:val="255"/>
                <w:numId w:val="0"/>
              </w:numPr>
              <w:adjustRightInd w:val="0"/>
              <w:jc w:val="both"/>
              <w:rPr>
                <w:rFonts w:cstheme="minorEastAsia"/>
                <w:sz w:val="20"/>
                <w:szCs w:val="20"/>
                <w:highlight w:val="none"/>
              </w:rPr>
            </w:pPr>
            <w:r>
              <w:rPr>
                <w:rFonts w:cstheme="minorEastAsia"/>
                <w:sz w:val="20"/>
                <w:szCs w:val="20"/>
                <w:highlight w:val="none"/>
              </w:rPr>
              <w:t>13</w:t>
            </w:r>
            <w:r>
              <w:rPr>
                <w:rFonts w:hint="eastAsia" w:cstheme="minorEastAsia"/>
                <w:sz w:val="20"/>
                <w:szCs w:val="20"/>
                <w:highlight w:val="none"/>
              </w:rPr>
              <w:t>、支持根据设定的安全域网段，自动生成网络拓扑，将各类资产及资产间的互访关联关系，以逻辑拓扑的方式进行展现，支持用户手动修改拓扑图摆放位置，支持在拓扑图上展示资产的详细信息；</w:t>
            </w:r>
          </w:p>
          <w:p>
            <w:pPr>
              <w:numPr>
                <w:ilvl w:val="255"/>
                <w:numId w:val="0"/>
              </w:numPr>
              <w:adjustRightInd w:val="0"/>
              <w:jc w:val="both"/>
              <w:rPr>
                <w:rFonts w:cstheme="minorEastAsia"/>
                <w:sz w:val="20"/>
                <w:szCs w:val="20"/>
                <w:highlight w:val="none"/>
              </w:rPr>
            </w:pPr>
            <w:r>
              <w:rPr>
                <w:rFonts w:hint="eastAsia" w:cstheme="minorEastAsia"/>
                <w:sz w:val="20"/>
                <w:szCs w:val="20"/>
                <w:highlight w:val="none"/>
              </w:rPr>
              <w:t>14、支持跳转到详细信息页面，支持更多维度信息查看与处置操作，包括确认、忽略、加白、封堵、剧本关联等。</w:t>
            </w:r>
          </w:p>
          <w:p>
            <w:pPr>
              <w:numPr>
                <w:ilvl w:val="255"/>
                <w:numId w:val="0"/>
              </w:numPr>
              <w:adjustRightInd w:val="0"/>
              <w:jc w:val="both"/>
              <w:rPr>
                <w:rFonts w:cstheme="minorEastAsia"/>
                <w:sz w:val="20"/>
                <w:szCs w:val="20"/>
                <w:highlight w:val="none"/>
              </w:rPr>
            </w:pPr>
            <w:r>
              <w:rPr>
                <w:rFonts w:hint="eastAsia" w:cstheme="minorEastAsia"/>
                <w:sz w:val="20"/>
                <w:szCs w:val="20"/>
                <w:highlight w:val="none"/>
              </w:rPr>
              <w:t>1</w:t>
            </w:r>
            <w:r>
              <w:rPr>
                <w:rFonts w:cstheme="minorEastAsia"/>
                <w:sz w:val="20"/>
                <w:szCs w:val="20"/>
                <w:highlight w:val="none"/>
              </w:rPr>
              <w:t>5</w:t>
            </w:r>
            <w:r>
              <w:rPr>
                <w:rFonts w:hint="eastAsia" w:cstheme="minorEastAsia"/>
                <w:sz w:val="20"/>
                <w:szCs w:val="20"/>
                <w:highlight w:val="none"/>
              </w:rPr>
              <w:t>、为保证产品自主可控且稳定可靠，产品需提供</w:t>
            </w:r>
            <w:r>
              <w:rPr>
                <w:rFonts w:hint="eastAsia" w:cstheme="minorEastAsia"/>
                <w:b/>
                <w:bCs/>
                <w:sz w:val="20"/>
                <w:szCs w:val="20"/>
                <w:highlight w:val="none"/>
              </w:rPr>
              <w:t>《计算机软件著作权登记证书》、《软件产品证书》、</w:t>
            </w:r>
            <w:r>
              <w:rPr>
                <w:rFonts w:cstheme="minorEastAsia"/>
                <w:b/>
                <w:bCs/>
                <w:sz w:val="20"/>
                <w:szCs w:val="20"/>
                <w:highlight w:val="none"/>
              </w:rPr>
              <w:t>《计算机信息系统安全专用产品销售许可证》</w:t>
            </w:r>
            <w:r>
              <w:rPr>
                <w:rFonts w:hint="eastAsia" w:cstheme="minorEastAsia"/>
                <w:sz w:val="20"/>
                <w:szCs w:val="20"/>
                <w:highlight w:val="none"/>
              </w:rPr>
              <w:t>以及</w:t>
            </w:r>
            <w:r>
              <w:rPr>
                <w:rFonts w:cstheme="minorEastAsia"/>
                <w:b/>
                <w:bCs/>
                <w:sz w:val="20"/>
                <w:szCs w:val="20"/>
                <w:highlight w:val="none"/>
              </w:rPr>
              <w:t>《</w:t>
            </w:r>
            <w:r>
              <w:rPr>
                <w:rFonts w:hint="eastAsia" w:cstheme="minorEastAsia"/>
                <w:b/>
                <w:bCs/>
                <w:sz w:val="20"/>
                <w:szCs w:val="20"/>
                <w:highlight w:val="none"/>
              </w:rPr>
              <w:t>I</w:t>
            </w:r>
            <w:r>
              <w:rPr>
                <w:rFonts w:cstheme="minorEastAsia"/>
                <w:b/>
                <w:bCs/>
                <w:sz w:val="20"/>
                <w:szCs w:val="20"/>
                <w:highlight w:val="none"/>
              </w:rPr>
              <w:t>T产品信息安全认证证书》</w:t>
            </w:r>
            <w:r>
              <w:rPr>
                <w:rFonts w:hint="eastAsia" w:cstheme="minorEastAsia"/>
                <w:sz w:val="20"/>
                <w:szCs w:val="20"/>
                <w:highlight w:val="none"/>
              </w:rPr>
              <w:t>复印件</w:t>
            </w:r>
            <w:r>
              <w:rPr>
                <w:rFonts w:hint="eastAsia" w:cstheme="minorEastAsia"/>
                <w:sz w:val="20"/>
                <w:highlight w:val="none"/>
              </w:rPr>
              <w:t>并加盖投标人公章</w:t>
            </w:r>
            <w:r>
              <w:rPr>
                <w:rFonts w:hint="eastAsia" w:cstheme="minorEastAsia"/>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平台硬件</w:t>
            </w:r>
          </w:p>
        </w:tc>
        <w:tc>
          <w:tcPr>
            <w:tcW w:w="5682" w:type="dxa"/>
            <w:vAlign w:val="center"/>
          </w:tcPr>
          <w:p>
            <w:pPr>
              <w:pStyle w:val="2"/>
              <w:numPr>
                <w:ilvl w:val="255"/>
                <w:numId w:val="0"/>
              </w:numPr>
              <w:adjustRightInd w:val="0"/>
              <w:jc w:val="both"/>
              <w:rPr>
                <w:rFonts w:cstheme="minorEastAsia"/>
                <w:b w:val="0"/>
                <w:bCs w:val="0"/>
                <w:color w:val="000000"/>
                <w:sz w:val="20"/>
                <w:szCs w:val="20"/>
                <w:highlight w:val="none"/>
              </w:rPr>
            </w:pPr>
            <w:r>
              <w:rPr>
                <w:rFonts w:hint="eastAsia" w:cstheme="minorEastAsia"/>
                <w:b w:val="0"/>
                <w:bCs w:val="0"/>
                <w:sz w:val="20"/>
                <w:szCs w:val="20"/>
                <w:highlight w:val="none"/>
              </w:rPr>
              <w:t>机架式机箱不低于750W，双电源，2U，内存不低于256G，硬盘不低于4T*12（支持RAID），不低于4个千兆电口。支持至少200个日志源资产，支持不低于2GB的镜像流量，数据采集和处理性能≥20000EPS；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流量监测探针</w:t>
            </w:r>
          </w:p>
        </w:tc>
        <w:tc>
          <w:tcPr>
            <w:tcW w:w="5682" w:type="dxa"/>
            <w:vAlign w:val="center"/>
          </w:tcPr>
          <w:p>
            <w:pPr>
              <w:pStyle w:val="2"/>
              <w:adjustRightInd w:val="0"/>
              <w:jc w:val="both"/>
              <w:rPr>
                <w:rFonts w:cs="Times New Roman"/>
                <w:b w:val="0"/>
                <w:bCs w:val="0"/>
                <w:sz w:val="20"/>
                <w:szCs w:val="20"/>
                <w:highlight w:val="none"/>
              </w:rPr>
            </w:pPr>
            <w:r>
              <w:rPr>
                <w:rFonts w:cs="Times New Roman"/>
                <w:b w:val="0"/>
                <w:bCs w:val="0"/>
                <w:sz w:val="20"/>
                <w:szCs w:val="20"/>
                <w:highlight w:val="none"/>
              </w:rPr>
              <w:t>1</w:t>
            </w:r>
            <w:r>
              <w:rPr>
                <w:rFonts w:hint="eastAsia" w:cs="Times New Roman"/>
                <w:b w:val="0"/>
                <w:bCs w:val="0"/>
                <w:sz w:val="20"/>
                <w:szCs w:val="20"/>
                <w:highlight w:val="none"/>
              </w:rPr>
              <w:t>、标准</w:t>
            </w:r>
            <w:r>
              <w:rPr>
                <w:rFonts w:cs="Times New Roman"/>
                <w:b w:val="0"/>
                <w:bCs w:val="0"/>
                <w:sz w:val="20"/>
                <w:szCs w:val="20"/>
                <w:highlight w:val="none"/>
              </w:rPr>
              <w:t>1U</w:t>
            </w:r>
            <w:r>
              <w:rPr>
                <w:rFonts w:hint="eastAsia" w:cs="Times New Roman"/>
                <w:b w:val="0"/>
                <w:bCs w:val="0"/>
                <w:sz w:val="20"/>
                <w:szCs w:val="20"/>
                <w:highlight w:val="none"/>
              </w:rPr>
              <w:t>软硬件一体化，内存不低于1</w:t>
            </w:r>
            <w:r>
              <w:rPr>
                <w:rFonts w:cs="Times New Roman"/>
                <w:b w:val="0"/>
                <w:bCs w:val="0"/>
                <w:sz w:val="20"/>
                <w:szCs w:val="20"/>
                <w:highlight w:val="none"/>
              </w:rPr>
              <w:t>6G</w:t>
            </w:r>
            <w:r>
              <w:rPr>
                <w:rFonts w:hint="eastAsia" w:cs="Times New Roman"/>
                <w:b w:val="0"/>
                <w:bCs w:val="0"/>
                <w:sz w:val="20"/>
                <w:szCs w:val="20"/>
                <w:highlight w:val="none"/>
              </w:rPr>
              <w:t>、</w:t>
            </w:r>
            <w:r>
              <w:rPr>
                <w:rFonts w:cs="Times New Roman"/>
                <w:b w:val="0"/>
                <w:bCs w:val="0"/>
                <w:sz w:val="20"/>
                <w:szCs w:val="20"/>
                <w:highlight w:val="none"/>
              </w:rPr>
              <w:t>GE</w:t>
            </w:r>
            <w:r>
              <w:rPr>
                <w:rFonts w:hint="eastAsia" w:cs="Times New Roman"/>
                <w:b w:val="0"/>
                <w:bCs w:val="0"/>
                <w:sz w:val="20"/>
                <w:szCs w:val="20"/>
                <w:highlight w:val="none"/>
              </w:rPr>
              <w:t>电业务口不低于4个、不低于</w:t>
            </w:r>
            <w:r>
              <w:rPr>
                <w:rFonts w:cs="Times New Roman"/>
                <w:b w:val="0"/>
                <w:bCs w:val="0"/>
                <w:sz w:val="20"/>
                <w:szCs w:val="20"/>
                <w:highlight w:val="none"/>
              </w:rPr>
              <w:t>2TB</w:t>
            </w:r>
            <w:r>
              <w:rPr>
                <w:rFonts w:hint="eastAsia" w:cs="Times New Roman"/>
                <w:b w:val="0"/>
                <w:bCs w:val="0"/>
                <w:sz w:val="20"/>
                <w:szCs w:val="20"/>
                <w:highlight w:val="none"/>
              </w:rPr>
              <w:t>硬盘，</w:t>
            </w:r>
            <w:r>
              <w:rPr>
                <w:rFonts w:cs="Times New Roman"/>
                <w:b w:val="0"/>
                <w:bCs w:val="0"/>
                <w:sz w:val="20"/>
                <w:szCs w:val="20"/>
                <w:highlight w:val="none"/>
              </w:rPr>
              <w:t>2*</w:t>
            </w:r>
            <w:r>
              <w:rPr>
                <w:rFonts w:hint="eastAsia" w:cs="Times New Roman"/>
                <w:b w:val="0"/>
                <w:bCs w:val="0"/>
                <w:sz w:val="20"/>
                <w:szCs w:val="20"/>
                <w:highlight w:val="none"/>
              </w:rPr>
              <w:t>电源，吞吐量不低于</w:t>
            </w:r>
            <w:r>
              <w:rPr>
                <w:rFonts w:cs="Times New Roman"/>
                <w:b w:val="0"/>
                <w:bCs w:val="0"/>
                <w:sz w:val="20"/>
                <w:szCs w:val="20"/>
                <w:highlight w:val="none"/>
              </w:rPr>
              <w:t>1Gbps</w:t>
            </w:r>
            <w:r>
              <w:rPr>
                <w:rFonts w:hint="eastAsia" w:cs="Times New Roman"/>
                <w:b w:val="0"/>
                <w:bCs w:val="0"/>
                <w:sz w:val="20"/>
                <w:szCs w:val="20"/>
                <w:highlight w:val="none"/>
              </w:rPr>
              <w:t>。</w:t>
            </w:r>
          </w:p>
          <w:p>
            <w:pPr>
              <w:pStyle w:val="2"/>
              <w:adjustRightInd w:val="0"/>
              <w:jc w:val="both"/>
              <w:rPr>
                <w:rFonts w:cs="Times New Roman"/>
                <w:b w:val="0"/>
                <w:bCs w:val="0"/>
                <w:sz w:val="20"/>
                <w:szCs w:val="20"/>
                <w:highlight w:val="none"/>
              </w:rPr>
            </w:pPr>
            <w:r>
              <w:rPr>
                <w:rFonts w:cs="Times New Roman"/>
                <w:b w:val="0"/>
                <w:bCs w:val="0"/>
                <w:sz w:val="20"/>
                <w:szCs w:val="20"/>
                <w:highlight w:val="none"/>
              </w:rPr>
              <w:t>2</w:t>
            </w:r>
            <w:r>
              <w:rPr>
                <w:rFonts w:hint="eastAsia" w:cs="Times New Roman"/>
                <w:b w:val="0"/>
                <w:bCs w:val="0"/>
                <w:sz w:val="20"/>
                <w:szCs w:val="20"/>
                <w:highlight w:val="none"/>
              </w:rPr>
              <w:t>、产品应具备安全监测、未知威胁分析、监测策略、响应处理、报表和统计、升级、标识与鉴别、安全管理、审计日志等基础能力</w:t>
            </w:r>
            <w:r>
              <w:rPr>
                <w:rFonts w:hint="eastAsia" w:cs="Times New Roman"/>
                <w:sz w:val="20"/>
                <w:szCs w:val="20"/>
                <w:highlight w:val="none"/>
              </w:rPr>
              <w:t>；</w:t>
            </w:r>
          </w:p>
          <w:p>
            <w:pPr>
              <w:pStyle w:val="2"/>
              <w:adjustRightInd w:val="0"/>
              <w:jc w:val="both"/>
              <w:rPr>
                <w:rFonts w:cs="Times New Roman"/>
                <w:b w:val="0"/>
                <w:bCs w:val="0"/>
                <w:sz w:val="20"/>
                <w:szCs w:val="20"/>
                <w:highlight w:val="none"/>
              </w:rPr>
            </w:pPr>
            <w:r>
              <w:rPr>
                <w:rFonts w:cs="Times New Roman"/>
                <w:b w:val="0"/>
                <w:bCs w:val="0"/>
                <w:sz w:val="20"/>
                <w:szCs w:val="20"/>
                <w:highlight w:val="none"/>
              </w:rPr>
              <w:t>3</w:t>
            </w:r>
            <w:r>
              <w:rPr>
                <w:rFonts w:hint="eastAsia" w:cs="Times New Roman"/>
                <w:b w:val="0"/>
                <w:bCs w:val="0"/>
                <w:sz w:val="20"/>
                <w:szCs w:val="20"/>
                <w:highlight w:val="none"/>
              </w:rPr>
              <w:t>、支持超过</w:t>
            </w:r>
            <w:r>
              <w:rPr>
                <w:rFonts w:cs="Times New Roman"/>
                <w:b w:val="0"/>
                <w:bCs w:val="0"/>
                <w:sz w:val="20"/>
                <w:szCs w:val="20"/>
                <w:highlight w:val="none"/>
              </w:rPr>
              <w:t xml:space="preserve"> 100 </w:t>
            </w:r>
            <w:r>
              <w:rPr>
                <w:rFonts w:hint="eastAsia" w:cs="Times New Roman"/>
                <w:b w:val="0"/>
                <w:bCs w:val="0"/>
                <w:sz w:val="20"/>
                <w:szCs w:val="20"/>
                <w:highlight w:val="none"/>
              </w:rPr>
              <w:t>种以上的网络协议支持，如</w:t>
            </w:r>
            <w:r>
              <w:rPr>
                <w:rFonts w:cs="Times New Roman"/>
                <w:b w:val="0"/>
                <w:bCs w:val="0"/>
                <w:sz w:val="20"/>
                <w:szCs w:val="20"/>
                <w:highlight w:val="none"/>
              </w:rPr>
              <w:t xml:space="preserve"> HTTP, FTP, TFTP, SMTP, POP3, IMAP, SNMP, IRC, DNS, DHCP, P2P, SMB, RDP, VNC, TELNET, TCP, UDP</w:t>
            </w:r>
            <w:r>
              <w:rPr>
                <w:rFonts w:hint="eastAsia" w:cs="Times New Roman"/>
                <w:b w:val="0"/>
                <w:bCs w:val="0"/>
                <w:sz w:val="20"/>
                <w:szCs w:val="20"/>
                <w:highlight w:val="none"/>
              </w:rPr>
              <w:t>等协议；</w:t>
            </w:r>
          </w:p>
          <w:p>
            <w:pPr>
              <w:pStyle w:val="2"/>
              <w:adjustRightInd w:val="0"/>
              <w:jc w:val="both"/>
              <w:rPr>
                <w:rFonts w:cs="Times New Roman"/>
                <w:b w:val="0"/>
                <w:bCs w:val="0"/>
                <w:sz w:val="20"/>
                <w:szCs w:val="20"/>
                <w:highlight w:val="none"/>
              </w:rPr>
            </w:pPr>
            <w:r>
              <w:rPr>
                <w:rFonts w:hint="eastAsia" w:cs="Times New Roman"/>
                <w:b w:val="0"/>
                <w:bCs w:val="0"/>
                <w:sz w:val="20"/>
                <w:szCs w:val="20"/>
                <w:highlight w:val="none"/>
              </w:rPr>
              <w:t>4、▲支持动态沙箱分析，包括沙箱检测能力与沙箱扩展能力；支持进程操作行为、文件操作行为、系统配置操作行为、网络通信行为等检测能力；支持事件关联分析，支持以可视化方式提供指定时间段内，被监测网络中的特定主机与其他主机之间的相关联的已知、未知威胁事件与异常网络行为；支持以可视化方式提供指定时间段内，被监测网络中指定威胁事件影响的主机以及相关联的其他威胁事件与异常网络行为；支持以可视化方式提供指定时间段内，被监测网络中异常网络行为相关的主机和威胁事件；支持采用智能化和自动化方式将多个相关联和类似的攻击事件进行归并</w:t>
            </w:r>
            <w:r>
              <w:rPr>
                <w:rFonts w:hint="eastAsia" w:cstheme="minorEastAsia"/>
                <w:sz w:val="20"/>
                <w:highlight w:val="none"/>
              </w:rPr>
              <w:t>（</w:t>
            </w:r>
            <w:r>
              <w:rPr>
                <w:rFonts w:hint="eastAsia" w:cstheme="minorEastAsia"/>
                <w:color w:val="000000" w:themeColor="text1"/>
                <w:sz w:val="20"/>
                <w:szCs w:val="20"/>
                <w:highlight w:val="none"/>
                <w14:textFill>
                  <w14:solidFill>
                    <w14:schemeClr w14:val="tx1"/>
                  </w14:solidFill>
                </w14:textFill>
              </w:rPr>
              <w:t>提供由国家计算机病毒应急处理中心</w:t>
            </w:r>
            <w:r>
              <w:rPr>
                <w:rFonts w:hint="eastAsia" w:cstheme="minorEastAsia"/>
                <w:color w:val="000000" w:themeColor="text1"/>
                <w:sz w:val="20"/>
                <w:szCs w:val="20"/>
                <w:highlight w:val="none"/>
                <w:lang w:eastAsia="zh-CN"/>
                <w14:textFill>
                  <w14:solidFill>
                    <w14:schemeClr w14:val="tx1"/>
                  </w14:solidFill>
                </w14:textFill>
              </w:rPr>
              <w:t>相关</w:t>
            </w:r>
            <w:r>
              <w:rPr>
                <w:rFonts w:hint="eastAsia" w:cstheme="minorEastAsia"/>
                <w:color w:val="000000" w:themeColor="text1"/>
                <w:sz w:val="20"/>
                <w:szCs w:val="20"/>
                <w:highlight w:val="none"/>
                <w14:textFill>
                  <w14:solidFill>
                    <w14:schemeClr w14:val="tx1"/>
                  </w14:solidFill>
                </w14:textFill>
              </w:rPr>
              <w:t>检测机构</w:t>
            </w:r>
            <w:r>
              <w:rPr>
                <w:rFonts w:hint="eastAsia" w:cstheme="minorEastAsia"/>
                <w:color w:val="000000" w:themeColor="text1"/>
                <w:sz w:val="20"/>
                <w:szCs w:val="20"/>
                <w:highlight w:val="none"/>
                <w:lang w:eastAsia="zh-CN"/>
                <w14:textFill>
                  <w14:solidFill>
                    <w14:schemeClr w14:val="tx1"/>
                  </w14:solidFill>
                </w14:textFill>
              </w:rPr>
              <w:t>或产品检验实验室</w:t>
            </w:r>
            <w:r>
              <w:rPr>
                <w:rFonts w:hint="eastAsia" w:cstheme="minorEastAsia"/>
                <w:color w:val="000000" w:themeColor="text1"/>
                <w:sz w:val="20"/>
                <w:szCs w:val="20"/>
                <w:highlight w:val="none"/>
                <w14:textFill>
                  <w14:solidFill>
                    <w14:schemeClr w14:val="tx1"/>
                  </w14:solidFill>
                </w14:textFill>
              </w:rPr>
              <w:t>出具的检验检测报告，并加盖投标人公章</w:t>
            </w:r>
            <w:r>
              <w:rPr>
                <w:rFonts w:hint="eastAsia" w:cstheme="minorEastAsia"/>
                <w:sz w:val="20"/>
                <w:highlight w:val="none"/>
              </w:rPr>
              <w:t>）；</w:t>
            </w:r>
          </w:p>
          <w:p>
            <w:pPr>
              <w:pStyle w:val="2"/>
              <w:adjustRightInd w:val="0"/>
              <w:jc w:val="both"/>
              <w:rPr>
                <w:rFonts w:cs="Times New Roman"/>
                <w:b w:val="0"/>
                <w:bCs w:val="0"/>
                <w:sz w:val="20"/>
                <w:szCs w:val="20"/>
                <w:highlight w:val="none"/>
              </w:rPr>
            </w:pPr>
            <w:r>
              <w:rPr>
                <w:rFonts w:hint="eastAsia" w:cs="Times New Roman"/>
                <w:b w:val="0"/>
                <w:bCs w:val="0"/>
                <w:sz w:val="20"/>
                <w:szCs w:val="20"/>
                <w:highlight w:val="none"/>
              </w:rPr>
              <w:t>6、支持</w:t>
            </w:r>
            <w:r>
              <w:rPr>
                <w:rFonts w:cs="Times New Roman"/>
                <w:b w:val="0"/>
                <w:bCs w:val="0"/>
                <w:sz w:val="20"/>
                <w:szCs w:val="20"/>
                <w:highlight w:val="none"/>
              </w:rPr>
              <w:t>pcap</w:t>
            </w:r>
            <w:r>
              <w:rPr>
                <w:rFonts w:hint="eastAsia" w:cs="Times New Roman"/>
                <w:b w:val="0"/>
                <w:bCs w:val="0"/>
                <w:sz w:val="20"/>
                <w:szCs w:val="20"/>
                <w:highlight w:val="none"/>
              </w:rPr>
              <w:t>回放功能，对导入的</w:t>
            </w:r>
            <w:r>
              <w:rPr>
                <w:rFonts w:cs="Times New Roman"/>
                <w:b w:val="0"/>
                <w:bCs w:val="0"/>
                <w:sz w:val="20"/>
                <w:szCs w:val="20"/>
                <w:highlight w:val="none"/>
              </w:rPr>
              <w:t>pcap</w:t>
            </w:r>
            <w:r>
              <w:rPr>
                <w:rFonts w:hint="eastAsia" w:cs="Times New Roman"/>
                <w:b w:val="0"/>
                <w:bCs w:val="0"/>
                <w:sz w:val="20"/>
                <w:szCs w:val="20"/>
                <w:highlight w:val="none"/>
              </w:rPr>
              <w:t>进行回放并进行威胁检测，回放产生的告警必须和生产网络流量的告警分页面展示，避免干扰正常安全运营；</w:t>
            </w:r>
          </w:p>
          <w:p>
            <w:pPr>
              <w:pStyle w:val="2"/>
              <w:adjustRightInd w:val="0"/>
              <w:jc w:val="both"/>
              <w:rPr>
                <w:rFonts w:cs="Times New Roman"/>
                <w:b w:val="0"/>
                <w:bCs w:val="0"/>
                <w:sz w:val="20"/>
                <w:szCs w:val="20"/>
                <w:highlight w:val="none"/>
              </w:rPr>
            </w:pPr>
            <w:r>
              <w:rPr>
                <w:rFonts w:hint="eastAsia" w:cs="Times New Roman"/>
                <w:b w:val="0"/>
                <w:bCs w:val="0"/>
                <w:sz w:val="20"/>
                <w:szCs w:val="20"/>
                <w:highlight w:val="none"/>
              </w:rPr>
              <w:t>7、能够以文件为中心，溯源整个文件的流转记录，并以图形化方式展示出来</w:t>
            </w:r>
            <w:r>
              <w:rPr>
                <w:rFonts w:hint="eastAsia" w:cstheme="minorEastAsia"/>
                <w:b w:val="0"/>
                <w:bCs w:val="0"/>
                <w:sz w:val="20"/>
                <w:szCs w:val="20"/>
                <w:highlight w:val="none"/>
              </w:rPr>
              <w:t>（提供产品截图证明并加盖投标人公章）</w:t>
            </w:r>
            <w:r>
              <w:rPr>
                <w:rFonts w:hint="eastAsia" w:cs="Times New Roman"/>
                <w:b w:val="0"/>
                <w:bCs w:val="0"/>
                <w:sz w:val="20"/>
                <w:szCs w:val="20"/>
                <w:highlight w:val="none"/>
              </w:rPr>
              <w:t>；</w:t>
            </w:r>
          </w:p>
          <w:p>
            <w:pPr>
              <w:pStyle w:val="2"/>
              <w:adjustRightInd w:val="0"/>
              <w:jc w:val="both"/>
              <w:rPr>
                <w:rFonts w:cs="Times New Roman"/>
                <w:sz w:val="20"/>
                <w:szCs w:val="20"/>
                <w:highlight w:val="none"/>
              </w:rPr>
            </w:pPr>
            <w:r>
              <w:rPr>
                <w:rFonts w:hint="eastAsia" w:cs="Times New Roman"/>
                <w:b w:val="0"/>
                <w:bCs w:val="0"/>
                <w:sz w:val="20"/>
                <w:highlight w:val="none"/>
              </w:rPr>
              <w:t>8、支持恶意扫描行为监测，包括恶意主机扫描行为监测、恶意</w:t>
            </w:r>
            <w:r>
              <w:rPr>
                <w:rFonts w:cs="Times New Roman"/>
                <w:b w:val="0"/>
                <w:bCs w:val="0"/>
                <w:sz w:val="20"/>
                <w:highlight w:val="none"/>
              </w:rPr>
              <w:t>Web漏洞扫描行为监测</w:t>
            </w:r>
            <w:r>
              <w:rPr>
                <w:rFonts w:hint="eastAsia" w:cs="Times New Roman"/>
                <w:b w:val="0"/>
                <w:bCs w:val="0"/>
                <w:sz w:val="20"/>
                <w:highlight w:val="none"/>
              </w:rPr>
              <w:t>；支持钓鱼攻击监测，包括钓鱼网站攻击监测、钓鱼邮件攻击监测；支持漏洞攻击监测，包括操作系统漏洞攻击监测、</w:t>
            </w:r>
            <w:r>
              <w:rPr>
                <w:rFonts w:hint="eastAsia" w:cs="Times New Roman"/>
                <w:b w:val="0"/>
                <w:bCs w:val="0"/>
                <w:sz w:val="20"/>
                <w:szCs w:val="20"/>
                <w:highlight w:val="none"/>
              </w:rPr>
              <w:t>应用服务器程序漏洞攻击监测</w:t>
            </w:r>
            <w:r>
              <w:rPr>
                <w:rFonts w:hint="eastAsia" w:cs="Times New Roman"/>
                <w:b w:val="0"/>
                <w:bCs w:val="0"/>
                <w:sz w:val="20"/>
                <w:highlight w:val="none"/>
              </w:rPr>
              <w:t>、浏览器漏洞攻击监测、文件格式漏洞攻击监测、</w:t>
            </w:r>
            <w:r>
              <w:rPr>
                <w:rFonts w:cs="Times New Roman"/>
                <w:b w:val="0"/>
                <w:bCs w:val="0"/>
                <w:sz w:val="20"/>
                <w:highlight w:val="none"/>
              </w:rPr>
              <w:t>WEB漏洞攻击监测</w:t>
            </w:r>
            <w:r>
              <w:rPr>
                <w:rFonts w:hint="eastAsia" w:cs="Times New Roman"/>
                <w:b w:val="0"/>
                <w:bCs w:val="0"/>
                <w:sz w:val="20"/>
                <w:highlight w:val="none"/>
              </w:rPr>
              <w:t>；支持恶意程序攻击监测，包括恶意程序传播监测、恶意程序行为监测；支持逃避监测防护，包括漏洞攻击逃避监测防护、恶意程序逃避监测防护、隐蔽信道逃避监测防护</w:t>
            </w:r>
            <w:r>
              <w:rPr>
                <w:rFonts w:hint="eastAsia" w:cstheme="minorEastAsia"/>
                <w:sz w:val="20"/>
                <w:highlight w:val="none"/>
              </w:rPr>
              <w:t>；</w:t>
            </w:r>
          </w:p>
          <w:p>
            <w:pPr>
              <w:jc w:val="both"/>
              <w:rPr>
                <w:rFonts w:cs="Times New Roman"/>
                <w:sz w:val="20"/>
                <w:szCs w:val="20"/>
                <w:highlight w:val="none"/>
              </w:rPr>
            </w:pPr>
            <w:r>
              <w:rPr>
                <w:rFonts w:hint="eastAsia" w:cs="Times New Roman"/>
                <w:sz w:val="20"/>
                <w:szCs w:val="20"/>
                <w:highlight w:val="none"/>
              </w:rPr>
              <w:t>9、支持网络威胁自定义与威胁情报自定义，网络威胁能自主添加规则名称，规则等级与规则类型，语法兼容业界最常用的</w:t>
            </w:r>
            <w:r>
              <w:rPr>
                <w:rFonts w:cs="Times New Roman"/>
                <w:sz w:val="20"/>
                <w:szCs w:val="20"/>
                <w:highlight w:val="none"/>
              </w:rPr>
              <w:t>snort</w:t>
            </w:r>
            <w:r>
              <w:rPr>
                <w:rFonts w:hint="eastAsia" w:cs="Times New Roman"/>
                <w:sz w:val="20"/>
                <w:szCs w:val="20"/>
                <w:highlight w:val="none"/>
              </w:rPr>
              <w:t>规则的写法。威胁情报自定义包括</w:t>
            </w:r>
            <w:r>
              <w:rPr>
                <w:rFonts w:cs="Times New Roman"/>
                <w:sz w:val="20"/>
                <w:szCs w:val="20"/>
                <w:highlight w:val="none"/>
              </w:rPr>
              <w:t>IP</w:t>
            </w:r>
            <w:r>
              <w:rPr>
                <w:rFonts w:hint="eastAsia" w:cs="Times New Roman"/>
                <w:sz w:val="20"/>
                <w:szCs w:val="20"/>
                <w:highlight w:val="none"/>
              </w:rPr>
              <w:t>、</w:t>
            </w:r>
            <w:r>
              <w:rPr>
                <w:rFonts w:cs="Times New Roman"/>
                <w:sz w:val="20"/>
                <w:szCs w:val="20"/>
                <w:highlight w:val="none"/>
              </w:rPr>
              <w:t>URL</w:t>
            </w:r>
            <w:r>
              <w:rPr>
                <w:rFonts w:hint="eastAsia" w:cs="Times New Roman"/>
                <w:sz w:val="20"/>
                <w:szCs w:val="20"/>
                <w:highlight w:val="none"/>
              </w:rPr>
              <w:t>、</w:t>
            </w:r>
            <w:r>
              <w:rPr>
                <w:rFonts w:cs="Times New Roman"/>
                <w:sz w:val="20"/>
                <w:szCs w:val="20"/>
                <w:highlight w:val="none"/>
              </w:rPr>
              <w:t>DOMAIN</w:t>
            </w:r>
            <w:r>
              <w:rPr>
                <w:rFonts w:hint="eastAsia" w:cs="Times New Roman"/>
                <w:sz w:val="20"/>
                <w:szCs w:val="20"/>
                <w:highlight w:val="none"/>
              </w:rPr>
              <w:t>、文件</w:t>
            </w:r>
            <w:r>
              <w:rPr>
                <w:rFonts w:cs="Times New Roman"/>
                <w:sz w:val="20"/>
                <w:szCs w:val="20"/>
                <w:highlight w:val="none"/>
              </w:rPr>
              <w:t>HASH</w:t>
            </w:r>
            <w:r>
              <w:rPr>
                <w:rFonts w:hint="eastAsia" w:cs="Times New Roman"/>
                <w:sz w:val="20"/>
                <w:szCs w:val="20"/>
                <w:highlight w:val="none"/>
              </w:rPr>
              <w:t>四种类型，可以根据具体的使用场景进行选择。威胁情报自定义的规则可以支持多个同类对象的集合，比如对多个</w:t>
            </w:r>
            <w:r>
              <w:rPr>
                <w:rFonts w:cs="Times New Roman"/>
                <w:sz w:val="20"/>
                <w:szCs w:val="20"/>
                <w:highlight w:val="none"/>
              </w:rPr>
              <w:t>IP</w:t>
            </w:r>
            <w:r>
              <w:rPr>
                <w:rFonts w:hint="eastAsia" w:cs="Times New Roman"/>
                <w:sz w:val="20"/>
                <w:szCs w:val="20"/>
                <w:highlight w:val="none"/>
              </w:rPr>
              <w:t>同时进行监控；</w:t>
            </w:r>
          </w:p>
          <w:p>
            <w:pPr>
              <w:pStyle w:val="2"/>
              <w:jc w:val="both"/>
              <w:rPr>
                <w:rFonts w:cs="Times New Roman"/>
                <w:b w:val="0"/>
                <w:bCs w:val="0"/>
                <w:sz w:val="20"/>
                <w:highlight w:val="none"/>
              </w:rPr>
            </w:pPr>
            <w:r>
              <w:rPr>
                <w:rFonts w:hint="eastAsia" w:cs="Times New Roman"/>
                <w:b w:val="0"/>
                <w:bCs w:val="0"/>
                <w:sz w:val="20"/>
                <w:highlight w:val="none"/>
              </w:rPr>
              <w:t>10、</w:t>
            </w:r>
            <w:r>
              <w:rPr>
                <w:rFonts w:hint="eastAsia" w:cstheme="minorEastAsia"/>
                <w:b w:val="0"/>
                <w:bCs w:val="0"/>
                <w:sz w:val="20"/>
                <w:szCs w:val="20"/>
                <w:highlight w:val="none"/>
              </w:rPr>
              <w:t>为保证产品自主可控且稳定可靠，产品需提供</w:t>
            </w:r>
            <w:r>
              <w:rPr>
                <w:rFonts w:hint="eastAsia" w:cstheme="minorEastAsia"/>
                <w:sz w:val="20"/>
                <w:szCs w:val="20"/>
                <w:highlight w:val="none"/>
              </w:rPr>
              <w:t>《计算机软件著作权登记证书》、《软件产品证书》、《计算机信息系统安全专用产品销售许可证》复印件</w:t>
            </w:r>
            <w:r>
              <w:rPr>
                <w:rFonts w:hint="eastAsia" w:cstheme="minorEastAsia"/>
                <w:b w:val="0"/>
                <w:bCs w:val="0"/>
                <w:sz w:val="20"/>
                <w:highlight w:val="none"/>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威胁情报订阅模块</w:t>
            </w:r>
          </w:p>
        </w:tc>
        <w:tc>
          <w:tcPr>
            <w:tcW w:w="5682" w:type="dxa"/>
            <w:vAlign w:val="center"/>
          </w:tcPr>
          <w:p>
            <w:pPr>
              <w:adjustRightInd w:val="0"/>
              <w:jc w:val="both"/>
              <w:rPr>
                <w:rFonts w:cstheme="minorEastAsia"/>
                <w:color w:val="000000"/>
                <w:sz w:val="20"/>
                <w:szCs w:val="20"/>
                <w:highlight w:val="none"/>
              </w:rPr>
            </w:pPr>
            <w:r>
              <w:rPr>
                <w:rFonts w:hint="eastAsia" w:cstheme="minorEastAsia"/>
                <w:color w:val="000000"/>
                <w:sz w:val="20"/>
                <w:szCs w:val="20"/>
                <w:highlight w:val="none"/>
              </w:rPr>
              <w:t>具备云端威胁情报订阅模块：内置威胁情报离线库并支持更新；支持采用情报数据进行实时检测防御；支持订阅高级威胁分析情报，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2</w:t>
            </w:r>
          </w:p>
        </w:tc>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终端安全管理系统</w:t>
            </w: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终端安全管理中心</w:t>
            </w:r>
          </w:p>
        </w:tc>
        <w:tc>
          <w:tcPr>
            <w:tcW w:w="5682" w:type="dxa"/>
            <w:vAlign w:val="center"/>
          </w:tcPr>
          <w:p>
            <w:pPr>
              <w:numPr>
                <w:ilvl w:val="0"/>
                <w:numId w:val="2"/>
              </w:numPr>
              <w:jc w:val="both"/>
              <w:rPr>
                <w:rFonts w:cstheme="minorEastAsia"/>
                <w:color w:val="000000"/>
                <w:sz w:val="20"/>
                <w:szCs w:val="20"/>
                <w:highlight w:val="none"/>
              </w:rPr>
            </w:pPr>
            <w:r>
              <w:rPr>
                <w:rFonts w:hint="eastAsia" w:cstheme="minorEastAsia"/>
                <w:color w:val="000000"/>
                <w:sz w:val="20"/>
                <w:szCs w:val="20"/>
                <w:highlight w:val="none"/>
              </w:rPr>
              <w:t>中心需要</w:t>
            </w:r>
            <w:r>
              <w:rPr>
                <w:rFonts w:cstheme="minorEastAsia"/>
                <w:color w:val="000000"/>
                <w:sz w:val="20"/>
                <w:szCs w:val="20"/>
                <w:highlight w:val="none"/>
              </w:rPr>
              <w:t>8G</w:t>
            </w:r>
            <w:r>
              <w:rPr>
                <w:rFonts w:hint="eastAsia" w:cstheme="minorEastAsia"/>
                <w:color w:val="000000"/>
                <w:sz w:val="20"/>
                <w:szCs w:val="20"/>
                <w:highlight w:val="none"/>
              </w:rPr>
              <w:t>及以上内存，四核及以上</w:t>
            </w:r>
            <w:r>
              <w:rPr>
                <w:rFonts w:cstheme="minorEastAsia"/>
                <w:color w:val="000000"/>
                <w:sz w:val="20"/>
                <w:szCs w:val="20"/>
                <w:highlight w:val="none"/>
              </w:rPr>
              <w:t>CPU</w:t>
            </w:r>
            <w:r>
              <w:rPr>
                <w:rFonts w:hint="eastAsia" w:cstheme="minorEastAsia"/>
                <w:color w:val="000000"/>
                <w:sz w:val="20"/>
                <w:szCs w:val="20"/>
                <w:highlight w:val="none"/>
              </w:rPr>
              <w:t>，</w:t>
            </w:r>
            <w:r>
              <w:rPr>
                <w:rFonts w:cstheme="minorEastAsia"/>
                <w:color w:val="000000"/>
                <w:sz w:val="20"/>
                <w:szCs w:val="20"/>
                <w:highlight w:val="none"/>
              </w:rPr>
              <w:t>500G</w:t>
            </w:r>
            <w:r>
              <w:rPr>
                <w:rFonts w:hint="eastAsia" w:cstheme="minorEastAsia"/>
                <w:color w:val="000000"/>
                <w:sz w:val="20"/>
                <w:szCs w:val="20"/>
                <w:highlight w:val="none"/>
              </w:rPr>
              <w:t>以上硬盘；2、提供终端统一安全防护，实现集中的管理、监控、更新和部署等能力，集中管理客户端防病毒、防火墙、Web信誉、桌面管控、EDR、资产管理等功能；</w:t>
            </w:r>
          </w:p>
          <w:p>
            <w:pPr>
              <w:jc w:val="both"/>
              <w:rPr>
                <w:rFonts w:cs="Times New Roman"/>
                <w:sz w:val="20"/>
                <w:highlight w:val="none"/>
              </w:rPr>
            </w:pPr>
            <w:r>
              <w:rPr>
                <w:rFonts w:hint="eastAsia" w:cstheme="minorEastAsia"/>
                <w:color w:val="000000"/>
                <w:sz w:val="20"/>
                <w:szCs w:val="20"/>
                <w:highlight w:val="none"/>
              </w:rPr>
              <w:t>3、含三年升级服务；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PC防护模块</w:t>
            </w:r>
          </w:p>
        </w:tc>
        <w:tc>
          <w:tcPr>
            <w:tcW w:w="5682" w:type="dxa"/>
            <w:vAlign w:val="center"/>
          </w:tcPr>
          <w:p>
            <w:pPr>
              <w:adjustRightInd w:val="0"/>
              <w:jc w:val="both"/>
              <w:rPr>
                <w:rFonts w:cs="Times New Roman"/>
                <w:sz w:val="20"/>
                <w:szCs w:val="20"/>
                <w:highlight w:val="none"/>
              </w:rPr>
            </w:pPr>
            <w:r>
              <w:rPr>
                <w:rFonts w:cs="Times New Roman"/>
                <w:sz w:val="20"/>
                <w:szCs w:val="20"/>
                <w:highlight w:val="none"/>
              </w:rPr>
              <w:t>1</w:t>
            </w:r>
            <w:r>
              <w:rPr>
                <w:rFonts w:hint="eastAsia" w:cs="Times New Roman"/>
                <w:sz w:val="20"/>
                <w:szCs w:val="20"/>
                <w:highlight w:val="none"/>
              </w:rPr>
              <w:t>、产品应具备云安全智能防护、扫描安全风险、防御未知威胁、恶意行为监控、移动设备权限管理、</w:t>
            </w:r>
            <w:r>
              <w:rPr>
                <w:rFonts w:cs="Times New Roman"/>
                <w:sz w:val="20"/>
                <w:szCs w:val="20"/>
                <w:highlight w:val="none"/>
              </w:rPr>
              <w:t>WEB</w:t>
            </w:r>
            <w:r>
              <w:rPr>
                <w:rFonts w:hint="eastAsia" w:cs="Times New Roman"/>
                <w:sz w:val="20"/>
                <w:szCs w:val="20"/>
                <w:highlight w:val="none"/>
              </w:rPr>
              <w:t>信誉、防火墙等能力；</w:t>
            </w:r>
          </w:p>
          <w:p>
            <w:pPr>
              <w:adjustRightInd w:val="0"/>
              <w:jc w:val="both"/>
              <w:rPr>
                <w:rFonts w:cs="Times New Roman"/>
                <w:sz w:val="20"/>
                <w:szCs w:val="20"/>
                <w:highlight w:val="none"/>
              </w:rPr>
            </w:pPr>
            <w:r>
              <w:rPr>
                <w:rFonts w:cs="Times New Roman"/>
                <w:sz w:val="20"/>
                <w:szCs w:val="20"/>
                <w:highlight w:val="none"/>
              </w:rPr>
              <w:t>2</w:t>
            </w:r>
            <w:r>
              <w:rPr>
                <w:rFonts w:hint="eastAsia" w:cs="Times New Roman"/>
                <w:sz w:val="20"/>
                <w:szCs w:val="20"/>
                <w:highlight w:val="none"/>
              </w:rPr>
              <w:t>、产品应支持多种处置措施，以保证对于文件多种处理的可选择性，处置措施包含但不限于：清除、隔离、删除、不予处理、拒绝访问；</w:t>
            </w:r>
          </w:p>
          <w:p>
            <w:pPr>
              <w:adjustRightInd w:val="0"/>
              <w:jc w:val="both"/>
              <w:rPr>
                <w:rFonts w:cs="Times New Roman"/>
                <w:sz w:val="20"/>
                <w:szCs w:val="20"/>
                <w:highlight w:val="none"/>
              </w:rPr>
            </w:pPr>
            <w:r>
              <w:rPr>
                <w:rFonts w:cs="Times New Roman"/>
                <w:sz w:val="20"/>
                <w:szCs w:val="20"/>
                <w:highlight w:val="none"/>
              </w:rPr>
              <w:t>3</w:t>
            </w:r>
            <w:r>
              <w:rPr>
                <w:rFonts w:hint="eastAsia" w:cs="Times New Roman"/>
                <w:sz w:val="20"/>
                <w:szCs w:val="20"/>
                <w:highlight w:val="none"/>
              </w:rPr>
              <w:t>、具备</w:t>
            </w:r>
            <w:r>
              <w:rPr>
                <w:rFonts w:cs="Times New Roman"/>
                <w:sz w:val="20"/>
                <w:szCs w:val="20"/>
                <w:highlight w:val="none"/>
              </w:rPr>
              <w:t>Web</w:t>
            </w:r>
            <w:r>
              <w:rPr>
                <w:rFonts w:hint="eastAsia" w:cs="Times New Roman"/>
                <w:sz w:val="20"/>
                <w:szCs w:val="20"/>
                <w:highlight w:val="none"/>
              </w:rPr>
              <w:t>信誉评估功能，包含</w:t>
            </w:r>
            <w:r>
              <w:rPr>
                <w:rFonts w:cs="Times New Roman"/>
                <w:sz w:val="20"/>
                <w:szCs w:val="20"/>
                <w:highlight w:val="none"/>
              </w:rPr>
              <w:t>HTTPS</w:t>
            </w:r>
            <w:r>
              <w:rPr>
                <w:rFonts w:hint="eastAsia" w:cs="Times New Roman"/>
                <w:sz w:val="20"/>
                <w:szCs w:val="20"/>
                <w:highlight w:val="none"/>
              </w:rPr>
              <w:t>通信扫描，结合云安全架构自动识别并屏蔽恶意站点，阻止病毒自动更新；</w:t>
            </w:r>
          </w:p>
          <w:p>
            <w:pPr>
              <w:adjustRightInd w:val="0"/>
              <w:jc w:val="both"/>
              <w:rPr>
                <w:rFonts w:cs="Times New Roman"/>
                <w:sz w:val="20"/>
                <w:szCs w:val="20"/>
                <w:highlight w:val="none"/>
              </w:rPr>
            </w:pPr>
            <w:r>
              <w:rPr>
                <w:rFonts w:cs="Times New Roman"/>
                <w:sz w:val="20"/>
                <w:szCs w:val="20"/>
                <w:highlight w:val="none"/>
              </w:rPr>
              <w:t>4</w:t>
            </w:r>
            <w:r>
              <w:rPr>
                <w:rFonts w:hint="eastAsia" w:cs="Times New Roman"/>
                <w:sz w:val="20"/>
                <w:szCs w:val="20"/>
                <w:highlight w:val="none"/>
              </w:rPr>
              <w:t>、▲支持扫描安全风险，包括防护主机，可保护终端免遭病毒</w:t>
            </w:r>
            <w:r>
              <w:rPr>
                <w:rFonts w:cs="Times New Roman"/>
                <w:sz w:val="20"/>
                <w:szCs w:val="20"/>
                <w:highlight w:val="none"/>
              </w:rPr>
              <w:t>/恶意软件和间谍软件/灰色软件安全风险的</w:t>
            </w:r>
            <w:r>
              <w:rPr>
                <w:rFonts w:hint="eastAsia" w:cs="Times New Roman"/>
                <w:sz w:val="20"/>
                <w:szCs w:val="20"/>
                <w:highlight w:val="none"/>
              </w:rPr>
              <w:t>侵扰；支持抑制病毒爆发，可帮助抑制爆发，如果需要立即采取措施，可通过日志跟踪安全风险和警报</w:t>
            </w:r>
            <w:r>
              <w:rPr>
                <w:rFonts w:hint="eastAsia" w:cs="Times New Roman"/>
                <w:b/>
                <w:bCs/>
                <w:sz w:val="20"/>
                <w:szCs w:val="20"/>
                <w:highlight w:val="none"/>
              </w:rPr>
              <w:t>；</w:t>
            </w:r>
            <w:r>
              <w:rPr>
                <w:rFonts w:hint="eastAsia" w:cs="Times New Roman"/>
                <w:sz w:val="20"/>
                <w:szCs w:val="20"/>
                <w:highlight w:val="none"/>
              </w:rPr>
              <w:t>支持防御未知威胁，可保护终端免受试图潜入网络的未知威胁侵扰可疑连接服务管理用户定义的全局</w:t>
            </w:r>
            <w:r>
              <w:rPr>
                <w:rFonts w:cs="Times New Roman"/>
                <w:sz w:val="20"/>
                <w:szCs w:val="20"/>
                <w:highlight w:val="none"/>
              </w:rPr>
              <w:t>IP C&amp;C列表，并监控终端与可能的 C&amp;C服务器建立的连接</w:t>
            </w:r>
            <w:r>
              <w:rPr>
                <w:rFonts w:hint="eastAsia" w:cstheme="minorEastAsia"/>
                <w:sz w:val="20"/>
                <w:highlight w:val="none"/>
              </w:rPr>
              <w:t>（</w:t>
            </w:r>
            <w:r>
              <w:rPr>
                <w:rFonts w:hint="eastAsia" w:cstheme="minorEastAsia"/>
                <w:b/>
                <w:bCs/>
                <w:color w:val="000000" w:themeColor="text1"/>
                <w:sz w:val="20"/>
                <w:szCs w:val="20"/>
                <w:highlight w:val="none"/>
                <w14:textFill>
                  <w14:solidFill>
                    <w14:schemeClr w14:val="tx1"/>
                  </w14:solidFill>
                </w14:textFill>
              </w:rPr>
              <w:t>提供由第三方检测机构出具的软件产品登记测试报告，并加盖投标人公章</w:t>
            </w:r>
            <w:r>
              <w:rPr>
                <w:rFonts w:hint="eastAsia" w:cstheme="minorEastAsia"/>
                <w:sz w:val="20"/>
                <w:highlight w:val="none"/>
              </w:rPr>
              <w:t>）</w:t>
            </w:r>
            <w:r>
              <w:rPr>
                <w:rFonts w:hint="eastAsia" w:cs="Times New Roman"/>
                <w:b/>
                <w:bCs/>
                <w:sz w:val="20"/>
                <w:szCs w:val="20"/>
                <w:highlight w:val="none"/>
              </w:rPr>
              <w:t>；</w:t>
            </w:r>
          </w:p>
          <w:p>
            <w:pPr>
              <w:adjustRightInd w:val="0"/>
              <w:jc w:val="both"/>
              <w:rPr>
                <w:rFonts w:cs="Times New Roman"/>
                <w:sz w:val="20"/>
                <w:szCs w:val="20"/>
                <w:highlight w:val="none"/>
              </w:rPr>
            </w:pPr>
            <w:r>
              <w:rPr>
                <w:rFonts w:hint="eastAsia" w:cs="Times New Roman"/>
                <w:sz w:val="20"/>
                <w:szCs w:val="20"/>
                <w:highlight w:val="none"/>
              </w:rPr>
              <w:t>5、具备勒索软件防护功能，需阻止勒索软件关联的进程，需具备检测到勒索行为前自动备份和恢复文档的能力；</w:t>
            </w:r>
          </w:p>
          <w:p>
            <w:pPr>
              <w:adjustRightInd w:val="0"/>
              <w:jc w:val="both"/>
              <w:rPr>
                <w:rFonts w:cs="Times New Roman"/>
                <w:sz w:val="20"/>
                <w:szCs w:val="20"/>
                <w:highlight w:val="none"/>
              </w:rPr>
            </w:pPr>
            <w:r>
              <w:rPr>
                <w:rFonts w:hint="eastAsia" w:cs="Times New Roman"/>
                <w:sz w:val="20"/>
                <w:szCs w:val="20"/>
                <w:highlight w:val="none"/>
              </w:rPr>
              <w:t>6、需提供</w:t>
            </w:r>
            <w:r>
              <w:rPr>
                <w:rFonts w:cs="Times New Roman"/>
                <w:sz w:val="20"/>
                <w:szCs w:val="20"/>
                <w:highlight w:val="none"/>
              </w:rPr>
              <w:t>Windows桌面防病毒模块950个，windows桌面管理模块950个，国产系统防病毒模块50个；</w:t>
            </w:r>
          </w:p>
          <w:p>
            <w:pPr>
              <w:adjustRightInd w:val="0"/>
              <w:jc w:val="both"/>
              <w:rPr>
                <w:rFonts w:cs="Times New Roman"/>
                <w:sz w:val="20"/>
                <w:szCs w:val="20"/>
                <w:highlight w:val="none"/>
              </w:rPr>
            </w:pPr>
            <w:r>
              <w:rPr>
                <w:rFonts w:hint="eastAsia" w:cs="Times New Roman"/>
                <w:sz w:val="20"/>
                <w:szCs w:val="20"/>
                <w:highlight w:val="none"/>
              </w:rPr>
              <w:t>7、▲桌面管理模块应具备违规预警、安全基线、</w:t>
            </w:r>
            <w:r>
              <w:rPr>
                <w:rFonts w:cs="Times New Roman"/>
                <w:sz w:val="20"/>
                <w:szCs w:val="20"/>
                <w:highlight w:val="none"/>
              </w:rPr>
              <w:t>USB</w:t>
            </w:r>
            <w:r>
              <w:rPr>
                <w:rFonts w:hint="eastAsia" w:cs="Times New Roman"/>
                <w:sz w:val="20"/>
                <w:szCs w:val="20"/>
                <w:highlight w:val="none"/>
              </w:rPr>
              <w:t>接入管理、行为审计、资产管理、软件管理、远程运维等功能</w:t>
            </w:r>
            <w:r>
              <w:rPr>
                <w:rFonts w:hint="eastAsia" w:cstheme="minorEastAsia"/>
                <w:sz w:val="20"/>
                <w:highlight w:val="none"/>
              </w:rPr>
              <w:t>（</w:t>
            </w:r>
            <w:r>
              <w:rPr>
                <w:rFonts w:hint="eastAsia" w:cstheme="minorEastAsia"/>
                <w:b/>
                <w:bCs/>
                <w:color w:val="000000" w:themeColor="text1"/>
                <w:sz w:val="20"/>
                <w:szCs w:val="20"/>
                <w:highlight w:val="none"/>
                <w14:textFill>
                  <w14:solidFill>
                    <w14:schemeClr w14:val="tx1"/>
                  </w14:solidFill>
                </w14:textFill>
              </w:rPr>
              <w:t>提供产品功能截图并加盖投标人公章</w:t>
            </w:r>
            <w:r>
              <w:rPr>
                <w:rFonts w:hint="eastAsia" w:cstheme="minorEastAsia"/>
                <w:sz w:val="20"/>
                <w:highlight w:val="none"/>
              </w:rPr>
              <w:t>）</w:t>
            </w:r>
            <w:r>
              <w:rPr>
                <w:rFonts w:hint="eastAsia" w:cs="Times New Roman"/>
                <w:sz w:val="20"/>
                <w:szCs w:val="20"/>
                <w:highlight w:val="none"/>
              </w:rPr>
              <w:t>；</w:t>
            </w:r>
          </w:p>
          <w:p>
            <w:pPr>
              <w:adjustRightInd w:val="0"/>
              <w:jc w:val="both"/>
              <w:rPr>
                <w:rFonts w:cs="Times New Roman"/>
                <w:sz w:val="20"/>
                <w:szCs w:val="20"/>
                <w:highlight w:val="none"/>
              </w:rPr>
            </w:pPr>
            <w:r>
              <w:rPr>
                <w:rFonts w:hint="eastAsia" w:cs="Times New Roman"/>
                <w:sz w:val="20"/>
                <w:szCs w:val="20"/>
                <w:highlight w:val="none"/>
              </w:rPr>
              <w:t>8、桌面管理模块支持针对违规外联、修改系统时间、</w:t>
            </w:r>
            <w:r>
              <w:rPr>
                <w:rFonts w:cs="Times New Roman"/>
                <w:sz w:val="20"/>
                <w:szCs w:val="20"/>
                <w:highlight w:val="none"/>
              </w:rPr>
              <w:t>PC</w:t>
            </w:r>
            <w:r>
              <w:rPr>
                <w:rFonts w:hint="eastAsia" w:cs="Times New Roman"/>
                <w:sz w:val="20"/>
                <w:szCs w:val="20"/>
                <w:highlight w:val="none"/>
              </w:rPr>
              <w:t>资源使用异常等异常行为进行预警；管理员可自定义违规策略处置策略，包括但不限于报警、断网、锁屏、关机、消息提示、截屏</w:t>
            </w:r>
            <w:r>
              <w:rPr>
                <w:rFonts w:cs="Times New Roman"/>
                <w:sz w:val="20"/>
                <w:szCs w:val="20"/>
                <w:highlight w:val="none"/>
              </w:rPr>
              <w:t xml:space="preserve"> </w:t>
            </w:r>
            <w:r>
              <w:rPr>
                <w:rFonts w:hint="eastAsia" w:cs="Times New Roman"/>
                <w:sz w:val="20"/>
                <w:szCs w:val="20"/>
                <w:highlight w:val="none"/>
              </w:rPr>
              <w:t>、代理修复等，并支持自定义策略等延后时间；</w:t>
            </w:r>
          </w:p>
          <w:p>
            <w:pPr>
              <w:adjustRightInd w:val="0"/>
              <w:jc w:val="both"/>
              <w:rPr>
                <w:rFonts w:cs="Times New Roman"/>
                <w:sz w:val="20"/>
                <w:szCs w:val="20"/>
                <w:highlight w:val="none"/>
              </w:rPr>
            </w:pPr>
            <w:r>
              <w:rPr>
                <w:rFonts w:hint="eastAsia" w:cs="Times New Roman"/>
                <w:sz w:val="20"/>
                <w:szCs w:val="20"/>
                <w:highlight w:val="none"/>
              </w:rPr>
              <w:t>9、桌面管理模块支持包括但不限于流量、进程、截屏、文件、协议、账户、邮件、打印、服务、共享、注册表、刻录等行为的审计；</w:t>
            </w:r>
          </w:p>
          <w:p>
            <w:pPr>
              <w:adjustRightInd w:val="0"/>
              <w:jc w:val="both"/>
              <w:rPr>
                <w:rFonts w:cs="Times New Roman"/>
                <w:sz w:val="20"/>
                <w:szCs w:val="20"/>
                <w:highlight w:val="none"/>
              </w:rPr>
            </w:pPr>
            <w:r>
              <w:rPr>
                <w:rFonts w:hint="eastAsia" w:cs="Times New Roman"/>
                <w:sz w:val="20"/>
                <w:szCs w:val="20"/>
                <w:highlight w:val="none"/>
              </w:rPr>
              <w:t>1</w:t>
            </w:r>
            <w:r>
              <w:rPr>
                <w:rFonts w:cs="Times New Roman"/>
                <w:sz w:val="20"/>
                <w:szCs w:val="20"/>
                <w:highlight w:val="none"/>
              </w:rPr>
              <w:t>0</w:t>
            </w:r>
            <w:r>
              <w:rPr>
                <w:rFonts w:hint="eastAsia" w:cs="Times New Roman"/>
                <w:sz w:val="20"/>
                <w:szCs w:val="20"/>
                <w:highlight w:val="none"/>
              </w:rPr>
              <w:t>、桌面管理模块支持违规预警，包括违规外联，可检查当前计算机是否存在违规外联上网行为；支持</w:t>
            </w:r>
            <w:r>
              <w:rPr>
                <w:rFonts w:cs="Times New Roman"/>
                <w:sz w:val="20"/>
                <w:szCs w:val="20"/>
                <w:highlight w:val="none"/>
              </w:rPr>
              <w:t>PC资源使用异常</w:t>
            </w:r>
            <w:r>
              <w:rPr>
                <w:rFonts w:hint="eastAsia" w:cs="Times New Roman"/>
                <w:sz w:val="20"/>
                <w:szCs w:val="20"/>
                <w:highlight w:val="none"/>
              </w:rPr>
              <w:t>检查，检查当前计算机资源是否出现异常；重要</w:t>
            </w:r>
            <w:r>
              <w:rPr>
                <w:rFonts w:cs="Times New Roman"/>
                <w:sz w:val="20"/>
                <w:szCs w:val="20"/>
                <w:highlight w:val="none"/>
              </w:rPr>
              <w:t>进程</w:t>
            </w:r>
            <w:r>
              <w:rPr>
                <w:rFonts w:hint="eastAsia" w:cs="Times New Roman"/>
                <w:sz w:val="20"/>
                <w:szCs w:val="20"/>
                <w:highlight w:val="none"/>
              </w:rPr>
              <w:t>异常检查，检查计算机重要进程是否出现异常；违规修改时间，可检测客户端是否违规修改计算机系统时间；</w:t>
            </w:r>
          </w:p>
          <w:p>
            <w:pPr>
              <w:jc w:val="both"/>
              <w:rPr>
                <w:rFonts w:cs="Times New Roman"/>
                <w:sz w:val="20"/>
                <w:szCs w:val="20"/>
                <w:highlight w:val="none"/>
              </w:rPr>
            </w:pPr>
            <w:r>
              <w:rPr>
                <w:rFonts w:hint="eastAsia" w:cs="Times New Roman"/>
                <w:sz w:val="20"/>
                <w:szCs w:val="20"/>
                <w:highlight w:val="none"/>
              </w:rPr>
              <w:t>1</w:t>
            </w:r>
            <w:r>
              <w:rPr>
                <w:rFonts w:cs="Times New Roman"/>
                <w:sz w:val="20"/>
                <w:szCs w:val="20"/>
                <w:highlight w:val="none"/>
              </w:rPr>
              <w:t>1</w:t>
            </w:r>
            <w:r>
              <w:rPr>
                <w:rFonts w:hint="eastAsia" w:cs="Times New Roman"/>
                <w:sz w:val="20"/>
                <w:szCs w:val="20"/>
                <w:highlight w:val="none"/>
              </w:rPr>
              <w:t>、桌面管理模块支持软硬件资产管理，可对软硬件资产变动提供报警；违规预警、安全审计、安全基线、</w:t>
            </w:r>
            <w:r>
              <w:rPr>
                <w:rFonts w:cs="Times New Roman"/>
                <w:sz w:val="20"/>
                <w:szCs w:val="20"/>
                <w:highlight w:val="none"/>
              </w:rPr>
              <w:t>usb</w:t>
            </w:r>
            <w:r>
              <w:rPr>
                <w:rFonts w:hint="eastAsia" w:cs="Times New Roman"/>
                <w:sz w:val="20"/>
                <w:szCs w:val="20"/>
                <w:highlight w:val="none"/>
              </w:rPr>
              <w:t>接入管理、行为控制、资产管理等均支持灵活的策略应用，包括但不限于根据角色、部门、指定终端、用户、</w:t>
            </w:r>
            <w:r>
              <w:rPr>
                <w:rFonts w:cs="Times New Roman"/>
                <w:sz w:val="20"/>
                <w:szCs w:val="20"/>
                <w:highlight w:val="none"/>
              </w:rPr>
              <w:t>ip</w:t>
            </w:r>
            <w:r>
              <w:rPr>
                <w:rFonts w:hint="eastAsia" w:cs="Times New Roman"/>
                <w:sz w:val="20"/>
                <w:szCs w:val="20"/>
                <w:highlight w:val="none"/>
              </w:rPr>
              <w:t>段等应用。</w:t>
            </w:r>
          </w:p>
          <w:p>
            <w:pPr>
              <w:pStyle w:val="2"/>
              <w:jc w:val="both"/>
              <w:rPr>
                <w:rFonts w:cs="Times New Roman"/>
                <w:sz w:val="20"/>
                <w:highlight w:val="none"/>
              </w:rPr>
            </w:pPr>
            <w:r>
              <w:rPr>
                <w:rFonts w:hint="eastAsia" w:cs="Times New Roman"/>
                <w:b w:val="0"/>
                <w:bCs w:val="0"/>
                <w:sz w:val="20"/>
                <w:szCs w:val="20"/>
                <w:highlight w:val="none"/>
              </w:rPr>
              <w:t>1</w:t>
            </w:r>
            <w:r>
              <w:rPr>
                <w:rFonts w:cs="Times New Roman"/>
                <w:b w:val="0"/>
                <w:bCs w:val="0"/>
                <w:sz w:val="20"/>
                <w:szCs w:val="20"/>
                <w:highlight w:val="none"/>
              </w:rPr>
              <w:t>2</w:t>
            </w:r>
            <w:r>
              <w:rPr>
                <w:rFonts w:hint="eastAsia" w:cs="Times New Roman"/>
                <w:b w:val="0"/>
                <w:bCs w:val="0"/>
                <w:sz w:val="20"/>
                <w:szCs w:val="20"/>
                <w:highlight w:val="none"/>
              </w:rPr>
              <w:t>、</w:t>
            </w:r>
            <w:r>
              <w:rPr>
                <w:rFonts w:hint="eastAsia" w:cstheme="minorEastAsia"/>
                <w:b w:val="0"/>
                <w:bCs w:val="0"/>
                <w:sz w:val="20"/>
                <w:szCs w:val="20"/>
                <w:highlight w:val="none"/>
              </w:rPr>
              <w:t>为保证产品自主可控且稳定可靠，产品需提供</w:t>
            </w:r>
            <w:r>
              <w:rPr>
                <w:rFonts w:hint="eastAsia" w:cstheme="minorEastAsia"/>
                <w:sz w:val="20"/>
                <w:szCs w:val="20"/>
                <w:highlight w:val="none"/>
              </w:rPr>
              <w:t>《计算机软件著作权登记证书》、《软件产品证书》</w:t>
            </w:r>
            <w:r>
              <w:rPr>
                <w:rFonts w:hint="eastAsia" w:cstheme="minorEastAsia"/>
                <w:sz w:val="20"/>
                <w:highlight w:val="none"/>
              </w:rPr>
              <w:t>、</w:t>
            </w:r>
            <w:r>
              <w:rPr>
                <w:rFonts w:hint="eastAsia" w:cstheme="minorEastAsia"/>
                <w:sz w:val="20"/>
                <w:szCs w:val="20"/>
                <w:highlight w:val="none"/>
              </w:rPr>
              <w:t>《计算机信息系统安全专用产品销售许可证》复印件</w:t>
            </w:r>
            <w:r>
              <w:rPr>
                <w:rFonts w:hint="eastAsia" w:cstheme="minorEastAsia"/>
                <w:b w:val="0"/>
                <w:bCs w:val="0"/>
                <w:sz w:val="20"/>
                <w:highlight w:val="none"/>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服务器防护模块</w:t>
            </w:r>
          </w:p>
        </w:tc>
        <w:tc>
          <w:tcPr>
            <w:tcW w:w="5682" w:type="dxa"/>
            <w:vAlign w:val="center"/>
          </w:tcPr>
          <w:p>
            <w:pPr>
              <w:adjustRightInd w:val="0"/>
              <w:jc w:val="both"/>
              <w:rPr>
                <w:rFonts w:cs="Times New Roman"/>
                <w:color w:val="000000"/>
                <w:sz w:val="20"/>
                <w:highlight w:val="none"/>
              </w:rPr>
            </w:pPr>
            <w:r>
              <w:rPr>
                <w:rFonts w:hint="eastAsia" w:cs="Times New Roman"/>
                <w:sz w:val="20"/>
                <w:highlight w:val="none"/>
              </w:rPr>
              <w:t>1、</w:t>
            </w:r>
            <w:r>
              <w:rPr>
                <w:rFonts w:cs="Times New Roman"/>
                <w:color w:val="000000"/>
                <w:sz w:val="20"/>
                <w:highlight w:val="none"/>
              </w:rPr>
              <w:t>支持Windows server 2003、Windows server 2008、Windows server 2012、Windows server 2016</w:t>
            </w:r>
            <w:r>
              <w:rPr>
                <w:rFonts w:hint="eastAsia" w:cs="Times New Roman"/>
                <w:color w:val="000000"/>
                <w:sz w:val="20"/>
                <w:highlight w:val="none"/>
              </w:rPr>
              <w:t>、</w:t>
            </w:r>
            <w:r>
              <w:rPr>
                <w:rFonts w:cs="Times New Roman"/>
                <w:color w:val="000000"/>
                <w:sz w:val="20"/>
                <w:highlight w:val="none"/>
              </w:rPr>
              <w:t>Windows server 2019</w:t>
            </w:r>
            <w:r>
              <w:rPr>
                <w:rFonts w:hint="eastAsia" w:cs="Times New Roman"/>
                <w:color w:val="000000"/>
                <w:sz w:val="20"/>
                <w:highlight w:val="none"/>
              </w:rPr>
              <w:t>、</w:t>
            </w:r>
            <w:r>
              <w:rPr>
                <w:rFonts w:cs="Times New Roman"/>
                <w:color w:val="000000"/>
                <w:sz w:val="20"/>
                <w:highlight w:val="none"/>
              </w:rPr>
              <w:t>Windows server 2022</w:t>
            </w:r>
            <w:r>
              <w:rPr>
                <w:rFonts w:hint="eastAsia" w:cs="Times New Roman"/>
                <w:color w:val="000000"/>
                <w:sz w:val="20"/>
                <w:highlight w:val="none"/>
              </w:rPr>
              <w:t>等</w:t>
            </w:r>
            <w:r>
              <w:rPr>
                <w:rFonts w:cs="Times New Roman"/>
                <w:color w:val="000000"/>
                <w:sz w:val="20"/>
                <w:highlight w:val="none"/>
              </w:rPr>
              <w:t>操作系统</w:t>
            </w:r>
            <w:r>
              <w:rPr>
                <w:rFonts w:hint="eastAsia" w:cs="Times New Roman"/>
                <w:color w:val="000000"/>
                <w:sz w:val="20"/>
                <w:highlight w:val="none"/>
              </w:rPr>
              <w:t>；</w:t>
            </w:r>
          </w:p>
          <w:p>
            <w:pPr>
              <w:jc w:val="both"/>
              <w:rPr>
                <w:rFonts w:cs="Times New Roman"/>
                <w:sz w:val="20"/>
                <w:highlight w:val="none"/>
              </w:rPr>
            </w:pPr>
            <w:r>
              <w:rPr>
                <w:rFonts w:hint="eastAsia" w:cs="Times New Roman"/>
                <w:sz w:val="20"/>
                <w:highlight w:val="none"/>
              </w:rPr>
              <w:t>2、防护功能与PC防护模块防病毒功能相同。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3</w:t>
            </w:r>
          </w:p>
        </w:tc>
        <w:tc>
          <w:tcPr>
            <w:tcW w:w="1703" w:type="dxa"/>
            <w:vMerge w:val="restart"/>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数据集中备份系统</w:t>
            </w: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系统硬件</w:t>
            </w:r>
          </w:p>
        </w:tc>
        <w:tc>
          <w:tcPr>
            <w:tcW w:w="5682" w:type="dxa"/>
            <w:vAlign w:val="center"/>
          </w:tcPr>
          <w:p>
            <w:pPr>
              <w:adjustRightInd w:val="0"/>
              <w:jc w:val="left"/>
              <w:rPr>
                <w:rFonts w:cstheme="minorEastAsia"/>
                <w:color w:val="000000"/>
                <w:sz w:val="20"/>
                <w:szCs w:val="20"/>
                <w:highlight w:val="none"/>
              </w:rPr>
            </w:pPr>
            <w:r>
              <w:rPr>
                <w:rFonts w:hint="eastAsia" w:cstheme="minorEastAsia"/>
                <w:color w:val="000000"/>
                <w:sz w:val="20"/>
                <w:szCs w:val="20"/>
                <w:highlight w:val="none"/>
              </w:rPr>
              <w:t xml:space="preserve">CPU： </w:t>
            </w:r>
            <w:r>
              <w:rPr>
                <w:rFonts w:cs="Arial"/>
                <w:color w:val="000000"/>
                <w:sz w:val="20"/>
                <w:szCs w:val="20"/>
                <w:highlight w:val="none"/>
              </w:rPr>
              <w:t>≥</w:t>
            </w:r>
            <w:r>
              <w:rPr>
                <w:rFonts w:hint="eastAsia" w:cstheme="minorEastAsia"/>
                <w:color w:val="000000"/>
                <w:sz w:val="20"/>
                <w:szCs w:val="20"/>
                <w:highlight w:val="none"/>
              </w:rPr>
              <w:t xml:space="preserve"> 2.2 GHz 以上</w:t>
            </w:r>
          </w:p>
          <w:p>
            <w:pPr>
              <w:jc w:val="both"/>
              <w:rPr>
                <w:rFonts w:cs="Times New Roman"/>
                <w:sz w:val="20"/>
                <w:highlight w:val="none"/>
              </w:rPr>
            </w:pPr>
            <w:r>
              <w:rPr>
                <w:rFonts w:hint="eastAsia" w:cstheme="minorEastAsia"/>
                <w:color w:val="000000"/>
                <w:sz w:val="20"/>
                <w:szCs w:val="20"/>
                <w:highlight w:val="none"/>
              </w:rPr>
              <w:t>内存：</w:t>
            </w:r>
            <w:r>
              <w:rPr>
                <w:rFonts w:cs="Arial"/>
                <w:color w:val="000000"/>
                <w:sz w:val="20"/>
                <w:szCs w:val="20"/>
                <w:highlight w:val="none"/>
              </w:rPr>
              <w:t>≥</w:t>
            </w:r>
            <w:r>
              <w:rPr>
                <w:rFonts w:hint="eastAsia" w:cstheme="minorEastAsia"/>
                <w:color w:val="000000"/>
                <w:sz w:val="20"/>
                <w:szCs w:val="20"/>
                <w:highlight w:val="none"/>
              </w:rPr>
              <w:t>4 GB DDR4 ECC UDIMM</w:t>
            </w:r>
          </w:p>
          <w:p>
            <w:pPr>
              <w:adjustRightInd w:val="0"/>
              <w:jc w:val="left"/>
              <w:rPr>
                <w:rFonts w:cstheme="minorEastAsia"/>
                <w:color w:val="000000"/>
                <w:sz w:val="20"/>
                <w:szCs w:val="20"/>
                <w:highlight w:val="none"/>
              </w:rPr>
            </w:pPr>
            <w:r>
              <w:rPr>
                <w:rFonts w:hint="eastAsia" w:cstheme="minorEastAsia"/>
                <w:color w:val="000000"/>
                <w:sz w:val="20"/>
                <w:szCs w:val="20"/>
                <w:highlight w:val="none"/>
              </w:rPr>
              <w:t>硬盘位：12个，最大可扩展到24个盘位</w:t>
            </w:r>
          </w:p>
          <w:p>
            <w:pPr>
              <w:adjustRightInd w:val="0"/>
              <w:jc w:val="left"/>
              <w:rPr>
                <w:rFonts w:cstheme="minorEastAsia"/>
                <w:color w:val="000000"/>
                <w:sz w:val="20"/>
                <w:szCs w:val="20"/>
                <w:highlight w:val="none"/>
              </w:rPr>
            </w:pPr>
            <w:r>
              <w:rPr>
                <w:rFonts w:hint="eastAsia" w:cstheme="minorEastAsia"/>
                <w:color w:val="000000"/>
                <w:sz w:val="20"/>
                <w:szCs w:val="20"/>
                <w:highlight w:val="none"/>
              </w:rPr>
              <w:t>配置：2块480G高速缓存固态硬盘、10块4T企业级硬盘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3" w:type="dxa"/>
            <w:vMerge w:val="continue"/>
            <w:vAlign w:val="center"/>
          </w:tcPr>
          <w:p>
            <w:pPr>
              <w:adjustRightInd w:val="0"/>
              <w:spacing w:line="420" w:lineRule="exact"/>
              <w:jc w:val="center"/>
              <w:rPr>
                <w:rFonts w:cstheme="minorEastAsia"/>
                <w:color w:val="000000"/>
                <w:sz w:val="20"/>
                <w:szCs w:val="20"/>
                <w:highlight w:val="none"/>
              </w:rPr>
            </w:pPr>
          </w:p>
        </w:tc>
        <w:tc>
          <w:tcPr>
            <w:tcW w:w="1704" w:type="dxa"/>
            <w:vAlign w:val="center"/>
          </w:tcPr>
          <w:p>
            <w:pPr>
              <w:adjustRightInd w:val="0"/>
              <w:spacing w:line="420" w:lineRule="exact"/>
              <w:jc w:val="center"/>
              <w:rPr>
                <w:rFonts w:cstheme="minorEastAsia"/>
                <w:color w:val="000000"/>
                <w:sz w:val="20"/>
                <w:szCs w:val="20"/>
                <w:highlight w:val="none"/>
              </w:rPr>
            </w:pPr>
            <w:r>
              <w:rPr>
                <w:rFonts w:hint="eastAsia" w:cstheme="minorEastAsia"/>
                <w:color w:val="000000"/>
                <w:sz w:val="20"/>
                <w:szCs w:val="20"/>
                <w:highlight w:val="none"/>
              </w:rPr>
              <w:t>软件系统</w:t>
            </w:r>
          </w:p>
        </w:tc>
        <w:tc>
          <w:tcPr>
            <w:tcW w:w="5682" w:type="dxa"/>
            <w:vAlign w:val="center"/>
          </w:tcPr>
          <w:p>
            <w:pPr>
              <w:adjustRightInd w:val="0"/>
              <w:jc w:val="left"/>
              <w:rPr>
                <w:rFonts w:cstheme="minorEastAsia"/>
                <w:color w:val="000000"/>
                <w:sz w:val="20"/>
                <w:szCs w:val="20"/>
                <w:highlight w:val="none"/>
              </w:rPr>
            </w:pPr>
            <w:r>
              <w:rPr>
                <w:rFonts w:cstheme="minorEastAsia"/>
                <w:color w:val="000000"/>
                <w:sz w:val="20"/>
                <w:szCs w:val="20"/>
                <w:highlight w:val="none"/>
              </w:rPr>
              <w:t>网络通讯协议:CIFS、AFP、NFS、FTP、WebDAV、CalDAV、iSCSI、Telnet、SSH、SNMP、VPN (PPTP、OpenVPN?、L2TP)</w:t>
            </w:r>
          </w:p>
          <w:p>
            <w:pPr>
              <w:adjustRightInd w:val="0"/>
              <w:jc w:val="left"/>
              <w:rPr>
                <w:rFonts w:cstheme="minorEastAsia"/>
                <w:color w:val="000000"/>
                <w:sz w:val="20"/>
                <w:szCs w:val="20"/>
                <w:highlight w:val="none"/>
              </w:rPr>
            </w:pPr>
            <w:r>
              <w:rPr>
                <w:rFonts w:cstheme="minorEastAsia"/>
                <w:color w:val="000000"/>
                <w:sz w:val="20"/>
                <w:szCs w:val="20"/>
                <w:highlight w:val="none"/>
              </w:rPr>
              <w:t>文件系统：Btrfs，EXT4</w:t>
            </w:r>
          </w:p>
          <w:p>
            <w:pPr>
              <w:adjustRightInd w:val="0"/>
              <w:jc w:val="left"/>
              <w:rPr>
                <w:rFonts w:cstheme="minorEastAsia"/>
                <w:color w:val="000000"/>
                <w:sz w:val="20"/>
                <w:szCs w:val="20"/>
                <w:highlight w:val="none"/>
              </w:rPr>
            </w:pPr>
            <w:r>
              <w:rPr>
                <w:rFonts w:cstheme="minorEastAsia"/>
                <w:color w:val="000000"/>
                <w:sz w:val="20"/>
                <w:szCs w:val="20"/>
                <w:highlight w:val="none"/>
              </w:rPr>
              <w:t>虚拟化支持：VMware vSphere  Microsoft Hyper-V  Citrix  OpenStack</w:t>
            </w:r>
          </w:p>
        </w:tc>
      </w:tr>
      <w:bookmarkEnd w:id="7"/>
    </w:tbl>
    <w:p>
      <w:pPr>
        <w:autoSpaceDE w:val="0"/>
        <w:autoSpaceDN w:val="0"/>
        <w:adjustRightInd w:val="0"/>
        <w:spacing w:line="420" w:lineRule="exact"/>
        <w:rPr>
          <w:rFonts w:hint="eastAsia" w:ascii="仿宋" w:hAnsi="仿宋" w:eastAsia="仿宋"/>
          <w:color w:val="000000"/>
          <w:sz w:val="24"/>
          <w:highlight w:val="none"/>
        </w:rPr>
      </w:pPr>
    </w:p>
    <w:p>
      <w:pPr>
        <w:autoSpaceDE w:val="0"/>
        <w:autoSpaceDN w:val="0"/>
        <w:adjustRightInd w:val="0"/>
        <w:spacing w:line="420" w:lineRule="exact"/>
        <w:rPr>
          <w:rFonts w:ascii="仿宋" w:hAnsi="仿宋" w:eastAsia="仿宋"/>
          <w:color w:val="000000"/>
          <w:sz w:val="24"/>
          <w:highlight w:val="none"/>
        </w:rPr>
      </w:pPr>
      <w:r>
        <w:rPr>
          <w:rFonts w:hint="eastAsia" w:ascii="仿宋" w:hAnsi="仿宋" w:eastAsia="仿宋"/>
          <w:color w:val="000000"/>
          <w:sz w:val="24"/>
          <w:highlight w:val="none"/>
        </w:rPr>
        <w:t>三、安装组织方案</w:t>
      </w:r>
    </w:p>
    <w:p>
      <w:pPr>
        <w:autoSpaceDE w:val="0"/>
        <w:autoSpaceDN w:val="0"/>
        <w:adjustRightInd w:val="0"/>
        <w:spacing w:line="420" w:lineRule="exact"/>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投标人需针对本项目自行制定安装组织设计方案，内容包括对项目的理解，各项安全管理制度、质量安全保证、文明施工、保护措施以及售后服务承诺。</w:t>
      </w:r>
    </w:p>
    <w:p>
      <w:pPr>
        <w:autoSpaceDE w:val="0"/>
        <w:autoSpaceDN w:val="0"/>
        <w:adjustRightInd w:val="0"/>
        <w:spacing w:line="420" w:lineRule="exact"/>
        <w:rPr>
          <w:rFonts w:ascii="仿宋" w:hAnsi="仿宋" w:eastAsia="仿宋"/>
          <w:color w:val="000000"/>
          <w:sz w:val="24"/>
          <w:highlight w:val="none"/>
        </w:rPr>
      </w:pPr>
    </w:p>
    <w:p>
      <w:pPr>
        <w:autoSpaceDE w:val="0"/>
        <w:autoSpaceDN w:val="0"/>
        <w:adjustRightInd w:val="0"/>
        <w:spacing w:line="420" w:lineRule="exact"/>
        <w:rPr>
          <w:rFonts w:ascii="仿宋" w:hAnsi="仿宋" w:eastAsia="仿宋"/>
          <w:color w:val="000000"/>
          <w:sz w:val="24"/>
          <w:highlight w:val="none"/>
        </w:rPr>
      </w:pPr>
      <w:bookmarkStart w:id="8" w:name="_Toc502156724"/>
      <w:r>
        <w:rPr>
          <w:rFonts w:hint="eastAsia" w:ascii="仿宋" w:hAnsi="仿宋" w:eastAsia="仿宋"/>
          <w:color w:val="000000"/>
          <w:sz w:val="24"/>
          <w:highlight w:val="none"/>
        </w:rPr>
        <w:t>四、质保期及售后服务要求</w:t>
      </w:r>
      <w:bookmarkEnd w:id="8"/>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1、供应商必须承诺为采购人提供三年（验收合格之日起计算）免费的技术支持、设备维护及设备硬件损坏（非人为）的无偿更换。</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2、针对本次采购的设备内容，供应商须对本项目的售后服务进行承诺并提供售后服务方案，同时提供技术支持热线。</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3、供应商必须明确承诺达到采购人的服务响应要求：在运行维护期内，提供 7×24 小时技术支持及维护服务，服务范围包括所有维护设备，并根据故障情况划分为三种现场处理级别：</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4、1 级：系统宕机，业务停止。处理方式：供应商在接到故障通知后，立即响应，1 小时内前往设备使用现场，4 小时内解决故障。硬件设备出现故障时，应进行紧急备件更换，保证采购人业务的正常运行。</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5、2 级：系统能够工作，但部分功能失效。性能下降，但不至中断业务。处理方式：供应商在接到故障通知后，半小时内响应，3 小时内前往现场，在 24 小时内解决故障。</w:t>
      </w:r>
    </w:p>
    <w:p>
      <w:pPr>
        <w:pStyle w:val="2"/>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6、3 级：系统可以运行，但出现系统报错或出现问题。处理方式：供应商在接到故障通知后，1 小时内响应，3 个工作日内解决故障。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7、在质量保证期内发生的质量问题，由供应商负责免费解决，包退包换（因采购人使用不当或其他人为因素造成的故障除外）。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color w:val="000000"/>
          <w:kern w:val="2"/>
          <w:sz w:val="24"/>
          <w:szCs w:val="22"/>
          <w:highlight w:val="none"/>
          <w:lang w:val="en-US" w:eastAsia="zh-CN" w:bidi="ar-SA"/>
        </w:rPr>
      </w:pPr>
      <w:r>
        <w:rPr>
          <w:rFonts w:hint="eastAsia" w:ascii="仿宋" w:hAnsi="仿宋" w:eastAsia="仿宋" w:cs="Times New Roman"/>
          <w:color w:val="000000"/>
          <w:kern w:val="2"/>
          <w:sz w:val="24"/>
          <w:szCs w:val="22"/>
          <w:highlight w:val="none"/>
          <w:lang w:val="en-US" w:eastAsia="zh-CN" w:bidi="ar-SA"/>
        </w:rPr>
        <w:t>8、在质量保证期外发生的质量问题，由供应商负责解决，采购人应支付相应的费用，供应商需负责及时提供零配件。</w:t>
      </w:r>
    </w:p>
    <w:p>
      <w:pPr>
        <w:numPr>
          <w:ilvl w:val="0"/>
          <w:numId w:val="0"/>
        </w:numPr>
        <w:spacing w:line="360" w:lineRule="auto"/>
        <w:ind w:firstLine="240" w:firstLineChars="100"/>
        <w:rPr>
          <w:rFonts w:hint="eastAsia" w:ascii="仿宋" w:hAnsi="仿宋" w:eastAsia="仿宋" w:cs="Times New Roman"/>
          <w:color w:val="000000"/>
          <w:sz w:val="24"/>
          <w:szCs w:val="22"/>
          <w:highlight w:val="none"/>
          <w:lang w:val="en-US" w:eastAsia="zh-CN"/>
        </w:rPr>
      </w:pPr>
      <w:r>
        <w:rPr>
          <w:rFonts w:hint="eastAsia" w:ascii="仿宋" w:hAnsi="仿宋" w:eastAsia="仿宋" w:cs="Times New Roman"/>
          <w:color w:val="000000"/>
          <w:sz w:val="24"/>
          <w:szCs w:val="22"/>
          <w:highlight w:val="none"/>
        </w:rPr>
        <w:t>★</w:t>
      </w:r>
      <w:r>
        <w:rPr>
          <w:rFonts w:hint="eastAsia" w:ascii="仿宋" w:hAnsi="仿宋" w:eastAsia="仿宋" w:cs="Times New Roman"/>
          <w:color w:val="000000"/>
          <w:sz w:val="24"/>
          <w:szCs w:val="22"/>
          <w:highlight w:val="none"/>
          <w:lang w:val="en-US" w:eastAsia="zh-CN"/>
        </w:rPr>
        <w:t>9.</w:t>
      </w:r>
      <w:r>
        <w:rPr>
          <w:rFonts w:hint="eastAsia" w:ascii="仿宋" w:hAnsi="仿宋" w:eastAsia="仿宋" w:cs="Times New Roman"/>
          <w:color w:val="000000"/>
          <w:sz w:val="24"/>
          <w:szCs w:val="22"/>
          <w:highlight w:val="none"/>
        </w:rPr>
        <w:t>设备</w:t>
      </w:r>
      <w:r>
        <w:rPr>
          <w:rFonts w:hint="eastAsia" w:ascii="仿宋" w:hAnsi="仿宋" w:eastAsia="仿宋" w:cs="Times New Roman"/>
          <w:color w:val="000000"/>
          <w:sz w:val="24"/>
          <w:szCs w:val="22"/>
          <w:highlight w:val="none"/>
          <w:lang w:eastAsia="zh-CN"/>
        </w:rPr>
        <w:t>验收合格并</w:t>
      </w:r>
      <w:r>
        <w:rPr>
          <w:rFonts w:hint="eastAsia" w:ascii="仿宋" w:hAnsi="仿宋" w:eastAsia="仿宋" w:cs="Times New Roman"/>
          <w:color w:val="000000"/>
          <w:sz w:val="24"/>
          <w:szCs w:val="22"/>
          <w:highlight w:val="none"/>
        </w:rPr>
        <w:t>启用</w:t>
      </w:r>
      <w:r>
        <w:rPr>
          <w:rFonts w:hint="eastAsia" w:ascii="仿宋" w:hAnsi="仿宋" w:eastAsia="仿宋" w:cs="Times New Roman"/>
          <w:color w:val="000000"/>
          <w:sz w:val="24"/>
          <w:szCs w:val="22"/>
          <w:highlight w:val="none"/>
          <w:lang w:eastAsia="zh-CN"/>
        </w:rPr>
        <w:t>之日起</w:t>
      </w:r>
      <w:r>
        <w:rPr>
          <w:rFonts w:hint="eastAsia" w:ascii="仿宋" w:hAnsi="仿宋" w:eastAsia="仿宋" w:cs="Times New Roman"/>
          <w:color w:val="000000"/>
          <w:sz w:val="24"/>
          <w:szCs w:val="22"/>
          <w:highlight w:val="none"/>
        </w:rPr>
        <w:t>6个月</w:t>
      </w:r>
      <w:r>
        <w:rPr>
          <w:rFonts w:hint="eastAsia" w:ascii="仿宋" w:hAnsi="仿宋" w:eastAsia="仿宋" w:cs="Times New Roman"/>
          <w:color w:val="000000"/>
          <w:sz w:val="24"/>
          <w:szCs w:val="22"/>
          <w:highlight w:val="none"/>
          <w:lang w:eastAsia="zh-CN"/>
        </w:rPr>
        <w:t>内</w:t>
      </w:r>
      <w:r>
        <w:rPr>
          <w:rFonts w:hint="eastAsia" w:ascii="仿宋" w:hAnsi="仿宋" w:eastAsia="仿宋" w:cs="Times New Roman"/>
          <w:color w:val="000000"/>
          <w:sz w:val="24"/>
          <w:szCs w:val="22"/>
          <w:highlight w:val="none"/>
        </w:rPr>
        <w:t>，</w:t>
      </w:r>
      <w:r>
        <w:rPr>
          <w:rFonts w:hint="eastAsia" w:ascii="仿宋" w:hAnsi="仿宋" w:eastAsia="仿宋" w:cs="Times New Roman"/>
          <w:color w:val="000000"/>
          <w:sz w:val="24"/>
          <w:szCs w:val="22"/>
          <w:highlight w:val="none"/>
          <w:lang w:eastAsia="zh-CN"/>
        </w:rPr>
        <w:t>供应商</w:t>
      </w:r>
      <w:r>
        <w:rPr>
          <w:rFonts w:hint="eastAsia" w:ascii="仿宋" w:hAnsi="仿宋" w:eastAsia="仿宋" w:cs="Times New Roman"/>
          <w:color w:val="000000"/>
          <w:sz w:val="24"/>
          <w:szCs w:val="22"/>
          <w:highlight w:val="none"/>
        </w:rPr>
        <w:t>必须派至少2人驻点</w:t>
      </w:r>
      <w:r>
        <w:rPr>
          <w:rFonts w:hint="eastAsia" w:ascii="仿宋" w:hAnsi="仿宋" w:eastAsia="仿宋" w:cs="Times New Roman"/>
          <w:color w:val="000000"/>
          <w:sz w:val="24"/>
          <w:szCs w:val="22"/>
          <w:highlight w:val="none"/>
          <w:lang w:eastAsia="zh-CN"/>
        </w:rPr>
        <w:t>采购人现场，</w:t>
      </w:r>
      <w:r>
        <w:rPr>
          <w:rFonts w:hint="eastAsia" w:ascii="仿宋" w:hAnsi="仿宋" w:eastAsia="仿宋" w:cs="Times New Roman"/>
          <w:color w:val="000000"/>
          <w:sz w:val="24"/>
          <w:szCs w:val="22"/>
          <w:highlight w:val="none"/>
        </w:rPr>
        <w:t>对设备进行运行维护，工作时间与</w:t>
      </w:r>
      <w:r>
        <w:rPr>
          <w:rFonts w:hint="eastAsia" w:ascii="仿宋" w:hAnsi="仿宋" w:eastAsia="仿宋" w:cs="Times New Roman"/>
          <w:color w:val="000000"/>
          <w:sz w:val="24"/>
          <w:szCs w:val="22"/>
          <w:highlight w:val="none"/>
          <w:lang w:eastAsia="zh-CN"/>
        </w:rPr>
        <w:t>采购人</w:t>
      </w:r>
      <w:r>
        <w:rPr>
          <w:rFonts w:hint="eastAsia" w:ascii="仿宋" w:hAnsi="仿宋" w:eastAsia="仿宋" w:cs="Times New Roman"/>
          <w:color w:val="000000"/>
          <w:sz w:val="24"/>
          <w:szCs w:val="22"/>
          <w:highlight w:val="none"/>
        </w:rPr>
        <w:t>同步，并服从</w:t>
      </w:r>
      <w:r>
        <w:rPr>
          <w:rFonts w:hint="eastAsia" w:ascii="仿宋" w:hAnsi="仿宋" w:eastAsia="仿宋" w:cs="Times New Roman"/>
          <w:color w:val="000000"/>
          <w:sz w:val="24"/>
          <w:szCs w:val="22"/>
          <w:highlight w:val="none"/>
          <w:lang w:eastAsia="zh-CN"/>
        </w:rPr>
        <w:t>采购人</w:t>
      </w:r>
      <w:r>
        <w:rPr>
          <w:rFonts w:hint="eastAsia" w:ascii="仿宋" w:hAnsi="仿宋" w:eastAsia="仿宋" w:cs="Times New Roman"/>
          <w:color w:val="000000"/>
          <w:sz w:val="24"/>
          <w:szCs w:val="22"/>
          <w:highlight w:val="none"/>
        </w:rPr>
        <w:t>日常管理</w:t>
      </w:r>
      <w:r>
        <w:rPr>
          <w:rFonts w:hint="eastAsia" w:ascii="仿宋" w:hAnsi="仿宋" w:eastAsia="仿宋" w:cs="Times New Roman"/>
          <w:color w:val="000000"/>
          <w:sz w:val="24"/>
          <w:szCs w:val="22"/>
          <w:highlight w:val="none"/>
          <w:lang w:eastAsia="zh-CN"/>
        </w:rPr>
        <w:t>和其他工作安排，驻点人员一切费用由供应商承担</w:t>
      </w:r>
      <w:r>
        <w:rPr>
          <w:rFonts w:hint="eastAsia" w:ascii="仿宋" w:hAnsi="仿宋" w:eastAsia="仿宋" w:cs="Times New Roman"/>
          <w:color w:val="000000"/>
          <w:sz w:val="24"/>
          <w:szCs w:val="22"/>
          <w:highlight w:val="none"/>
        </w:rPr>
        <w:t>。</w:t>
      </w:r>
      <w:r>
        <w:rPr>
          <w:rFonts w:hint="eastAsia" w:ascii="仿宋" w:hAnsi="仿宋" w:eastAsia="仿宋" w:cs="Times New Roman"/>
          <w:color w:val="000000"/>
          <w:sz w:val="24"/>
          <w:szCs w:val="22"/>
          <w:highlight w:val="none"/>
          <w:lang w:val="en-US" w:eastAsia="zh-CN"/>
        </w:rPr>
        <w:t>(</w:t>
      </w:r>
      <w:r>
        <w:rPr>
          <w:rFonts w:hint="eastAsia" w:ascii="仿宋" w:hAnsi="仿宋" w:eastAsia="仿宋" w:cs="Times New Roman"/>
          <w:color w:val="000000"/>
          <w:sz w:val="24"/>
          <w:szCs w:val="22"/>
          <w:highlight w:val="none"/>
          <w:lang w:eastAsia="zh-CN"/>
        </w:rPr>
        <w:t>投标人须在投标文件中提供单独书面承诺函并加盖投标人公章</w:t>
      </w:r>
      <w:r>
        <w:rPr>
          <w:rFonts w:hint="eastAsia" w:ascii="仿宋" w:hAnsi="仿宋" w:eastAsia="仿宋" w:cs="Times New Roman"/>
          <w:color w:val="000000"/>
          <w:sz w:val="24"/>
          <w:szCs w:val="22"/>
          <w:highlight w:val="none"/>
          <w:lang w:val="en-US" w:eastAsia="zh-CN"/>
        </w:rPr>
        <w:t>）</w:t>
      </w:r>
    </w:p>
    <w:p>
      <w:pPr>
        <w:rPr>
          <w:rFonts w:hint="eastAsia"/>
          <w:highlight w:val="none"/>
          <w:lang w:val="en-US" w:eastAsia="zh-CN"/>
        </w:rPr>
      </w:pPr>
    </w:p>
    <w:p>
      <w:pPr>
        <w:autoSpaceDE w:val="0"/>
        <w:autoSpaceDN w:val="0"/>
        <w:adjustRightInd w:val="0"/>
        <w:spacing w:line="420" w:lineRule="exact"/>
        <w:rPr>
          <w:rFonts w:ascii="仿宋" w:hAnsi="仿宋" w:eastAsia="仿宋"/>
          <w:color w:val="000000"/>
          <w:sz w:val="24"/>
          <w:highlight w:val="none"/>
        </w:rPr>
      </w:pPr>
      <w:bookmarkStart w:id="9" w:name="_Toc502156725"/>
      <w:r>
        <w:rPr>
          <w:rFonts w:hint="eastAsia" w:ascii="仿宋" w:hAnsi="仿宋" w:eastAsia="仿宋"/>
          <w:color w:val="000000"/>
          <w:sz w:val="24"/>
          <w:highlight w:val="none"/>
        </w:rPr>
        <w:t>五、验收方式、标准要求</w:t>
      </w:r>
      <w:bookmarkEnd w:id="9"/>
    </w:p>
    <w:p>
      <w:pPr>
        <w:pStyle w:val="2"/>
        <w:spacing w:line="420" w:lineRule="exact"/>
        <w:ind w:firstLine="480" w:firstLineChars="200"/>
        <w:rPr>
          <w:rFonts w:ascii="仿宋" w:hAnsi="仿宋" w:eastAsia="仿宋" w:cs="Times New Roman"/>
          <w:color w:val="000000"/>
          <w:sz w:val="24"/>
          <w:szCs w:val="22"/>
          <w:highlight w:val="none"/>
        </w:rPr>
      </w:pPr>
      <w:r>
        <w:rPr>
          <w:rFonts w:ascii="仿宋" w:hAnsi="仿宋" w:eastAsia="仿宋" w:cs="Times New Roman"/>
          <w:color w:val="000000"/>
          <w:sz w:val="24"/>
          <w:szCs w:val="22"/>
          <w:highlight w:val="none"/>
        </w:rPr>
        <w:t xml:space="preserve">5.1 </w:t>
      </w:r>
      <w:r>
        <w:rPr>
          <w:rFonts w:hint="eastAsia" w:ascii="仿宋" w:hAnsi="仿宋" w:eastAsia="仿宋" w:cs="Times New Roman"/>
          <w:color w:val="000000"/>
          <w:sz w:val="24"/>
          <w:szCs w:val="22"/>
          <w:highlight w:val="none"/>
        </w:rPr>
        <w:t xml:space="preserve">验收标准 </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1.在中标通知书发布之日起1天内，须提供所投大数据智能安全平台、终端安全管理系统到采购人指定场所，按“功能演示要求”与采购人共同进行测试，测试功能点须完全满足功能演示要求，如测试未满足功能演示要求的，采购人有权邀请第三方专业公司对中标人提供所投大数据智能安全平台、终端安全管理系统根据功能演示要求表进行逐一检测，检测费用由中标人承担，如检测结果仍不满足功能演示要求的，招标人有权取消投标人中标资格。（投标人须在投标文件中提供单独书面承诺函并加盖投标人公章）</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★2.合同签订之日起7个日历日内完成所有货物的交货、安装、调试运行并经采购人验收合格，否则采购人有权取消合同（投标人须在投标文件中提供单独书面承诺函并加盖投标人公章）。</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3.本项目所有设备用于万江街道办事处主楼3楼机房，所提供的货物必须与机房内所有服务器、交换机等设备兼容并且所有功能运行正常。投标人签订合同后，完成所有货物供货、调试后2天内，把功能自检报告以书面形式通知采购人，采购人收到自检报告后，组织验收小组对货物进行测试验收，货物保证能够满足主要技术参数与要求。若测试不合格，投标人须在1天内完成对货物的二次调试并</w:t>
      </w:r>
      <w:r>
        <w:rPr>
          <w:rFonts w:hint="eastAsia" w:ascii="仿宋" w:hAnsi="仿宋" w:eastAsia="仿宋" w:cs="Times New Roman"/>
          <w:color w:val="000000"/>
          <w:sz w:val="24"/>
          <w:szCs w:val="22"/>
          <w:highlight w:val="none"/>
          <w:lang w:eastAsia="zh-CN"/>
        </w:rPr>
        <w:t>再次提交自检报告，</w:t>
      </w:r>
      <w:r>
        <w:rPr>
          <w:rFonts w:hint="eastAsia" w:ascii="仿宋" w:hAnsi="仿宋" w:eastAsia="仿宋" w:cs="Times New Roman"/>
          <w:color w:val="000000"/>
          <w:sz w:val="24"/>
          <w:szCs w:val="22"/>
          <w:highlight w:val="none"/>
        </w:rPr>
        <w:t>采购人收到自检报告后</w:t>
      </w:r>
      <w:r>
        <w:rPr>
          <w:rFonts w:hint="eastAsia" w:ascii="仿宋" w:hAnsi="仿宋" w:eastAsia="仿宋" w:cs="Times New Roman"/>
          <w:color w:val="000000"/>
          <w:sz w:val="24"/>
          <w:szCs w:val="22"/>
          <w:highlight w:val="none"/>
          <w:lang w:eastAsia="zh-CN"/>
        </w:rPr>
        <w:t>，</w:t>
      </w:r>
      <w:r>
        <w:rPr>
          <w:rFonts w:hint="eastAsia" w:ascii="仿宋" w:hAnsi="仿宋" w:eastAsia="仿宋" w:cs="Times New Roman"/>
          <w:color w:val="000000"/>
          <w:sz w:val="24"/>
          <w:szCs w:val="22"/>
          <w:highlight w:val="none"/>
        </w:rPr>
        <w:t>组织验收小组进行</w:t>
      </w:r>
      <w:r>
        <w:rPr>
          <w:rFonts w:hint="eastAsia" w:ascii="仿宋" w:hAnsi="仿宋" w:eastAsia="仿宋" w:cs="Times New Roman"/>
          <w:color w:val="000000"/>
          <w:sz w:val="24"/>
          <w:szCs w:val="22"/>
          <w:highlight w:val="none"/>
          <w:lang w:eastAsia="zh-CN"/>
        </w:rPr>
        <w:t>二次</w:t>
      </w:r>
      <w:r>
        <w:rPr>
          <w:rFonts w:hint="eastAsia" w:ascii="仿宋" w:hAnsi="仿宋" w:eastAsia="仿宋" w:cs="Times New Roman"/>
          <w:color w:val="000000"/>
          <w:sz w:val="24"/>
          <w:szCs w:val="22"/>
          <w:highlight w:val="none"/>
        </w:rPr>
        <w:t>测试验收，若仍然测试不合格，采购人有权终止合同并不再支付本项目剩余的款项且要求投标人退还采购人已支付的款项，同时，</w:t>
      </w:r>
      <w:r>
        <w:rPr>
          <w:rFonts w:hint="eastAsia" w:ascii="仿宋" w:hAnsi="仿宋" w:eastAsia="仿宋" w:cs="Times New Roman"/>
          <w:color w:val="000000"/>
          <w:sz w:val="24"/>
          <w:szCs w:val="22"/>
          <w:highlight w:val="none"/>
          <w:lang w:eastAsia="zh-CN"/>
        </w:rPr>
        <w:t>采购人有权</w:t>
      </w:r>
      <w:r>
        <w:rPr>
          <w:rFonts w:hint="eastAsia" w:ascii="仿宋" w:hAnsi="仿宋" w:eastAsia="仿宋" w:cs="Times New Roman"/>
          <w:color w:val="000000"/>
          <w:sz w:val="24"/>
          <w:szCs w:val="22"/>
          <w:highlight w:val="none"/>
        </w:rPr>
        <w:t>对中标人处以合同总金额的</w:t>
      </w:r>
      <w:r>
        <w:rPr>
          <w:rFonts w:hint="eastAsia" w:ascii="仿宋" w:hAnsi="仿宋" w:eastAsia="仿宋" w:cs="Times New Roman"/>
          <w:color w:val="000000"/>
          <w:sz w:val="24"/>
          <w:szCs w:val="22"/>
          <w:highlight w:val="none"/>
          <w:lang w:val="en-US" w:eastAsia="zh-CN"/>
        </w:rPr>
        <w:t>30</w:t>
      </w:r>
      <w:r>
        <w:rPr>
          <w:rFonts w:hint="eastAsia" w:ascii="仿宋" w:hAnsi="仿宋" w:eastAsia="仿宋" w:cs="Times New Roman"/>
          <w:color w:val="000000"/>
          <w:sz w:val="24"/>
          <w:szCs w:val="22"/>
          <w:highlight w:val="none"/>
        </w:rPr>
        <w:t>%作为违约赔偿金及</w:t>
      </w:r>
      <w:r>
        <w:rPr>
          <w:rFonts w:hint="eastAsia" w:ascii="仿宋" w:hAnsi="仿宋" w:eastAsia="仿宋" w:cs="Times New Roman"/>
          <w:color w:val="000000"/>
          <w:sz w:val="24"/>
          <w:szCs w:val="22"/>
          <w:highlight w:val="none"/>
          <w:lang w:eastAsia="zh-CN"/>
        </w:rPr>
        <w:t>追究因中标人提供的货物无法通过验收</w:t>
      </w:r>
      <w:r>
        <w:rPr>
          <w:rFonts w:hint="eastAsia" w:ascii="仿宋" w:hAnsi="仿宋" w:eastAsia="仿宋" w:cs="Times New Roman"/>
          <w:color w:val="000000"/>
          <w:sz w:val="24"/>
          <w:szCs w:val="22"/>
          <w:highlight w:val="none"/>
        </w:rPr>
        <w:t>造成的一切损失。（投标人须在投标文件中提供单独书面承诺函并加盖投标人公章）</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4.设备验收合格并启用之日起6个月内，投标人必须派至少2人驻点采购人现场，对设备进行运行维护，工作时间与采购人同步，并服从采购人日常管理和其他工作安排，驻点人员一切费用由投标人承担。（投标人须在投标文件中提供单独书面承诺函并加盖投标人公章）</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 xml:space="preserve">5.要求本项目的设备，除了要符合本采购项目内容所要求的技术规格参数外，还要符合中华人民共和 国国家标准或行业标准，这些标准必须是有关机构发布的最新版本的标准；如采购项目内容中所描述的 技术参数标准与国家标准或行业标准有冲突，则以国家标准或行业标准为准。 </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6.验收细则</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 xml:space="preserve">1）全部货物运抵现场后至最终验收前。都要求进行依国家有关标准、行业标准、合同及有关附件要求进行检测。 </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 xml:space="preserve">2）货物到货阶段、开箱检验和基本测试货物到货验收将分成两步进行：第一步是产品外包装验收，第二步是产品开箱验收。外包装验收主要是检查外包装在运输途中的破损情况；开箱验收，主要是检查有无短缺和到货即损，包括对硬件产品的通电检验，并将货物的序列号进行登记和核对，即严格按照合同对货物进行检查，以便及早发现到货即损的货物，并采取相应措施，按照保修程序返回厂家更换。货物到货验阶段需填写货物验收表等，采购人对生产厂家的产品进行验收。 </w:t>
      </w:r>
    </w:p>
    <w:p>
      <w:pPr>
        <w:pStyle w:val="2"/>
        <w:spacing w:line="420" w:lineRule="exact"/>
        <w:ind w:firstLine="480" w:firstLineChars="200"/>
        <w:rPr>
          <w:rFonts w:hint="eastAsia" w:ascii="仿宋" w:hAnsi="仿宋" w:eastAsia="仿宋" w:cs="Times New Roman"/>
          <w:color w:val="000000"/>
          <w:sz w:val="24"/>
          <w:szCs w:val="22"/>
          <w:highlight w:val="none"/>
        </w:rPr>
      </w:pPr>
      <w:r>
        <w:rPr>
          <w:rFonts w:hint="eastAsia" w:ascii="仿宋" w:hAnsi="仿宋" w:eastAsia="仿宋" w:cs="Times New Roman"/>
          <w:color w:val="000000"/>
          <w:sz w:val="24"/>
          <w:szCs w:val="22"/>
          <w:highlight w:val="none"/>
        </w:rPr>
        <w:t>3）要求对全部的货物、产品、型号、规格、数量、外型、外观、包装及资料、文件（如进货单、装箱单、保修证明、保修单、随箱介质等）的仔细检查。拆箱后，对其全部产品、零件、配件、用户许 可证书、资料、介质造册登记，并与装箱单对比，如有出入应立即书面记录，由供货商解决，如影响安装则按合同有关条款处理。货物通电测试应单台进行，所有货物通电自检正常后，才能相互联。货物全部安装完成且连接完毕进行系统测试，按</w:t>
      </w:r>
      <w:r>
        <w:rPr>
          <w:rFonts w:hint="eastAsia" w:ascii="仿宋" w:hAnsi="仿宋" w:eastAsia="仿宋" w:cs="Times New Roman"/>
          <w:color w:val="000000"/>
          <w:sz w:val="24"/>
          <w:szCs w:val="22"/>
          <w:highlight w:val="none"/>
          <w:lang w:eastAsia="zh-CN"/>
        </w:rPr>
        <w:t>招标文件</w:t>
      </w:r>
      <w:r>
        <w:rPr>
          <w:rFonts w:hint="eastAsia" w:ascii="仿宋" w:hAnsi="仿宋" w:eastAsia="仿宋" w:cs="Times New Roman"/>
          <w:color w:val="000000"/>
          <w:sz w:val="24"/>
          <w:szCs w:val="22"/>
          <w:highlight w:val="none"/>
        </w:rPr>
        <w:t>技术要求逐条检测，供货时不以任何理由作变更，采购人一律不接受功能有负偏差的变更，只接受功能优于且包含采购需求所列功能的产品，若供货后发现功能不满足</w:t>
      </w:r>
      <w:r>
        <w:rPr>
          <w:rFonts w:hint="eastAsia" w:ascii="仿宋" w:hAnsi="仿宋" w:eastAsia="仿宋" w:cs="Times New Roman"/>
          <w:color w:val="000000"/>
          <w:sz w:val="24"/>
          <w:szCs w:val="22"/>
          <w:highlight w:val="none"/>
          <w:lang w:eastAsia="zh-CN"/>
        </w:rPr>
        <w:t>招标文件、投标文件</w:t>
      </w:r>
      <w:r>
        <w:rPr>
          <w:rFonts w:hint="eastAsia" w:ascii="仿宋" w:hAnsi="仿宋" w:eastAsia="仿宋" w:cs="Times New Roman"/>
          <w:color w:val="000000"/>
          <w:sz w:val="24"/>
          <w:szCs w:val="22"/>
          <w:highlight w:val="none"/>
        </w:rPr>
        <w:t>的，采购人一律不予通过验收，所带来的损失采购人一概不负责且及有权要求投标人赔偿。</w:t>
      </w:r>
    </w:p>
    <w:p>
      <w:pPr>
        <w:ind w:firstLine="562"/>
        <w:rPr>
          <w:rFonts w:hint="eastAsia" w:ascii="仿宋" w:hAnsi="仿宋" w:eastAsia="仿宋" w:cs="Times New Roman"/>
          <w:color w:val="000000"/>
          <w:sz w:val="24"/>
          <w:szCs w:val="22"/>
          <w:highlight w:val="none"/>
          <w:lang w:eastAsia="zh-CN"/>
        </w:rPr>
      </w:pPr>
      <w:r>
        <w:rPr>
          <w:rFonts w:hint="eastAsia" w:ascii="仿宋" w:hAnsi="仿宋" w:eastAsia="仿宋" w:cs="Times New Roman"/>
          <w:color w:val="000000"/>
          <w:sz w:val="24"/>
          <w:szCs w:val="22"/>
          <w:highlight w:val="none"/>
        </w:rPr>
        <w:t>4）货物安装调试完成后，在不影响正常使用的情况下也不得出现异响、漏电、过热等异常情况。如3天内无法解决上述异常，视为该货物验收不合格，采购人有权要求投标人赔偿。</w:t>
      </w:r>
    </w:p>
    <w:p>
      <w:pPr>
        <w:rPr>
          <w:highlight w:val="none"/>
        </w:rPr>
      </w:pPr>
    </w:p>
    <w:p>
      <w:pPr>
        <w:jc w:val="center"/>
        <w:rPr>
          <w:color w:val="212121"/>
          <w:sz w:val="16"/>
          <w:szCs w:val="24"/>
          <w:highlight w:val="none"/>
        </w:rPr>
      </w:pPr>
      <w:r>
        <w:rPr>
          <w:rFonts w:hint="eastAsia"/>
          <w:color w:val="212121"/>
          <w:sz w:val="16"/>
          <w:szCs w:val="24"/>
          <w:highlight w:val="none"/>
        </w:rPr>
        <w:t>功能演示要求</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12"/>
        <w:gridCol w:w="873"/>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序号</w:t>
            </w:r>
          </w:p>
        </w:tc>
        <w:tc>
          <w:tcPr>
            <w:tcW w:w="770" w:type="pc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演示产品</w:t>
            </w:r>
          </w:p>
        </w:tc>
        <w:tc>
          <w:tcPr>
            <w:tcW w:w="512" w:type="pc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部件</w:t>
            </w:r>
          </w:p>
        </w:tc>
        <w:tc>
          <w:tcPr>
            <w:tcW w:w="3294" w:type="pc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具体功能要求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1</w:t>
            </w:r>
          </w:p>
        </w:tc>
        <w:tc>
          <w:tcPr>
            <w:tcW w:w="770" w:type="pct"/>
            <w:vMerge w:val="restar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大数据智能安全平台</w:t>
            </w:r>
          </w:p>
        </w:tc>
        <w:tc>
          <w:tcPr>
            <w:tcW w:w="512" w:type="pct"/>
            <w:vAlign w:val="center"/>
          </w:tcPr>
          <w:p>
            <w:pPr>
              <w:numPr>
                <w:ilvl w:val="255"/>
                <w:numId w:val="0"/>
              </w:numPr>
              <w:adjustRightInd w:val="0"/>
              <w:jc w:val="center"/>
              <w:rPr>
                <w:color w:val="212121"/>
                <w:sz w:val="16"/>
                <w:szCs w:val="24"/>
                <w:highlight w:val="none"/>
              </w:rPr>
            </w:pPr>
            <w:r>
              <w:rPr>
                <w:rFonts w:hint="eastAsia"/>
                <w:color w:val="212121"/>
                <w:sz w:val="16"/>
                <w:szCs w:val="24"/>
                <w:highlight w:val="none"/>
              </w:rPr>
              <w:t>平台软件</w:t>
            </w:r>
          </w:p>
        </w:tc>
        <w:tc>
          <w:tcPr>
            <w:tcW w:w="3294" w:type="pct"/>
            <w:vAlign w:val="center"/>
          </w:tcPr>
          <w:p>
            <w:pPr>
              <w:numPr>
                <w:ilvl w:val="255"/>
                <w:numId w:val="0"/>
              </w:numPr>
              <w:adjustRightInd w:val="0"/>
              <w:jc w:val="both"/>
              <w:rPr>
                <w:color w:val="212121"/>
                <w:sz w:val="16"/>
                <w:szCs w:val="24"/>
                <w:highlight w:val="none"/>
              </w:rPr>
            </w:pPr>
            <w:r>
              <w:rPr>
                <w:rFonts w:hint="eastAsia"/>
                <w:color w:val="212121"/>
                <w:sz w:val="16"/>
                <w:szCs w:val="24"/>
                <w:highlight w:val="none"/>
              </w:rPr>
              <w:t>1、提供威胁狩猎能力：应支持基于IP的威胁狩猎，实现风险钻取分析功能，可根据攻击者和受害者等不同纬度的风险要素对整网安全进行逐层分析和逐级追踪，可以从系统内所有的IP进行下钻分析，聚合关联与该IP相关的所有安全告警与访问信息，以时序方式呈现资产遭受的攻击全过程；同时具备一键快照能力：支持创建、修改、删除狩猎报告，支持将星空图及系统中的异常元素，一键添加到威胁狩猎报告内容中，须提供动态演示界面；</w:t>
            </w:r>
          </w:p>
          <w:p>
            <w:pPr>
              <w:numPr>
                <w:ilvl w:val="255"/>
                <w:numId w:val="0"/>
              </w:numPr>
              <w:adjustRightInd w:val="0"/>
              <w:jc w:val="both"/>
              <w:rPr>
                <w:color w:val="212121"/>
                <w:sz w:val="16"/>
                <w:szCs w:val="24"/>
                <w:highlight w:val="none"/>
              </w:rPr>
            </w:pPr>
            <w:r>
              <w:rPr>
                <w:rFonts w:hint="eastAsia"/>
                <w:color w:val="212121"/>
                <w:sz w:val="16"/>
                <w:szCs w:val="24"/>
                <w:highlight w:val="none"/>
              </w:rPr>
              <w:t>2、提供告警处置能力：应支持对告警进行处置，包括确认、加入白名单、封堵操作，支持多条件查询，支持图表和列表联动，支持钻取至告警详情，综合展示告警信息攻击模型，访问关系图，危害和处置建议，告警历程，告警溯源信息和关联的原始日志，支持钻取到日志中心进行详细分析，须提供动态演示界面；</w:t>
            </w:r>
          </w:p>
          <w:p>
            <w:pPr>
              <w:numPr>
                <w:ilvl w:val="255"/>
                <w:numId w:val="0"/>
              </w:numPr>
              <w:adjustRightInd w:val="0"/>
              <w:jc w:val="both"/>
              <w:rPr>
                <w:color w:val="212121"/>
                <w:sz w:val="16"/>
                <w:szCs w:val="24"/>
                <w:highlight w:val="none"/>
              </w:rPr>
            </w:pPr>
            <w:r>
              <w:rPr>
                <w:rFonts w:hint="eastAsia"/>
                <w:color w:val="212121"/>
                <w:sz w:val="16"/>
                <w:szCs w:val="24"/>
                <w:highlight w:val="none"/>
              </w:rPr>
              <w:t>3、提供第三方产品联动能力：应支持联动防火墙、云主机防护、终端防病毒、终端安全管理等产品的功能，实现IP/URL/域名封堵、病毒查杀、主机隔离、虚拟补丁、挖矿防护等能力，须提供动态演示界面；</w:t>
            </w:r>
          </w:p>
          <w:p>
            <w:pPr>
              <w:numPr>
                <w:ilvl w:val="255"/>
                <w:numId w:val="0"/>
              </w:numPr>
              <w:adjustRightInd w:val="0"/>
              <w:jc w:val="both"/>
              <w:rPr>
                <w:color w:val="212121"/>
                <w:sz w:val="16"/>
                <w:szCs w:val="24"/>
                <w:highlight w:val="none"/>
              </w:rPr>
            </w:pPr>
            <w:r>
              <w:rPr>
                <w:rFonts w:hint="eastAsia"/>
                <w:color w:val="212121"/>
                <w:sz w:val="16"/>
                <w:szCs w:val="24"/>
                <w:highlight w:val="none"/>
              </w:rPr>
              <w:t>4、提供剧本任务执行能力：支持根据剧本一键封禁、一键查杀、补丁联动、挖矿防护等剧本， 同时可查询剧本执行历史查询，单剧本可查看执行轨迹，须提供动态演示界面；</w:t>
            </w:r>
          </w:p>
          <w:p>
            <w:pPr>
              <w:numPr>
                <w:ilvl w:val="255"/>
                <w:numId w:val="0"/>
              </w:numPr>
              <w:adjustRightInd w:val="0"/>
              <w:jc w:val="both"/>
              <w:rPr>
                <w:color w:val="212121"/>
                <w:sz w:val="16"/>
                <w:szCs w:val="24"/>
                <w:highlight w:val="none"/>
              </w:rPr>
            </w:pPr>
            <w:r>
              <w:rPr>
                <w:rFonts w:hint="eastAsia"/>
                <w:color w:val="212121"/>
                <w:sz w:val="16"/>
                <w:szCs w:val="24"/>
                <w:highlight w:val="none"/>
              </w:rPr>
              <w:t>5、提供资产自动扫描识别能力：应支持根据IP网段和端口段进行扫描内网的资产信息，能够识别操作系统、开放的端口、开放的服务、MAC地址、资产名称，所得的资产数据可以自动或者人工确认装载到资产数据库进行统一管理，须提供动态演示界面；</w:t>
            </w:r>
          </w:p>
          <w:p>
            <w:pPr>
              <w:numPr>
                <w:ilvl w:val="255"/>
                <w:numId w:val="0"/>
              </w:numPr>
              <w:adjustRightInd w:val="0"/>
              <w:jc w:val="both"/>
              <w:rPr>
                <w:color w:val="212121"/>
                <w:sz w:val="16"/>
                <w:szCs w:val="24"/>
                <w:highlight w:val="none"/>
              </w:rPr>
            </w:pPr>
            <w:r>
              <w:rPr>
                <w:rFonts w:hint="eastAsia"/>
                <w:color w:val="212121"/>
                <w:sz w:val="16"/>
                <w:szCs w:val="24"/>
                <w:highlight w:val="none"/>
              </w:rPr>
              <w:t>6、提供资产拓扑自动化生成能力：应支持根据设定的安全域网段，自动生成网络拓扑，将各类资产及资产间的互访关联关系，以逻辑拓扑的方式进行展现，支持用户手动修改拓扑图摆放位置，支持在拓扑图上展示资产的详细信息，须提供动态演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pPr>
              <w:adjustRightInd w:val="0"/>
              <w:spacing w:line="420" w:lineRule="exact"/>
              <w:jc w:val="center"/>
              <w:rPr>
                <w:color w:val="212121"/>
                <w:sz w:val="16"/>
                <w:szCs w:val="24"/>
                <w:highlight w:val="none"/>
              </w:rPr>
            </w:pPr>
          </w:p>
        </w:tc>
        <w:tc>
          <w:tcPr>
            <w:tcW w:w="770" w:type="pct"/>
            <w:vMerge w:val="continue"/>
            <w:vAlign w:val="center"/>
          </w:tcPr>
          <w:p>
            <w:pPr>
              <w:adjustRightInd w:val="0"/>
              <w:spacing w:line="420" w:lineRule="exact"/>
              <w:jc w:val="center"/>
              <w:rPr>
                <w:color w:val="212121"/>
                <w:sz w:val="16"/>
                <w:szCs w:val="24"/>
                <w:highlight w:val="none"/>
              </w:rPr>
            </w:pPr>
          </w:p>
        </w:tc>
        <w:tc>
          <w:tcPr>
            <w:tcW w:w="512" w:type="pct"/>
            <w:vAlign w:val="center"/>
          </w:tcPr>
          <w:p>
            <w:pPr>
              <w:adjustRightInd w:val="0"/>
              <w:spacing w:after="120"/>
              <w:jc w:val="center"/>
              <w:rPr>
                <w:color w:val="212121"/>
                <w:sz w:val="16"/>
                <w:szCs w:val="24"/>
                <w:highlight w:val="none"/>
              </w:rPr>
            </w:pPr>
            <w:r>
              <w:rPr>
                <w:rFonts w:hint="eastAsia"/>
                <w:color w:val="212121"/>
                <w:sz w:val="16"/>
                <w:szCs w:val="24"/>
                <w:highlight w:val="none"/>
              </w:rPr>
              <w:t>流量监测探针</w:t>
            </w:r>
          </w:p>
        </w:tc>
        <w:tc>
          <w:tcPr>
            <w:tcW w:w="3294" w:type="pct"/>
            <w:vAlign w:val="center"/>
          </w:tcPr>
          <w:p>
            <w:pPr>
              <w:adjustRightInd w:val="0"/>
              <w:spacing w:after="120"/>
              <w:jc w:val="both"/>
              <w:rPr>
                <w:color w:val="212121"/>
                <w:sz w:val="16"/>
                <w:szCs w:val="24"/>
                <w:highlight w:val="none"/>
              </w:rPr>
            </w:pPr>
            <w:r>
              <w:rPr>
                <w:rFonts w:hint="eastAsia"/>
                <w:color w:val="212121"/>
                <w:sz w:val="16"/>
                <w:szCs w:val="24"/>
                <w:highlight w:val="none"/>
              </w:rPr>
              <w:t>1、提供新型/未知威胁分析能力：应支持内置沙箱系统，具有高度定制化，可以支持使用客户环境特性的Windows操作系统平台与应用，须提供动态演示界面；</w:t>
            </w:r>
          </w:p>
          <w:p>
            <w:pPr>
              <w:adjustRightInd w:val="0"/>
              <w:spacing w:after="120"/>
              <w:jc w:val="both"/>
              <w:rPr>
                <w:color w:val="212121"/>
                <w:sz w:val="16"/>
                <w:szCs w:val="24"/>
                <w:highlight w:val="none"/>
              </w:rPr>
            </w:pPr>
            <w:r>
              <w:rPr>
                <w:rFonts w:hint="eastAsia"/>
                <w:color w:val="212121"/>
                <w:sz w:val="16"/>
                <w:szCs w:val="24"/>
                <w:highlight w:val="none"/>
              </w:rPr>
              <w:t>2、提供流量抓包与回放能力：应支持pcap回放功能，对导入的pcap进行回放并进行威胁检测，回放产生的告警必须和生产网络流量的告警分页面展示，避免干扰正常安全运营，须提供动态演示界面；</w:t>
            </w:r>
          </w:p>
          <w:p>
            <w:pPr>
              <w:adjustRightInd w:val="0"/>
              <w:spacing w:after="120"/>
              <w:jc w:val="both"/>
              <w:rPr>
                <w:color w:val="212121"/>
                <w:sz w:val="16"/>
                <w:szCs w:val="24"/>
                <w:highlight w:val="none"/>
              </w:rPr>
            </w:pPr>
            <w:r>
              <w:rPr>
                <w:rFonts w:hint="eastAsia"/>
                <w:color w:val="212121"/>
                <w:sz w:val="16"/>
                <w:szCs w:val="24"/>
                <w:highlight w:val="none"/>
              </w:rPr>
              <w:t>3、提供恶意文件流转溯源能力：应支持以文件为中心，溯源整个文件的流转记录，并以图形化方式展示出来，须提供动态演示界面；</w:t>
            </w:r>
          </w:p>
          <w:p>
            <w:pPr>
              <w:adjustRightInd w:val="0"/>
              <w:spacing w:after="120"/>
              <w:jc w:val="both"/>
              <w:rPr>
                <w:color w:val="212121"/>
                <w:sz w:val="16"/>
                <w:szCs w:val="24"/>
                <w:highlight w:val="none"/>
              </w:rPr>
            </w:pPr>
            <w:r>
              <w:rPr>
                <w:rFonts w:hint="eastAsia"/>
                <w:color w:val="212121"/>
                <w:sz w:val="16"/>
                <w:szCs w:val="24"/>
                <w:highlight w:val="none"/>
              </w:rPr>
              <w:t>4、提供威胁检测特征自定义能力：应支持网络威胁自定义与威胁情报自定义，网络威胁能自主添加规则名称，规则等级与规则类型，语法兼容业界最常用的snort规则的写法。威胁情报自定义包括IP、URL、DOMAIN、文件HASH四种类型，可以根据具体的使用场景进行选择。威胁情报自定义的规则可以支持多个同类对象的集合，比如对多个IP同时进行监控，须提供动态演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pPr>
              <w:adjustRightInd w:val="0"/>
              <w:spacing w:line="420" w:lineRule="exact"/>
              <w:jc w:val="center"/>
              <w:rPr>
                <w:color w:val="212121"/>
                <w:sz w:val="16"/>
                <w:szCs w:val="24"/>
                <w:highlight w:val="none"/>
              </w:rPr>
            </w:pPr>
          </w:p>
        </w:tc>
        <w:tc>
          <w:tcPr>
            <w:tcW w:w="770" w:type="pct"/>
            <w:vMerge w:val="continue"/>
            <w:vAlign w:val="center"/>
          </w:tcPr>
          <w:p>
            <w:pPr>
              <w:adjustRightInd w:val="0"/>
              <w:spacing w:line="420" w:lineRule="exact"/>
              <w:jc w:val="center"/>
              <w:rPr>
                <w:color w:val="212121"/>
                <w:sz w:val="16"/>
                <w:szCs w:val="24"/>
                <w:highlight w:val="none"/>
              </w:rPr>
            </w:pPr>
          </w:p>
        </w:tc>
        <w:tc>
          <w:tcPr>
            <w:tcW w:w="512" w:type="pct"/>
            <w:vAlign w:val="center"/>
          </w:tcPr>
          <w:p>
            <w:pPr>
              <w:adjustRightInd w:val="0"/>
              <w:jc w:val="center"/>
              <w:rPr>
                <w:color w:val="212121"/>
                <w:sz w:val="16"/>
                <w:szCs w:val="24"/>
                <w:highlight w:val="none"/>
              </w:rPr>
            </w:pPr>
            <w:r>
              <w:rPr>
                <w:rFonts w:hint="eastAsia"/>
                <w:color w:val="212121"/>
                <w:sz w:val="16"/>
                <w:szCs w:val="24"/>
                <w:highlight w:val="none"/>
              </w:rPr>
              <w:t>威胁情报订阅模块</w:t>
            </w:r>
          </w:p>
        </w:tc>
        <w:tc>
          <w:tcPr>
            <w:tcW w:w="3294" w:type="pct"/>
            <w:vAlign w:val="center"/>
          </w:tcPr>
          <w:p>
            <w:pPr>
              <w:adjustRightInd w:val="0"/>
              <w:jc w:val="both"/>
              <w:rPr>
                <w:color w:val="212121"/>
                <w:sz w:val="16"/>
                <w:szCs w:val="24"/>
                <w:highlight w:val="none"/>
              </w:rPr>
            </w:pPr>
            <w:r>
              <w:rPr>
                <w:rFonts w:hint="eastAsia"/>
                <w:color w:val="212121"/>
                <w:sz w:val="16"/>
                <w:szCs w:val="24"/>
                <w:highlight w:val="none"/>
              </w:rPr>
              <w:t>提供威胁情报订阅能力：应具备云端威胁情报订阅模块：内置威胁情报离线库并支持更新；支持采用情报数据进行实时检测防御；支持订阅高级威胁分析情报，须提供动态演示界面；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2</w:t>
            </w:r>
          </w:p>
        </w:tc>
        <w:tc>
          <w:tcPr>
            <w:tcW w:w="770" w:type="pct"/>
            <w:vMerge w:val="restart"/>
            <w:vAlign w:val="center"/>
          </w:tcPr>
          <w:p>
            <w:pPr>
              <w:adjustRightInd w:val="0"/>
              <w:spacing w:line="420" w:lineRule="exact"/>
              <w:jc w:val="center"/>
              <w:rPr>
                <w:color w:val="212121"/>
                <w:sz w:val="16"/>
                <w:szCs w:val="24"/>
                <w:highlight w:val="none"/>
              </w:rPr>
            </w:pPr>
            <w:r>
              <w:rPr>
                <w:rFonts w:hint="eastAsia"/>
                <w:color w:val="212121"/>
                <w:sz w:val="16"/>
                <w:szCs w:val="24"/>
                <w:highlight w:val="none"/>
              </w:rPr>
              <w:t>终端安全管理系统</w:t>
            </w:r>
          </w:p>
        </w:tc>
        <w:tc>
          <w:tcPr>
            <w:tcW w:w="512" w:type="pct"/>
            <w:vAlign w:val="center"/>
          </w:tcPr>
          <w:p>
            <w:pPr>
              <w:adjustRightInd w:val="0"/>
              <w:jc w:val="center"/>
              <w:rPr>
                <w:color w:val="212121"/>
                <w:sz w:val="16"/>
                <w:szCs w:val="24"/>
                <w:highlight w:val="none"/>
              </w:rPr>
            </w:pPr>
            <w:r>
              <w:rPr>
                <w:rFonts w:hint="eastAsia"/>
                <w:color w:val="212121"/>
                <w:sz w:val="16"/>
                <w:szCs w:val="24"/>
                <w:highlight w:val="none"/>
              </w:rPr>
              <w:t>终端安全管理中心</w:t>
            </w:r>
          </w:p>
        </w:tc>
        <w:tc>
          <w:tcPr>
            <w:tcW w:w="3294" w:type="pct"/>
            <w:vAlign w:val="center"/>
          </w:tcPr>
          <w:p>
            <w:pPr>
              <w:adjustRightInd w:val="0"/>
              <w:jc w:val="left"/>
              <w:rPr>
                <w:color w:val="212121"/>
                <w:sz w:val="16"/>
                <w:szCs w:val="24"/>
                <w:highlight w:val="none"/>
              </w:rPr>
            </w:pPr>
            <w:r>
              <w:rPr>
                <w:rFonts w:hint="eastAsia"/>
                <w:color w:val="212121"/>
                <w:sz w:val="16"/>
                <w:szCs w:val="24"/>
                <w:highlight w:val="none"/>
              </w:rPr>
              <w:t>提供终端统一安全防护，实现集中的管理、监控、更新和部署等能力：集中管理客户端防病毒、防火墙、Web信誉、桌面管控、EDR、资产管理等功能，须提供动态演示界面；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pPr>
              <w:adjustRightInd w:val="0"/>
              <w:spacing w:line="420" w:lineRule="exact"/>
              <w:jc w:val="center"/>
              <w:rPr>
                <w:color w:val="212121"/>
                <w:sz w:val="16"/>
                <w:szCs w:val="24"/>
                <w:highlight w:val="none"/>
              </w:rPr>
            </w:pPr>
          </w:p>
        </w:tc>
        <w:tc>
          <w:tcPr>
            <w:tcW w:w="770" w:type="pct"/>
            <w:vMerge w:val="continue"/>
            <w:vAlign w:val="center"/>
          </w:tcPr>
          <w:p>
            <w:pPr>
              <w:adjustRightInd w:val="0"/>
              <w:spacing w:line="420" w:lineRule="exact"/>
              <w:jc w:val="center"/>
              <w:rPr>
                <w:color w:val="212121"/>
                <w:sz w:val="16"/>
                <w:szCs w:val="24"/>
                <w:highlight w:val="none"/>
              </w:rPr>
            </w:pPr>
          </w:p>
        </w:tc>
        <w:tc>
          <w:tcPr>
            <w:tcW w:w="512" w:type="pct"/>
            <w:vAlign w:val="center"/>
          </w:tcPr>
          <w:p>
            <w:pPr>
              <w:adjustRightInd w:val="0"/>
              <w:jc w:val="center"/>
              <w:rPr>
                <w:color w:val="212121"/>
                <w:sz w:val="16"/>
                <w:szCs w:val="24"/>
                <w:highlight w:val="none"/>
              </w:rPr>
            </w:pPr>
            <w:r>
              <w:rPr>
                <w:rFonts w:hint="eastAsia"/>
                <w:color w:val="212121"/>
                <w:sz w:val="16"/>
                <w:szCs w:val="24"/>
                <w:highlight w:val="none"/>
              </w:rPr>
              <w:t>PC防护模块</w:t>
            </w:r>
          </w:p>
        </w:tc>
        <w:tc>
          <w:tcPr>
            <w:tcW w:w="3294" w:type="pct"/>
            <w:vAlign w:val="center"/>
          </w:tcPr>
          <w:p>
            <w:pPr>
              <w:adjustRightInd w:val="0"/>
              <w:jc w:val="both"/>
              <w:rPr>
                <w:color w:val="212121"/>
                <w:sz w:val="16"/>
                <w:szCs w:val="24"/>
                <w:highlight w:val="none"/>
              </w:rPr>
            </w:pPr>
            <w:r>
              <w:rPr>
                <w:rFonts w:hint="eastAsia"/>
                <w:color w:val="212121"/>
                <w:sz w:val="16"/>
                <w:szCs w:val="24"/>
                <w:highlight w:val="none"/>
              </w:rPr>
              <w:t>1、提供多种病毒处置能力：产品应支持多种处置措施，以保证对于文件多种处理的可选择性，处置措施包含但不限于：清除、隔离、删除、不予处理、拒绝访问，须提供动态演示界面；</w:t>
            </w:r>
          </w:p>
          <w:p>
            <w:pPr>
              <w:adjustRightInd w:val="0"/>
              <w:jc w:val="both"/>
              <w:rPr>
                <w:color w:val="212121"/>
                <w:sz w:val="16"/>
                <w:szCs w:val="24"/>
                <w:highlight w:val="none"/>
              </w:rPr>
            </w:pPr>
            <w:r>
              <w:rPr>
                <w:rFonts w:hint="eastAsia"/>
                <w:color w:val="212121"/>
                <w:sz w:val="16"/>
                <w:szCs w:val="24"/>
                <w:highlight w:val="none"/>
              </w:rPr>
              <w:t>2、提供恶意站点防护能力：具备Web信誉评估功能，包含HTTPS通信扫描，结合云安全架构自动识别并屏蔽恶意站点，阻止病毒自动更新，须提供动态演示界面；</w:t>
            </w:r>
          </w:p>
          <w:p>
            <w:pPr>
              <w:adjustRightInd w:val="0"/>
              <w:jc w:val="both"/>
              <w:rPr>
                <w:color w:val="212121"/>
                <w:sz w:val="16"/>
                <w:szCs w:val="24"/>
                <w:highlight w:val="none"/>
              </w:rPr>
            </w:pPr>
            <w:r>
              <w:rPr>
                <w:rFonts w:hint="eastAsia"/>
                <w:color w:val="212121"/>
                <w:sz w:val="16"/>
                <w:szCs w:val="24"/>
                <w:highlight w:val="none"/>
              </w:rPr>
              <w:t>3、提供病毒爆发防护能力：当最新病毒爆发时,可在病毒代码未完成之前自动对单位网络中的病毒传播端口、共享等进行关闭,切断病毒传播途径,预防最新病毒的攻击；</w:t>
            </w:r>
          </w:p>
          <w:p>
            <w:pPr>
              <w:adjustRightInd w:val="0"/>
              <w:jc w:val="both"/>
              <w:rPr>
                <w:color w:val="212121"/>
                <w:sz w:val="16"/>
                <w:szCs w:val="24"/>
                <w:highlight w:val="none"/>
              </w:rPr>
            </w:pPr>
            <w:r>
              <w:rPr>
                <w:rFonts w:hint="eastAsia"/>
                <w:color w:val="212121"/>
                <w:sz w:val="16"/>
                <w:szCs w:val="24"/>
                <w:highlight w:val="none"/>
              </w:rPr>
              <w:t>4、提供勒索软件专防能力：支持阻止勒索软件关联的进程，具备检测到勒索行为前自动备份和恢复文档的能力，须提供动态演示界面；</w:t>
            </w:r>
          </w:p>
          <w:p>
            <w:pPr>
              <w:adjustRightInd w:val="0"/>
              <w:jc w:val="both"/>
              <w:rPr>
                <w:color w:val="212121"/>
                <w:sz w:val="16"/>
                <w:szCs w:val="24"/>
                <w:highlight w:val="none"/>
              </w:rPr>
            </w:pPr>
            <w:r>
              <w:rPr>
                <w:rFonts w:hint="eastAsia"/>
                <w:color w:val="212121"/>
                <w:sz w:val="16"/>
                <w:szCs w:val="24"/>
                <w:highlight w:val="none"/>
              </w:rPr>
              <w:t>5、提供异常行为告警、处置能力：应支持针对违规外联、修改系统时间、PC资源使用异常等异常行为进行预警；管理员可自定义违规策略处置策略，包括但不限于报警、断网、锁屏、关机、消息提示、截屏 、代理修复等，并支持自定义策略等延后时间，须提供动态演示界面；</w:t>
            </w:r>
          </w:p>
          <w:p>
            <w:pPr>
              <w:adjustRightInd w:val="0"/>
              <w:jc w:val="both"/>
              <w:rPr>
                <w:color w:val="212121"/>
                <w:sz w:val="16"/>
                <w:szCs w:val="24"/>
                <w:highlight w:val="none"/>
              </w:rPr>
            </w:pPr>
            <w:r>
              <w:rPr>
                <w:rFonts w:hint="eastAsia"/>
                <w:color w:val="212121"/>
                <w:sz w:val="16"/>
                <w:szCs w:val="24"/>
                <w:highlight w:val="none"/>
              </w:rPr>
              <w:t>6、提供终端全行为审计能力：应支持包括但不限于流量、进程、截屏、文件、协议、账户、邮件、打印、服务、共享、注册表、刻录等行为的审计，须提供动态演示界面；</w:t>
            </w:r>
          </w:p>
          <w:p>
            <w:pPr>
              <w:adjustRightInd w:val="0"/>
              <w:jc w:val="both"/>
              <w:rPr>
                <w:color w:val="212121"/>
                <w:sz w:val="16"/>
                <w:szCs w:val="24"/>
                <w:highlight w:val="none"/>
              </w:rPr>
            </w:pPr>
            <w:r>
              <w:rPr>
                <w:rFonts w:hint="eastAsia"/>
                <w:color w:val="212121"/>
                <w:sz w:val="16"/>
                <w:szCs w:val="24"/>
                <w:highlight w:val="none"/>
              </w:rPr>
              <w:t>7、提供终端安全基线检查及修复能力：应支持终端安全基线检查，包括但不限于计算机名称、是否加入域、密码策略、弱口令、软件黑白名单、进程黑白名单、系统服务、系统共享等基线检查。提供自动修复功能，须提供动态演示界面；</w:t>
            </w:r>
          </w:p>
          <w:p>
            <w:pPr>
              <w:adjustRightInd w:val="0"/>
              <w:jc w:val="both"/>
              <w:rPr>
                <w:color w:val="212121"/>
                <w:sz w:val="16"/>
                <w:szCs w:val="24"/>
                <w:highlight w:val="none"/>
              </w:rPr>
            </w:pPr>
            <w:r>
              <w:rPr>
                <w:rFonts w:hint="eastAsia"/>
                <w:color w:val="212121"/>
                <w:sz w:val="16"/>
                <w:szCs w:val="24"/>
                <w:highlight w:val="none"/>
              </w:rPr>
              <w:t>8、提供终端软硬件资产管理能力：应支持软硬件资产管理，可对软硬件资产变动提供报警；违规预警、安全审计、安全基线、usb接入管理、行为控制、资产管理等均支持灵活的策略应用，包括但不限于根据角色、部门、指定终端、用户、ip段等应用，须提供动态演示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pPr>
              <w:adjustRightInd w:val="0"/>
              <w:spacing w:line="420" w:lineRule="exact"/>
              <w:jc w:val="center"/>
              <w:rPr>
                <w:color w:val="212121"/>
                <w:sz w:val="16"/>
                <w:szCs w:val="24"/>
                <w:highlight w:val="none"/>
              </w:rPr>
            </w:pPr>
          </w:p>
        </w:tc>
        <w:tc>
          <w:tcPr>
            <w:tcW w:w="770" w:type="pct"/>
            <w:vMerge w:val="continue"/>
            <w:vAlign w:val="center"/>
          </w:tcPr>
          <w:p>
            <w:pPr>
              <w:adjustRightInd w:val="0"/>
              <w:spacing w:line="420" w:lineRule="exact"/>
              <w:jc w:val="center"/>
              <w:rPr>
                <w:color w:val="212121"/>
                <w:sz w:val="16"/>
                <w:szCs w:val="24"/>
                <w:highlight w:val="none"/>
              </w:rPr>
            </w:pPr>
          </w:p>
        </w:tc>
        <w:tc>
          <w:tcPr>
            <w:tcW w:w="512" w:type="pct"/>
            <w:vAlign w:val="center"/>
          </w:tcPr>
          <w:p>
            <w:pPr>
              <w:adjustRightInd w:val="0"/>
              <w:jc w:val="center"/>
              <w:rPr>
                <w:color w:val="212121"/>
                <w:sz w:val="16"/>
                <w:szCs w:val="24"/>
                <w:highlight w:val="none"/>
              </w:rPr>
            </w:pPr>
            <w:r>
              <w:rPr>
                <w:rFonts w:hint="eastAsia"/>
                <w:color w:val="212121"/>
                <w:sz w:val="16"/>
                <w:szCs w:val="24"/>
                <w:highlight w:val="none"/>
              </w:rPr>
              <w:t>服务器防护模块</w:t>
            </w:r>
          </w:p>
        </w:tc>
        <w:tc>
          <w:tcPr>
            <w:tcW w:w="3294" w:type="pct"/>
            <w:vAlign w:val="center"/>
          </w:tcPr>
          <w:p>
            <w:pPr>
              <w:adjustRightInd w:val="0"/>
              <w:jc w:val="both"/>
              <w:rPr>
                <w:color w:val="212121"/>
                <w:sz w:val="16"/>
                <w:szCs w:val="24"/>
                <w:highlight w:val="none"/>
              </w:rPr>
            </w:pPr>
            <w:r>
              <w:rPr>
                <w:rFonts w:hint="eastAsia"/>
                <w:color w:val="212121"/>
                <w:sz w:val="16"/>
                <w:szCs w:val="24"/>
                <w:highlight w:val="none"/>
              </w:rPr>
              <w:t>1、提供多种病毒处置能力：产品应支持多种处置措施，以保证对于文件多种处理的可选择性，处置措施包含但不限于：清除、隔离、删除、不予处理、拒绝访问，须提供动态演示界面；</w:t>
            </w:r>
          </w:p>
          <w:p>
            <w:pPr>
              <w:adjustRightInd w:val="0"/>
              <w:jc w:val="both"/>
              <w:rPr>
                <w:color w:val="212121"/>
                <w:sz w:val="16"/>
                <w:szCs w:val="24"/>
                <w:highlight w:val="none"/>
              </w:rPr>
            </w:pPr>
            <w:r>
              <w:rPr>
                <w:rFonts w:hint="eastAsia"/>
                <w:color w:val="212121"/>
                <w:sz w:val="16"/>
                <w:szCs w:val="24"/>
                <w:highlight w:val="none"/>
              </w:rPr>
              <w:t>2、提供恶意站点防护能力：具备Web信誉评估功能，包含HTTPS通信扫描，结合云安全架构自动识别并屏蔽恶意站点，阻止病毒自动更新，须提供动态演示界面；</w:t>
            </w:r>
          </w:p>
          <w:p>
            <w:pPr>
              <w:adjustRightInd w:val="0"/>
              <w:jc w:val="both"/>
              <w:rPr>
                <w:color w:val="212121"/>
                <w:sz w:val="16"/>
                <w:szCs w:val="24"/>
                <w:highlight w:val="none"/>
              </w:rPr>
            </w:pPr>
            <w:r>
              <w:rPr>
                <w:rFonts w:hint="eastAsia"/>
                <w:color w:val="212121"/>
                <w:sz w:val="16"/>
                <w:szCs w:val="24"/>
                <w:highlight w:val="none"/>
              </w:rPr>
              <w:t>3、提供病毒爆发防护能力：当最新病毒爆发时,可在病毒代码未完成之前自动对单位网络中的病毒传播端口、共享等进行关闭,切断病毒传播途径,预防最新病毒的攻击；</w:t>
            </w:r>
          </w:p>
          <w:p>
            <w:pPr>
              <w:adjustRightInd w:val="0"/>
              <w:jc w:val="both"/>
              <w:rPr>
                <w:color w:val="212121"/>
                <w:sz w:val="16"/>
                <w:szCs w:val="24"/>
                <w:highlight w:val="none"/>
              </w:rPr>
            </w:pPr>
            <w:r>
              <w:rPr>
                <w:rFonts w:hint="eastAsia"/>
                <w:color w:val="212121"/>
                <w:sz w:val="16"/>
                <w:szCs w:val="24"/>
                <w:highlight w:val="none"/>
              </w:rPr>
              <w:t>4、提供勒索软件专防能力：支持阻止勒索软件关联的进程，具备检测到勒索行为前自动备份和恢复文档的能力，须提供动态演示界面；</w:t>
            </w:r>
          </w:p>
        </w:tc>
      </w:tr>
    </w:tbl>
    <w:p>
      <w:pPr>
        <w:jc w:val="both"/>
        <w:rPr>
          <w:rFonts w:hint="eastAsia" w:ascii="仿宋_GB2312" w:hAnsi="仿宋_GB2312" w:eastAsia="仿宋_GB2312" w:cs="仿宋_GB2312"/>
          <w:highlight w:val="none"/>
        </w:rPr>
      </w:pPr>
    </w:p>
    <w:p>
      <w:pPr>
        <w:jc w:val="both"/>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采购包1（</w:t>
      </w:r>
      <w:r>
        <w:rPr>
          <w:rFonts w:hint="eastAsia" w:ascii="仿宋_GB2312" w:hAnsi="仿宋_GB2312" w:eastAsia="仿宋_GB2312" w:cs="仿宋_GB2312"/>
          <w:highlight w:val="none"/>
          <w:lang w:val="en-US" w:eastAsia="zh-CN"/>
        </w:rPr>
        <w:t>2023年</w:t>
      </w:r>
      <w:r>
        <w:rPr>
          <w:rFonts w:hint="eastAsia" w:ascii="仿宋_GB2312" w:hAnsi="仿宋_GB2312" w:eastAsia="仿宋_GB2312" w:cs="仿宋_GB2312"/>
          <w:highlight w:val="none"/>
          <w:lang w:eastAsia="zh-CN"/>
        </w:rPr>
        <w:t>万江街道办事处网络安全设备采购项目</w:t>
      </w:r>
      <w:r>
        <w:rPr>
          <w:rFonts w:hint="eastAsia" w:ascii="仿宋_GB2312" w:hAnsi="仿宋_GB2312" w:eastAsia="仿宋_GB2312" w:cs="仿宋_GB2312"/>
          <w:highlight w:val="none"/>
        </w:rPr>
        <w:t>）：</w:t>
      </w:r>
    </w:p>
    <w:p>
      <w:pPr>
        <w:rPr>
          <w:rFonts w:hint="eastAsia" w:ascii="仿宋_GB2312" w:hAnsi="仿宋_GB2312" w:eastAsia="仿宋_GB2312" w:cs="仿宋_GB2312"/>
          <w:highlight w:val="none"/>
        </w:rPr>
      </w:pPr>
      <w:r>
        <w:rPr>
          <w:rFonts w:hint="eastAsia" w:ascii="仿宋_GB2312" w:hAnsi="仿宋_GB2312" w:eastAsia="仿宋_GB2312" w:cs="仿宋_GB2312"/>
          <w:b/>
          <w:sz w:val="24"/>
          <w:highlight w:val="none"/>
        </w:rPr>
        <w:t>1.主要商务要求</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0" w:hRule="atLeast"/>
        </w:trPr>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标的提供的时间</w:t>
            </w:r>
          </w:p>
        </w:tc>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供应商必须承诺为采购人提供</w:t>
            </w:r>
            <w:r>
              <w:rPr>
                <w:rFonts w:hint="eastAsia" w:ascii="仿宋_GB2312" w:hAnsi="仿宋_GB2312" w:eastAsia="仿宋_GB2312" w:cs="仿宋_GB2312"/>
                <w:highlight w:val="none"/>
                <w:lang w:eastAsia="zh-CN"/>
              </w:rPr>
              <w:t>三</w:t>
            </w:r>
            <w:r>
              <w:rPr>
                <w:rFonts w:hint="eastAsia" w:ascii="仿宋_GB2312" w:hAnsi="仿宋_GB2312" w:eastAsia="仿宋_GB2312" w:cs="仿宋_GB2312"/>
                <w:highlight w:val="none"/>
              </w:rPr>
              <w:t>年（验收合格之日起计算）免费的技术支持、设备维护及设备硬件损坏（非人为）的无偿更换。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 w:hRule="atLeast"/>
        </w:trPr>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标的提供的地点</w:t>
            </w:r>
          </w:p>
        </w:tc>
        <w:tc>
          <w:tcPr>
            <w:tcW w:w="4153" w:type="dxa"/>
          </w:tcPr>
          <w:p>
            <w:pPr>
              <w:jc w:val="left"/>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响应有效期</w:t>
            </w:r>
          </w:p>
        </w:tc>
        <w:tc>
          <w:tcPr>
            <w:tcW w:w="4153" w:type="dxa"/>
          </w:tcPr>
          <w:p>
            <w:pPr>
              <w:jc w:val="left"/>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付款方式</w:t>
            </w:r>
          </w:p>
        </w:tc>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所有设备到货并验收合格后，</w:t>
            </w:r>
            <w:r>
              <w:rPr>
                <w:rFonts w:hint="eastAsia" w:ascii="仿宋_GB2312" w:hAnsi="仿宋_GB2312" w:eastAsia="仿宋_GB2312" w:cs="仿宋_GB2312"/>
                <w:highlight w:val="none"/>
              </w:rPr>
              <w:t>供应商向</w:t>
            </w:r>
            <w:r>
              <w:rPr>
                <w:rFonts w:hint="eastAsia" w:ascii="仿宋_GB2312" w:hAnsi="仿宋_GB2312" w:eastAsia="仿宋_GB2312" w:cs="仿宋_GB2312"/>
                <w:highlight w:val="none"/>
                <w:lang w:eastAsia="zh-CN"/>
              </w:rPr>
              <w:t>采购人</w:t>
            </w:r>
            <w:r>
              <w:rPr>
                <w:rFonts w:hint="eastAsia" w:ascii="仿宋_GB2312" w:hAnsi="仿宋_GB2312" w:eastAsia="仿宋_GB2312" w:cs="仿宋_GB2312"/>
                <w:highlight w:val="none"/>
              </w:rPr>
              <w:t>申请支付合同总额的</w:t>
            </w:r>
            <w:r>
              <w:rPr>
                <w:rFonts w:hint="eastAsia" w:ascii="仿宋_GB2312" w:hAnsi="仿宋_GB2312" w:eastAsia="仿宋_GB2312" w:cs="仿宋_GB2312"/>
                <w:highlight w:val="none"/>
                <w:lang w:val="en-US" w:eastAsia="zh-CN"/>
              </w:rPr>
              <w:t>80</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。设备验收合格并运行</w:t>
            </w:r>
            <w:r>
              <w:rPr>
                <w:rFonts w:hint="eastAsia" w:ascii="仿宋_GB2312" w:hAnsi="仿宋_GB2312" w:eastAsia="仿宋_GB2312" w:cs="仿宋_GB2312"/>
                <w:highlight w:val="none"/>
                <w:lang w:val="en-US" w:eastAsia="zh-CN"/>
              </w:rPr>
              <w:t>1个月后未出现不合格情况，供应商向采购人申请支付合同总额的20%。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验收要求</w:t>
            </w:r>
          </w:p>
        </w:tc>
        <w:tc>
          <w:tcPr>
            <w:tcW w:w="4153" w:type="dxa"/>
          </w:tcPr>
          <w:p>
            <w:pPr>
              <w:rPr>
                <w:rFonts w:hint="eastAsia"/>
                <w:highlight w:val="none"/>
              </w:rPr>
            </w:pPr>
            <w:r>
              <w:rPr>
                <w:rFonts w:hint="eastAsia"/>
                <w:highlight w:val="none"/>
              </w:rPr>
              <w:t>1.在中标通知书发布之日起1天内，须提供所投大数据智能安全平台、终端安全管理系统到采购人指定场所，按“功能演示要求”与采购人共同进行测试，测试功能点须完全满足功能演示要求，如测试未满足功能演示要求的，采购人有权邀请第三方专业公司对中标人提供所投大数据智能安全平台、终端安全管理系统根据功能演示要求表进行逐一检测，检测费用由中标人承担，如检测结果仍不满足功能演示要求的，招标人有权取消投标人中标资格。（投标人须在投标文件中提供单独书面承诺函并加盖投标人公章）</w:t>
            </w:r>
          </w:p>
          <w:p>
            <w:pPr>
              <w:rPr>
                <w:rFonts w:hint="eastAsia"/>
                <w:highlight w:val="none"/>
              </w:rPr>
            </w:pPr>
            <w:r>
              <w:rPr>
                <w:rFonts w:hint="eastAsia"/>
                <w:highlight w:val="none"/>
              </w:rPr>
              <w:t>2.合同签订之日起7个日历日内完成所有货物的交货、安装、调试运行并经采购人验收合格，否则采购人有权取消合同（投标人须在投标文件中提供单独书面承诺函并加盖投标人公章）。</w:t>
            </w:r>
          </w:p>
          <w:p>
            <w:pPr>
              <w:rPr>
                <w:rFonts w:hint="eastAsia"/>
                <w:highlight w:val="none"/>
              </w:rPr>
            </w:pPr>
            <w:r>
              <w:rPr>
                <w:rFonts w:hint="eastAsia"/>
                <w:highlight w:val="none"/>
              </w:rPr>
              <w:t>3.本项目所有设备用于万江街道办事处主楼3楼机房，所提供的货物必须与机房内所有服务器、交换机等设备兼容并且所有功能运行正常。投标人签订合同后，完成所有货物供货、调试后2天内，把功能自检报告以书面形式通知采购人，采购人收到自检报告后，组织验收小组对货物进行测试验收，货物保证能够满足主要技术参数与要求。若测试不合格，投标人须在1天内完成对货物的二次调试并再次提交自检报告，采购人收到自检报告后，组织验收小组进行二次测试验收，若仍然测试不合格，采购人有权终止合同并不再支付本项目剩余的款项且要求投标人退还采购人已支付的款项，同时，采购人有权对中标人处以合同总金额的30%作为违约赔偿金及追究因中标人提供的货物无法通过验收造成的一切损失。（投标人须在投标文件中提供单独书面承诺函并加盖投标人公章）</w:t>
            </w:r>
          </w:p>
          <w:p>
            <w:pPr>
              <w:rPr>
                <w:rFonts w:hint="eastAsia"/>
                <w:highlight w:val="none"/>
              </w:rPr>
            </w:pPr>
            <w:r>
              <w:rPr>
                <w:rFonts w:hint="eastAsia"/>
                <w:highlight w:val="none"/>
              </w:rPr>
              <w:t>4.设备验收合格并启用之日起6个月内，投标人必须派至少2人驻点采购人现场，对设备进行运行维护，工作时间与采购人同步，并服从采购人日常管理和其他工作安排，驻点人员一切费用由投标人承担。（投标人须在投标文件中提供单独书面承诺函并加盖投标人公章）</w:t>
            </w:r>
          </w:p>
          <w:p>
            <w:pPr>
              <w:rPr>
                <w:rFonts w:hint="eastAsia"/>
                <w:highlight w:val="none"/>
              </w:rPr>
            </w:pPr>
            <w:r>
              <w:rPr>
                <w:rFonts w:hint="eastAsia"/>
                <w:highlight w:val="none"/>
              </w:rPr>
              <w:t xml:space="preserve">5.要求本项目的设备，除了要符合本采购项目内容所要求的技术规格参数外，还要符合中华人民共和 国国家标准或行业标准，这些标准必须是有关机构发布的最新版本的标准；如采购项目内容中所描述的 技术参数标准与国家标准或行业标准有冲突，则以国家标准或行业标准为准。 </w:t>
            </w:r>
          </w:p>
          <w:p>
            <w:pPr>
              <w:rPr>
                <w:rFonts w:hint="eastAsia"/>
                <w:highlight w:val="none"/>
              </w:rPr>
            </w:pPr>
            <w:r>
              <w:rPr>
                <w:rFonts w:hint="eastAsia"/>
                <w:highlight w:val="none"/>
              </w:rPr>
              <w:t>6.验收细则</w:t>
            </w:r>
          </w:p>
          <w:p>
            <w:pPr>
              <w:rPr>
                <w:rFonts w:hint="eastAsia"/>
                <w:highlight w:val="none"/>
              </w:rPr>
            </w:pPr>
            <w:r>
              <w:rPr>
                <w:rFonts w:hint="eastAsia"/>
                <w:highlight w:val="none"/>
              </w:rPr>
              <w:t xml:space="preserve">1）全部货物运抵现场后至最终验收前。都要求进行依国家有关标准、行业标准、合同及有关附件要求进行检测。 </w:t>
            </w:r>
          </w:p>
          <w:p>
            <w:pPr>
              <w:rPr>
                <w:rFonts w:hint="eastAsia"/>
                <w:highlight w:val="none"/>
              </w:rPr>
            </w:pPr>
            <w:r>
              <w:rPr>
                <w:rFonts w:hint="eastAsia"/>
                <w:highlight w:val="none"/>
              </w:rPr>
              <w:t xml:space="preserve">2）货物到货阶段、开箱检验和基本测试货物到货验收将分成两步进行：第一步是产品外包装验收，第二步是产品开箱验收。外包装验收主要是检查外包装在运输途中的破损情况；开箱验收，主要是检查有无短缺和到货即损，包括对硬件产品的通电检验，并将货物的序列号进行登记和核对，即严格按照合同对货物进行检查，以便及早发现到货即损的货物，并采取相应措施，按照保修程序返回厂家更换。货物到货验阶段需填写货物验收表等，采购人对生产厂家的产品进行验收。 </w:t>
            </w:r>
          </w:p>
          <w:p>
            <w:pPr>
              <w:rPr>
                <w:rFonts w:hint="eastAsia"/>
                <w:highlight w:val="none"/>
              </w:rPr>
            </w:pPr>
            <w:r>
              <w:rPr>
                <w:rFonts w:hint="eastAsia"/>
                <w:highlight w:val="none"/>
              </w:rPr>
              <w:t>3）要求对全部的货物、产品、型号、规格、数量、外型、外观、包装及资料、文件（如进货单、装箱单、保修证明、保修单、随箱介质等）的仔细检查。拆箱后，对其全部产品、零件、配件、用户许 可证书、资料、介质造册登记，并与装箱单对比，如有出入应立即书面记录，由供货商解决，如影响安装则按合同有关条款处理。货物通电测试应单台进行，所有货物通电自检正常后，才能相互联。货物全部安装完成且连接完毕进行系统测试，按招标文件技术要求逐条检测，供货时不以任何理由作变更，采购人一律不接受功能有负偏差的变更，只接受功能优于且包含采购需求所列功能的产品，若供货后发现功能不满足招标文件、投标文件的，采购人一律不予通过验收，所带来的损失采购人一概不负责且及有权要求投标人赔偿。</w:t>
            </w:r>
          </w:p>
          <w:p>
            <w:pPr>
              <w:rPr>
                <w:rFonts w:hint="eastAsia" w:ascii="仿宋_GB2312" w:hAnsi="仿宋_GB2312" w:eastAsia="仿宋_GB2312" w:cs="仿宋_GB2312"/>
                <w:highlight w:val="none"/>
              </w:rPr>
            </w:pPr>
            <w:r>
              <w:rPr>
                <w:rFonts w:hint="eastAsia"/>
                <w:highlight w:val="none"/>
              </w:rPr>
              <w:t>4）货物安装调试完成后，在不影响正常使用的情况下也不得出现异响、漏电、过热等异常情况。如3天内无法解决上述异常，视为该货物验收不合格，采购人有权要求投标人赔偿。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履约保证金</w:t>
            </w:r>
          </w:p>
        </w:tc>
        <w:tc>
          <w:tcPr>
            <w:tcW w:w="4153" w:type="dxa"/>
          </w:tcPr>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其他</w:t>
            </w:r>
          </w:p>
        </w:tc>
        <w:tc>
          <w:tcPr>
            <w:tcW w:w="4153" w:type="dxa"/>
          </w:tcPr>
          <w:p>
            <w:pPr>
              <w:numPr>
                <w:ilvl w:val="0"/>
                <w:numId w:val="0"/>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报价要求:（1）本项目以人民币为结算单位，实行合同总价包干方式，</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须对项目的单价进行报价； （2）</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须对完成本项目的全部内容进行报价。报价应包含但不限于以下费用：货物及配件的制造或购置费（包括辅材、损耗材料等）、交通运输费、装卸搬运费、雇员费、安装调试费、</w:t>
            </w:r>
            <w:r>
              <w:rPr>
                <w:rFonts w:hint="eastAsia" w:ascii="仿宋_GB2312" w:hAnsi="仿宋_GB2312" w:eastAsia="仿宋_GB2312" w:cs="仿宋_GB2312"/>
                <w:highlight w:val="none"/>
                <w:lang w:eastAsia="zh-CN"/>
              </w:rPr>
              <w:t>运行维护费</w:t>
            </w:r>
            <w:r>
              <w:rPr>
                <w:rFonts w:hint="eastAsia" w:ascii="仿宋_GB2312" w:hAnsi="仿宋_GB2312" w:eastAsia="仿宋_GB2312" w:cs="仿宋_GB2312"/>
                <w:highlight w:val="none"/>
              </w:rPr>
              <w:t>、售后服务费、各种税费、各种保险费、对专利权和版权、设计或其他知识产权需要向其他方支付的版税等合同实施过程中应预见和不可预见的费用。</w:t>
            </w:r>
            <w:r>
              <w:rPr>
                <w:rFonts w:hint="eastAsia" w:ascii="仿宋_GB2312" w:hAnsi="仿宋_GB2312" w:eastAsia="仿宋_GB2312" w:cs="仿宋_GB2312"/>
                <w:highlight w:val="none"/>
                <w:lang w:eastAsia="zh-CN"/>
              </w:rPr>
              <w:t>中标</w:t>
            </w:r>
            <w:r>
              <w:rPr>
                <w:rFonts w:hint="eastAsia" w:ascii="仿宋_GB2312" w:hAnsi="仿宋_GB2312" w:eastAsia="仿宋_GB2312" w:cs="仿宋_GB2312"/>
                <w:highlight w:val="none"/>
              </w:rPr>
              <w:t>后，</w:t>
            </w:r>
            <w:r>
              <w:rPr>
                <w:rFonts w:hint="eastAsia" w:ascii="仿宋_GB2312" w:hAnsi="仿宋_GB2312" w:eastAsia="仿宋_GB2312" w:cs="仿宋_GB2312"/>
                <w:highlight w:val="none"/>
                <w:lang w:eastAsia="zh-CN"/>
              </w:rPr>
              <w:t>中标人</w:t>
            </w:r>
            <w:r>
              <w:rPr>
                <w:rFonts w:hint="eastAsia" w:ascii="仿宋_GB2312" w:hAnsi="仿宋_GB2312" w:eastAsia="仿宋_GB2312" w:cs="仿宋_GB2312"/>
                <w:highlight w:val="none"/>
              </w:rPr>
              <w:t>不得以任何理由追加设备费、材料费、辅材费或其他费用。</w:t>
            </w:r>
          </w:p>
        </w:tc>
      </w:tr>
    </w:tbl>
    <w:p>
      <w:pPr>
        <w:rPr>
          <w:rFonts w:hint="eastAsia" w:ascii="仿宋_GB2312" w:hAnsi="仿宋_GB2312" w:eastAsia="仿宋_GB2312" w:cs="仿宋_GB2312"/>
          <w:highlight w:val="none"/>
        </w:rPr>
      </w:pPr>
      <w:r>
        <w:rPr>
          <w:rFonts w:hint="eastAsia" w:ascii="仿宋_GB2312" w:hAnsi="仿宋_GB2312" w:eastAsia="仿宋_GB2312" w:cs="仿宋_GB2312"/>
          <w:b/>
          <w:sz w:val="24"/>
          <w:highlight w:val="none"/>
        </w:rPr>
        <w:t>2.技术标准与要求</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1"/>
        <w:gridCol w:w="1266"/>
        <w:gridCol w:w="1928"/>
        <w:gridCol w:w="521"/>
        <w:gridCol w:w="842"/>
        <w:gridCol w:w="1046"/>
        <w:gridCol w:w="1046"/>
        <w:gridCol w:w="1021"/>
        <w:gridCol w:w="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6" w:hRule="atLeast"/>
        </w:trPr>
        <w:tc>
          <w:tcPr>
            <w:tcW w:w="521"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序号</w:t>
            </w:r>
          </w:p>
        </w:tc>
        <w:tc>
          <w:tcPr>
            <w:tcW w:w="126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核心产品（“△”）</w:t>
            </w:r>
          </w:p>
        </w:tc>
        <w:tc>
          <w:tcPr>
            <w:tcW w:w="1928"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标的名称</w:t>
            </w:r>
          </w:p>
        </w:tc>
        <w:tc>
          <w:tcPr>
            <w:tcW w:w="521"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w:t>
            </w:r>
          </w:p>
        </w:tc>
        <w:tc>
          <w:tcPr>
            <w:tcW w:w="842"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数量</w:t>
            </w:r>
          </w:p>
        </w:tc>
        <w:tc>
          <w:tcPr>
            <w:tcW w:w="104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分项预算单价（元）</w:t>
            </w:r>
          </w:p>
        </w:tc>
        <w:tc>
          <w:tcPr>
            <w:tcW w:w="104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分项预算总价（元）</w:t>
            </w:r>
          </w:p>
        </w:tc>
        <w:tc>
          <w:tcPr>
            <w:tcW w:w="1021"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所属行业</w:t>
            </w:r>
          </w:p>
        </w:tc>
        <w:tc>
          <w:tcPr>
            <w:tcW w:w="342"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9" w:hRule="atLeast"/>
        </w:trPr>
        <w:tc>
          <w:tcPr>
            <w:tcW w:w="521"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p>
        </w:tc>
        <w:tc>
          <w:tcPr>
            <w:tcW w:w="126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1928"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大数据智能安全平台</w:t>
            </w:r>
          </w:p>
        </w:tc>
        <w:tc>
          <w:tcPr>
            <w:tcW w:w="521" w:type="dxa"/>
          </w:tcPr>
          <w:p>
            <w:pP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套</w:t>
            </w:r>
          </w:p>
        </w:tc>
        <w:tc>
          <w:tcPr>
            <w:tcW w:w="842" w:type="dxa"/>
          </w:tcPr>
          <w:p>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1046" w:type="dxa"/>
          </w:tcPr>
          <w:p>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654550</w:t>
            </w:r>
          </w:p>
        </w:tc>
        <w:tc>
          <w:tcPr>
            <w:tcW w:w="1046" w:type="dxa"/>
          </w:tcPr>
          <w:p>
            <w:pPr>
              <w:jc w:val="righ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654550</w:t>
            </w:r>
          </w:p>
        </w:tc>
        <w:tc>
          <w:tcPr>
            <w:tcW w:w="1021" w:type="dxa"/>
          </w:tcPr>
          <w:p>
            <w:pP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软件和信息技术服务业</w:t>
            </w:r>
          </w:p>
        </w:tc>
        <w:tc>
          <w:tcPr>
            <w:tcW w:w="342" w:type="dxa"/>
          </w:tcPr>
          <w:p>
            <w:pP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详见</w:t>
            </w:r>
            <w:r>
              <w:rPr>
                <w:rFonts w:hint="eastAsia" w:ascii="仿宋_GB2312" w:hAnsi="仿宋_GB2312" w:eastAsia="仿宋_GB2312" w:cs="仿宋_GB2312"/>
                <w:highlight w:val="none"/>
                <w:lang w:eastAsia="zh-CN"/>
              </w:rPr>
              <w:t>用户需求</w:t>
            </w:r>
          </w:p>
        </w:tc>
      </w:tr>
    </w:tbl>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注：若存在多项核心产品，当不同供应商提供的任意一项核心产品的品牌相同，则视同其是所响应核心产品品牌相同供应商。</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b/>
          <w:sz w:val="24"/>
          <w:highlight w:val="none"/>
        </w:rPr>
        <w:t>附表一：</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参数性质</w:t>
            </w:r>
          </w:p>
        </w:tc>
        <w:tc>
          <w:tcPr>
            <w:tcW w:w="42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序号</w:t>
            </w:r>
          </w:p>
        </w:tc>
        <w:tc>
          <w:tcPr>
            <w:tcW w:w="5814"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1"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w:t>
            </w:r>
          </w:p>
        </w:tc>
        <w:tc>
          <w:tcPr>
            <w:tcW w:w="5814" w:type="dxa"/>
          </w:tcPr>
          <w:p>
            <w:pPr>
              <w:numPr>
                <w:ilvl w:val="0"/>
                <w:numId w:val="0"/>
              </w:numPr>
              <w:rPr>
                <w:rFonts w:hint="eastAsia" w:ascii="仿宋_GB2312" w:hAnsi="仿宋_GB2312" w:eastAsia="仿宋_GB2312" w:cs="仿宋_GB2312"/>
                <w:highlight w:val="none"/>
              </w:rPr>
            </w:pPr>
            <w:r>
              <w:rPr>
                <w:rFonts w:hint="eastAsia"/>
                <w:highlight w:val="none"/>
              </w:rPr>
              <w:t>在中标通知书发布之日起1天内，须提供所投大数据智能安全平台、终端安全管理系统到采购人指定场所，按“功能演示要求”与采购人共同进行测试，测试功能点须完全满足功能演示要求，如测试未满足功能演示要求的，采购人有权邀请第三方专业公司对中标人提供所投大数据智能安全平台、终端安全管理系统根据功能演示要求表进行逐一检测，检测费用由中标人承担，如检测结果仍不满足功能演示要求的，招标人有权取消投标人中标资格。（投标人须在投标文件中提供单独书面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0"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5814" w:type="dxa"/>
          </w:tcPr>
          <w:p>
            <w:pPr>
              <w:rPr>
                <w:rFonts w:hint="eastAsia" w:ascii="仿宋_GB2312" w:hAnsi="仿宋_GB2312" w:eastAsia="仿宋_GB2312" w:cs="仿宋_GB2312"/>
                <w:highlight w:val="none"/>
              </w:rPr>
            </w:pPr>
            <w:r>
              <w:rPr>
                <w:rFonts w:hint="eastAsia"/>
                <w:highlight w:val="none"/>
              </w:rPr>
              <w:t>合同签订之日起7个日历日内完成所有货物的交货、安装、调试运行并经采购人验收合格，否则采购人有权取消合同（投标人须在投标文件中提供单独书面承诺函并加盖投标人公章）。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4"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5814"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本项目所有设备用于万江街道办事处主楼3楼机房，所提供的货物必须与机房内所有服务器、交换机等设备兼容并且所有功能运行正常。投标人签订合同后，完成所有货物供货、调试后2天内，把功能自检报告以书面形式通知采购人，采购人收到自检报告后，组织验收小组对货物进行测试验收，货物保证能够满足主要技术参数与要求。若测试不合格，投标人须在1天内完成对货物的二次调试并再次提交自检报告，采购人收到自检报告后，组织验收小组进行二次测试验收，若仍然测试不合格，采购人有权终止合同并不再支付本项目剩余的款项且要求投标人退还采购人已支付的款项，同时，采购人有权对中标人处以合同总金额的30%作为违约赔偿金及追究因中标人提供的货物无法通过验收造成的一切损失。（投标人须在投标文件中提供单独书面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5814"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设备验收合格并启用之日起6个月内，投标人必须派至少2人驻点采购人现场，对设备进行运行维护，工作时间与采购人同步，并服从采购人日常管理和其他工作安排，驻点人员一切费用由投标人承担。（投标人须在投标文件中提供单独书面承诺函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5814" w:type="dxa"/>
          </w:tcPr>
          <w:p>
            <w:pPr>
              <w:rPr>
                <w:rFonts w:hint="eastAsia" w:ascii="仿宋_GB2312" w:hAnsi="仿宋_GB2312" w:eastAsia="仿宋_GB2312" w:cs="仿宋_GB2312"/>
                <w:highlight w:val="none"/>
              </w:rPr>
            </w:pPr>
            <w:r>
              <w:rPr>
                <w:rFonts w:hint="eastAsia" w:cstheme="minorEastAsia"/>
                <w:color w:val="000000"/>
                <w:sz w:val="20"/>
                <w:szCs w:val="20"/>
                <w:highlight w:val="none"/>
              </w:rPr>
              <w:t>大数据智能安全平台</w:t>
            </w:r>
            <w:r>
              <w:rPr>
                <w:rFonts w:hint="eastAsia" w:cstheme="minorEastAsia"/>
                <w:color w:val="000000"/>
                <w:sz w:val="20"/>
                <w:szCs w:val="20"/>
                <w:highlight w:val="none"/>
                <w:lang w:val="en-US" w:eastAsia="zh-CN"/>
              </w:rPr>
              <w:t>-平台软件</w:t>
            </w:r>
            <w:r>
              <w:rPr>
                <w:rFonts w:hint="eastAsia" w:cs="Times New Roman"/>
                <w:sz w:val="20"/>
                <w:szCs w:val="20"/>
                <w:highlight w:val="none"/>
              </w:rPr>
              <w:t>▲</w:t>
            </w:r>
            <w:r>
              <w:rPr>
                <w:rFonts w:hint="eastAsia" w:cstheme="minorEastAsia"/>
                <w:sz w:val="20"/>
                <w:szCs w:val="20"/>
                <w:highlight w:val="none"/>
              </w:rPr>
              <w:t>支持态势展示，</w:t>
            </w:r>
            <w:r>
              <w:rPr>
                <w:rFonts w:cstheme="minorEastAsia"/>
                <w:sz w:val="20"/>
                <w:szCs w:val="20"/>
                <w:highlight w:val="none"/>
              </w:rPr>
              <w:t>能够根据监测结果对安全数据态势、资产安全态势、网络攻击态势、网络防火墙态势等功能进行展现</w:t>
            </w:r>
            <w:r>
              <w:rPr>
                <w:rFonts w:hint="eastAsia" w:cstheme="minorEastAsia"/>
                <w:sz w:val="20"/>
                <w:szCs w:val="20"/>
                <w:highlight w:val="none"/>
              </w:rPr>
              <w:t>，其中展示的内容包括今日数据量、本周数据量、数据趋势、威胁类型分布等；</w:t>
            </w:r>
            <w:r>
              <w:rPr>
                <w:rFonts w:cstheme="minorEastAsia"/>
                <w:sz w:val="20"/>
                <w:szCs w:val="20"/>
                <w:highlight w:val="none"/>
              </w:rPr>
              <w:t>资产安全态势展示的内容包括资产类型分布、资产重要性分布、受</w:t>
            </w:r>
            <w:r>
              <w:rPr>
                <w:rFonts w:hint="eastAsia" w:cstheme="minorEastAsia"/>
                <w:sz w:val="20"/>
                <w:szCs w:val="20"/>
                <w:highlight w:val="none"/>
              </w:rPr>
              <w:t>威胁</w:t>
            </w:r>
            <w:r>
              <w:rPr>
                <w:rFonts w:cstheme="minorEastAsia"/>
                <w:sz w:val="20"/>
                <w:szCs w:val="20"/>
                <w:highlight w:val="none"/>
              </w:rPr>
              <w:t>资产分布等</w:t>
            </w:r>
            <w:r>
              <w:rPr>
                <w:rFonts w:hint="eastAsia" w:cstheme="minorEastAsia"/>
                <w:sz w:val="20"/>
                <w:szCs w:val="20"/>
                <w:highlight w:val="none"/>
              </w:rPr>
              <w:t>；</w:t>
            </w:r>
            <w:r>
              <w:rPr>
                <w:rFonts w:cstheme="minorEastAsia"/>
                <w:sz w:val="20"/>
                <w:szCs w:val="20"/>
                <w:highlight w:val="none"/>
              </w:rPr>
              <w:t>网络攻击态势展示的内容包括攻击趋势攻击类型分布、攻击源TOP5、受攻击资产TOP5、受攻击端口TOP5</w:t>
            </w:r>
            <w:r>
              <w:rPr>
                <w:rFonts w:hint="eastAsia" w:cstheme="minorEastAsia"/>
                <w:sz w:val="20"/>
                <w:szCs w:val="20"/>
                <w:highlight w:val="none"/>
              </w:rPr>
              <w:t>；</w:t>
            </w:r>
            <w:r>
              <w:rPr>
                <w:rFonts w:cstheme="minorEastAsia"/>
                <w:sz w:val="20"/>
                <w:szCs w:val="20"/>
                <w:highlight w:val="none"/>
              </w:rPr>
              <w:t>网络防火墙态势展示的内容包括威肘级别分布、协议分布、数据趋势等</w:t>
            </w:r>
            <w:r>
              <w:rPr>
                <w:rFonts w:hint="eastAsia" w:cstheme="minorEastAsia"/>
                <w:b/>
                <w:bCs/>
                <w:color w:val="000000" w:themeColor="text1"/>
                <w:sz w:val="20"/>
                <w:szCs w:val="20"/>
                <w:highlight w:val="none"/>
                <w14:textFill>
                  <w14:solidFill>
                    <w14:schemeClr w14:val="tx1"/>
                  </w14:solidFill>
                </w14:textFill>
              </w:rPr>
              <w:t>（提供由公安部相关检测机构出具的检验检测报告，并加盖投标人公章）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5814" w:type="dxa"/>
          </w:tcPr>
          <w:p>
            <w:pPr>
              <w:rPr>
                <w:rFonts w:hint="eastAsia" w:ascii="仿宋_GB2312" w:hAnsi="仿宋_GB2312" w:eastAsia="仿宋_GB2312" w:cs="仿宋_GB2312"/>
                <w:highlight w:val="none"/>
              </w:rPr>
            </w:pPr>
            <w:r>
              <w:rPr>
                <w:rFonts w:hint="eastAsia" w:cstheme="minorEastAsia"/>
                <w:color w:val="000000"/>
                <w:sz w:val="20"/>
                <w:szCs w:val="20"/>
                <w:highlight w:val="none"/>
              </w:rPr>
              <w:t>大数据智能安全平台</w:t>
            </w:r>
            <w:r>
              <w:rPr>
                <w:rFonts w:hint="eastAsia" w:cstheme="minorEastAsia"/>
                <w:color w:val="000000"/>
                <w:sz w:val="20"/>
                <w:szCs w:val="20"/>
                <w:highlight w:val="none"/>
                <w:lang w:val="en-US" w:eastAsia="zh-CN"/>
              </w:rPr>
              <w:t>-平台软件</w:t>
            </w:r>
            <w:r>
              <w:rPr>
                <w:rFonts w:hint="eastAsia" w:cstheme="minorEastAsia"/>
                <w:color w:val="000000"/>
                <w:sz w:val="20"/>
                <w:szCs w:val="20"/>
                <w:highlight w:val="none"/>
                <w:lang w:eastAsia="zh-CN"/>
              </w:rPr>
              <w:t>：</w:t>
            </w:r>
            <w:r>
              <w:rPr>
                <w:rFonts w:hint="eastAsia" w:cs="Times New Roman"/>
                <w:sz w:val="20"/>
                <w:szCs w:val="20"/>
                <w:highlight w:val="none"/>
              </w:rPr>
              <w:t>▲</w:t>
            </w:r>
            <w:r>
              <w:rPr>
                <w:rFonts w:hint="eastAsia" w:cstheme="minorEastAsia"/>
                <w:sz w:val="20"/>
                <w:szCs w:val="20"/>
                <w:highlight w:val="none"/>
              </w:rPr>
              <w:t>支持告警管理，可</w:t>
            </w:r>
            <w:r>
              <w:rPr>
                <w:rFonts w:cstheme="minorEastAsia"/>
                <w:sz w:val="20"/>
                <w:szCs w:val="20"/>
                <w:highlight w:val="none"/>
              </w:rPr>
              <w:t>对告警规则进行管理</w:t>
            </w:r>
            <w:r>
              <w:rPr>
                <w:rFonts w:hint="eastAsia" w:cstheme="minorEastAsia"/>
                <w:sz w:val="20"/>
                <w:szCs w:val="20"/>
                <w:highlight w:val="none"/>
              </w:rPr>
              <w:t>；</w:t>
            </w:r>
            <w:r>
              <w:rPr>
                <w:rFonts w:cstheme="minorEastAsia"/>
                <w:sz w:val="20"/>
                <w:szCs w:val="20"/>
                <w:highlight w:val="none"/>
              </w:rPr>
              <w:t>支持告警信息的查看和处置</w:t>
            </w:r>
            <w:r>
              <w:rPr>
                <w:rFonts w:hint="eastAsia" w:cstheme="minorEastAsia"/>
                <w:sz w:val="20"/>
                <w:szCs w:val="20"/>
                <w:highlight w:val="none"/>
              </w:rPr>
              <w:t>；</w:t>
            </w:r>
            <w:r>
              <w:rPr>
                <w:rFonts w:cstheme="minorEastAsia"/>
                <w:sz w:val="20"/>
                <w:szCs w:val="20"/>
                <w:highlight w:val="none"/>
              </w:rPr>
              <w:t>支持安全预警的发布</w:t>
            </w:r>
            <w:r>
              <w:rPr>
                <w:rFonts w:hint="eastAsia" w:cstheme="minorEastAsia"/>
                <w:sz w:val="20"/>
                <w:szCs w:val="20"/>
                <w:highlight w:val="none"/>
              </w:rPr>
              <w:t>；支持增加、删除告警规则，规则信息包括编号、规则名称、规则分类、修改时间、时间窗口、状态等；支持</w:t>
            </w:r>
            <w:r>
              <w:rPr>
                <w:rFonts w:cstheme="minorEastAsia"/>
                <w:sz w:val="20"/>
                <w:szCs w:val="20"/>
                <w:highlight w:val="none"/>
              </w:rPr>
              <w:t>查看告警信息并进行告警信息的处置，并能够使用模板通过邮件进行告警</w:t>
            </w:r>
            <w:r>
              <w:rPr>
                <w:rFonts w:hint="eastAsia" w:cstheme="minorEastAsia"/>
                <w:sz w:val="20"/>
                <w:szCs w:val="20"/>
                <w:highlight w:val="none"/>
              </w:rPr>
              <w:t>；支持</w:t>
            </w:r>
            <w:r>
              <w:rPr>
                <w:rFonts w:cstheme="minorEastAsia"/>
                <w:sz w:val="20"/>
                <w:szCs w:val="20"/>
                <w:highlight w:val="none"/>
              </w:rPr>
              <w:t>由管理员进行安全预警的发布，会在屏幕上进行展示</w:t>
            </w:r>
            <w:r>
              <w:rPr>
                <w:rFonts w:hint="eastAsia" w:cstheme="minorEastAsia"/>
                <w:b/>
                <w:bCs/>
                <w:color w:val="000000" w:themeColor="text1"/>
                <w:sz w:val="20"/>
                <w:szCs w:val="20"/>
                <w:highlight w:val="none"/>
                <w14:textFill>
                  <w14:solidFill>
                    <w14:schemeClr w14:val="tx1"/>
                  </w14:solidFill>
                </w14:textFill>
              </w:rPr>
              <w:t>（提供由公安部相关检测机构出具的检验检测报告，并加盖投标人公章）；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5814" w:type="dxa"/>
          </w:tcPr>
          <w:p>
            <w:pPr>
              <w:pStyle w:val="2"/>
              <w:jc w:val="both"/>
              <w:rPr>
                <w:rFonts w:cstheme="minorEastAsia"/>
                <w:b w:val="0"/>
                <w:bCs w:val="0"/>
                <w:sz w:val="20"/>
                <w:szCs w:val="20"/>
                <w:highlight w:val="none"/>
              </w:rPr>
            </w:pPr>
            <w:r>
              <w:rPr>
                <w:rFonts w:hint="eastAsia" w:cstheme="minorEastAsia"/>
                <w:color w:val="000000"/>
                <w:sz w:val="20"/>
                <w:szCs w:val="20"/>
                <w:highlight w:val="none"/>
              </w:rPr>
              <w:t>大数据智能安全平台</w:t>
            </w:r>
            <w:r>
              <w:rPr>
                <w:rFonts w:hint="eastAsia" w:cstheme="minorEastAsia"/>
                <w:color w:val="000000"/>
                <w:sz w:val="20"/>
                <w:szCs w:val="20"/>
                <w:highlight w:val="none"/>
                <w:lang w:val="en-US" w:eastAsia="zh-CN"/>
              </w:rPr>
              <w:t>-</w:t>
            </w:r>
            <w:r>
              <w:rPr>
                <w:rFonts w:hint="eastAsia" w:cstheme="minorEastAsia"/>
                <w:color w:val="000000"/>
                <w:sz w:val="20"/>
                <w:szCs w:val="20"/>
                <w:highlight w:val="none"/>
              </w:rPr>
              <w:t>流量监测探针</w:t>
            </w:r>
            <w:r>
              <w:rPr>
                <w:rFonts w:hint="eastAsia" w:cstheme="minorEastAsia"/>
                <w:color w:val="000000"/>
                <w:sz w:val="20"/>
                <w:szCs w:val="20"/>
                <w:highlight w:val="none"/>
                <w:lang w:eastAsia="zh-CN"/>
              </w:rPr>
              <w:t>：</w:t>
            </w:r>
            <w:r>
              <w:rPr>
                <w:rFonts w:hint="eastAsia" w:cstheme="minorEastAsia"/>
                <w:b w:val="0"/>
                <w:bCs w:val="0"/>
                <w:sz w:val="20"/>
                <w:szCs w:val="20"/>
                <w:highlight w:val="none"/>
              </w:rPr>
              <w:t>支持知识库管理，</w:t>
            </w:r>
            <w:r>
              <w:rPr>
                <w:rFonts w:cstheme="minorEastAsia"/>
                <w:b w:val="0"/>
                <w:bCs w:val="0"/>
                <w:sz w:val="20"/>
                <w:szCs w:val="20"/>
                <w:highlight w:val="none"/>
              </w:rPr>
              <w:t>支持对规则、指标、安全事件进行统一管理</w:t>
            </w:r>
            <w:r>
              <w:rPr>
                <w:rFonts w:hint="eastAsia" w:cstheme="minorEastAsia"/>
                <w:b w:val="0"/>
                <w:bCs w:val="0"/>
                <w:sz w:val="20"/>
                <w:szCs w:val="20"/>
                <w:highlight w:val="none"/>
              </w:rPr>
              <w:t>；支持内置规则库，包括违规行为、恶意代码、攻击行为等；支持规则的新增和删除；支持</w:t>
            </w:r>
            <w:r>
              <w:rPr>
                <w:rFonts w:cstheme="minorEastAsia"/>
                <w:b w:val="0"/>
                <w:bCs w:val="0"/>
                <w:sz w:val="20"/>
                <w:szCs w:val="20"/>
                <w:highlight w:val="none"/>
              </w:rPr>
              <w:t>内置指标库，包括指标名称、分类、级别、指标区间(最大事件数)权重</w:t>
            </w:r>
            <w:r>
              <w:rPr>
                <w:rFonts w:hint="eastAsia" w:cstheme="minorEastAsia"/>
                <w:b w:val="0"/>
                <w:bCs w:val="0"/>
                <w:sz w:val="20"/>
                <w:szCs w:val="20"/>
                <w:highlight w:val="none"/>
              </w:rPr>
              <w:t>；</w:t>
            </w:r>
            <w:r>
              <w:rPr>
                <w:rFonts w:cstheme="minorEastAsia"/>
                <w:b w:val="0"/>
                <w:bCs w:val="0"/>
                <w:sz w:val="20"/>
                <w:szCs w:val="20"/>
                <w:highlight w:val="none"/>
              </w:rPr>
              <w:t>支持指标的新建和删除</w:t>
            </w:r>
            <w:r>
              <w:rPr>
                <w:rFonts w:hint="eastAsia" w:cstheme="minorEastAsia"/>
                <w:b w:val="0"/>
                <w:bCs w:val="0"/>
                <w:sz w:val="20"/>
                <w:szCs w:val="20"/>
                <w:highlight w:val="none"/>
              </w:rPr>
              <w:t>；支持</w:t>
            </w:r>
            <w:r>
              <w:rPr>
                <w:rFonts w:cstheme="minorEastAsia"/>
                <w:b w:val="0"/>
                <w:bCs w:val="0"/>
                <w:sz w:val="20"/>
                <w:szCs w:val="20"/>
                <w:highlight w:val="none"/>
              </w:rPr>
              <w:t>内置事件分级分类表，包括输入字段、规则、输出字段、输出值、设备类型、优先级等</w:t>
            </w:r>
            <w:r>
              <w:rPr>
                <w:rFonts w:hint="eastAsia" w:cstheme="minorEastAsia"/>
                <w:b w:val="0"/>
                <w:bCs w:val="0"/>
                <w:sz w:val="20"/>
                <w:szCs w:val="20"/>
                <w:highlight w:val="none"/>
              </w:rPr>
              <w:t>；</w:t>
            </w:r>
            <w:r>
              <w:rPr>
                <w:rFonts w:cstheme="minorEastAsia"/>
                <w:b w:val="0"/>
                <w:bCs w:val="0"/>
                <w:sz w:val="20"/>
                <w:szCs w:val="20"/>
                <w:highlight w:val="none"/>
              </w:rPr>
              <w:t>支持事件的新增和删除</w:t>
            </w:r>
            <w:r>
              <w:rPr>
                <w:rFonts w:hint="eastAsia" w:cstheme="minorEastAsia"/>
                <w:color w:val="000000" w:themeColor="text1"/>
                <w:sz w:val="20"/>
                <w:szCs w:val="20"/>
                <w:highlight w:val="none"/>
                <w14:textFill>
                  <w14:solidFill>
                    <w14:schemeClr w14:val="tx1"/>
                  </w14:solidFill>
                </w14:textFill>
              </w:rPr>
              <w:t>（提供由公安部相关检测机构出具的检验检测报告，并加盖投标人公章）</w:t>
            </w:r>
            <w:r>
              <w:rPr>
                <w:rFonts w:hint="eastAsia" w:cstheme="minorEastAsia"/>
                <w:sz w:val="20"/>
                <w:highlight w:val="none"/>
              </w:rPr>
              <w:t>；</w:t>
            </w:r>
          </w:p>
          <w:p>
            <w:pPr>
              <w:rPr>
                <w:rFonts w:hint="eastAsia" w:ascii="仿宋_GB2312" w:hAnsi="仿宋_GB2312" w:eastAsia="仿宋_GB2312" w:cs="仿宋_GB231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5814" w:type="dxa"/>
          </w:tcPr>
          <w:p>
            <w:pPr>
              <w:rPr>
                <w:rFonts w:hint="eastAsia" w:ascii="仿宋_GB2312" w:hAnsi="仿宋_GB2312" w:eastAsia="仿宋_GB2312" w:cs="仿宋_GB2312"/>
                <w:highlight w:val="none"/>
              </w:rPr>
            </w:pPr>
            <w:r>
              <w:rPr>
                <w:rFonts w:hint="eastAsia" w:cstheme="minorEastAsia"/>
                <w:color w:val="000000"/>
                <w:sz w:val="20"/>
                <w:szCs w:val="20"/>
                <w:highlight w:val="none"/>
              </w:rPr>
              <w:t>终端安全管理系统</w:t>
            </w:r>
            <w:r>
              <w:rPr>
                <w:rFonts w:hint="eastAsia" w:cstheme="minorEastAsia"/>
                <w:color w:val="000000"/>
                <w:sz w:val="20"/>
                <w:szCs w:val="20"/>
                <w:highlight w:val="none"/>
                <w:lang w:val="en-US" w:eastAsia="zh-CN"/>
              </w:rPr>
              <w:t>-</w:t>
            </w:r>
            <w:r>
              <w:rPr>
                <w:rFonts w:hint="eastAsia" w:cstheme="minorEastAsia"/>
                <w:color w:val="000000"/>
                <w:sz w:val="20"/>
                <w:szCs w:val="20"/>
                <w:highlight w:val="none"/>
              </w:rPr>
              <w:t>PC防护模块</w:t>
            </w:r>
            <w:r>
              <w:rPr>
                <w:rFonts w:hint="eastAsia" w:cstheme="minorEastAsia"/>
                <w:color w:val="000000"/>
                <w:sz w:val="20"/>
                <w:szCs w:val="20"/>
                <w:highlight w:val="none"/>
                <w:lang w:eastAsia="zh-CN"/>
              </w:rPr>
              <w:t>：</w:t>
            </w:r>
            <w:r>
              <w:rPr>
                <w:rFonts w:hint="eastAsia" w:cs="Times New Roman"/>
                <w:b w:val="0"/>
                <w:bCs w:val="0"/>
                <w:sz w:val="20"/>
                <w:szCs w:val="20"/>
                <w:highlight w:val="none"/>
              </w:rPr>
              <w:t>支持动态沙箱分析，包括沙箱检测能力与沙箱扩展能力；支持进程操作行为、文件操作行为、系统配置操作行为、网络通信行为等检测能力；支持事件关联分析，支持以可视化方式提供指定时间段内，被监测网络中的特定主机与其他主机之间的相关联的已知、未知威胁事件与异常网络行为；支持以可视化方式提供指定时间段内，被监测网络中指定威胁事件影响的主机以及相关联的其他威胁事件与异常网络行为；支持以可视化方式提供指定时间段内，被监测网络中异常网络行为相关的主机和威胁事件；支持采用智能化和自动化方式将多个相关联和类似的攻击事件进行归并</w:t>
            </w:r>
            <w:r>
              <w:rPr>
                <w:rFonts w:hint="eastAsia" w:cstheme="minorEastAsia"/>
                <w:sz w:val="20"/>
                <w:highlight w:val="none"/>
              </w:rPr>
              <w:t>（</w:t>
            </w:r>
            <w:r>
              <w:rPr>
                <w:rFonts w:hint="eastAsia" w:cstheme="minorEastAsia"/>
                <w:color w:val="000000" w:themeColor="text1"/>
                <w:sz w:val="20"/>
                <w:szCs w:val="20"/>
                <w:highlight w:val="none"/>
                <w14:textFill>
                  <w14:solidFill>
                    <w14:schemeClr w14:val="tx1"/>
                  </w14:solidFill>
                </w14:textFill>
              </w:rPr>
              <w:t>提供由国家计算机病毒应急处理中心</w:t>
            </w:r>
            <w:r>
              <w:rPr>
                <w:rFonts w:hint="eastAsia" w:cstheme="minorEastAsia"/>
                <w:color w:val="000000" w:themeColor="text1"/>
                <w:sz w:val="20"/>
                <w:szCs w:val="20"/>
                <w:highlight w:val="none"/>
                <w:lang w:eastAsia="zh-CN"/>
                <w14:textFill>
                  <w14:solidFill>
                    <w14:schemeClr w14:val="tx1"/>
                  </w14:solidFill>
                </w14:textFill>
              </w:rPr>
              <w:t>相关</w:t>
            </w:r>
            <w:r>
              <w:rPr>
                <w:rFonts w:hint="eastAsia" w:cstheme="minorEastAsia"/>
                <w:color w:val="000000" w:themeColor="text1"/>
                <w:sz w:val="20"/>
                <w:szCs w:val="20"/>
                <w:highlight w:val="none"/>
                <w14:textFill>
                  <w14:solidFill>
                    <w14:schemeClr w14:val="tx1"/>
                  </w14:solidFill>
                </w14:textFill>
              </w:rPr>
              <w:t>检测机构</w:t>
            </w:r>
            <w:r>
              <w:rPr>
                <w:rFonts w:hint="eastAsia" w:cstheme="minorEastAsia"/>
                <w:color w:val="000000" w:themeColor="text1"/>
                <w:sz w:val="20"/>
                <w:szCs w:val="20"/>
                <w:highlight w:val="none"/>
                <w:lang w:eastAsia="zh-CN"/>
                <w14:textFill>
                  <w14:solidFill>
                    <w14:schemeClr w14:val="tx1"/>
                  </w14:solidFill>
                </w14:textFill>
              </w:rPr>
              <w:t>或产品检验实验室</w:t>
            </w:r>
            <w:r>
              <w:rPr>
                <w:rFonts w:hint="eastAsia" w:cstheme="minorEastAsia"/>
                <w:color w:val="000000" w:themeColor="text1"/>
                <w:sz w:val="20"/>
                <w:szCs w:val="20"/>
                <w:highlight w:val="none"/>
                <w14:textFill>
                  <w14:solidFill>
                    <w14:schemeClr w14:val="tx1"/>
                  </w14:solidFill>
                </w14:textFill>
              </w:rPr>
              <w:t>出具的检验检测报告，并加盖投标人公章</w:t>
            </w:r>
            <w:r>
              <w:rPr>
                <w:rFonts w:hint="eastAsia" w:cstheme="minorEastAsia"/>
                <w:sz w:val="20"/>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5814" w:type="dxa"/>
          </w:tcPr>
          <w:p>
            <w:pPr>
              <w:rPr>
                <w:rFonts w:hint="eastAsia" w:ascii="仿宋_GB2312" w:hAnsi="仿宋_GB2312" w:eastAsia="仿宋_GB2312" w:cs="仿宋_GB2312"/>
                <w:highlight w:val="none"/>
              </w:rPr>
            </w:pPr>
            <w:r>
              <w:rPr>
                <w:rFonts w:hint="eastAsia" w:cstheme="minorEastAsia"/>
                <w:color w:val="000000"/>
                <w:sz w:val="20"/>
                <w:szCs w:val="20"/>
                <w:highlight w:val="none"/>
              </w:rPr>
              <w:t>终端安全管理系统</w:t>
            </w:r>
            <w:r>
              <w:rPr>
                <w:rFonts w:hint="eastAsia" w:cstheme="minorEastAsia"/>
                <w:color w:val="000000"/>
                <w:sz w:val="20"/>
                <w:szCs w:val="20"/>
                <w:highlight w:val="none"/>
                <w:lang w:val="en-US" w:eastAsia="zh-CN"/>
              </w:rPr>
              <w:t>-</w:t>
            </w:r>
            <w:r>
              <w:rPr>
                <w:rFonts w:hint="eastAsia" w:cstheme="minorEastAsia"/>
                <w:color w:val="000000"/>
                <w:sz w:val="20"/>
                <w:szCs w:val="20"/>
                <w:highlight w:val="none"/>
              </w:rPr>
              <w:t>PC防护模块</w:t>
            </w:r>
            <w:r>
              <w:rPr>
                <w:rFonts w:hint="eastAsia" w:cstheme="minorEastAsia"/>
                <w:color w:val="000000"/>
                <w:sz w:val="20"/>
                <w:szCs w:val="20"/>
                <w:highlight w:val="none"/>
                <w:lang w:eastAsia="zh-CN"/>
              </w:rPr>
              <w:t>：</w:t>
            </w:r>
            <w:r>
              <w:rPr>
                <w:rFonts w:hint="eastAsia" w:cs="Times New Roman"/>
                <w:sz w:val="20"/>
                <w:szCs w:val="20"/>
                <w:highlight w:val="none"/>
              </w:rPr>
              <w:t>▲支持扫描安全风险，包括防护主机，可保护终端免遭病毒</w:t>
            </w:r>
            <w:r>
              <w:rPr>
                <w:rFonts w:cs="Times New Roman"/>
                <w:sz w:val="20"/>
                <w:szCs w:val="20"/>
                <w:highlight w:val="none"/>
              </w:rPr>
              <w:t>/恶意软件和间谍软件/灰色软件安全风险的</w:t>
            </w:r>
            <w:r>
              <w:rPr>
                <w:rFonts w:hint="eastAsia" w:cs="Times New Roman"/>
                <w:sz w:val="20"/>
                <w:szCs w:val="20"/>
                <w:highlight w:val="none"/>
              </w:rPr>
              <w:t>侵扰；支持抑制病毒爆发，可帮助抑制爆发，如果需要立即采取措施，可通过日志跟踪安全风险和警报</w:t>
            </w:r>
            <w:r>
              <w:rPr>
                <w:rFonts w:hint="eastAsia" w:cs="Times New Roman"/>
                <w:b/>
                <w:bCs/>
                <w:sz w:val="20"/>
                <w:szCs w:val="20"/>
                <w:highlight w:val="none"/>
              </w:rPr>
              <w:t>；</w:t>
            </w:r>
            <w:r>
              <w:rPr>
                <w:rFonts w:hint="eastAsia" w:cs="Times New Roman"/>
                <w:sz w:val="20"/>
                <w:szCs w:val="20"/>
                <w:highlight w:val="none"/>
              </w:rPr>
              <w:t>支持防御未知威胁，可保护终端免受试图潜入网络的未知威胁侵扰可疑连接服务管理用户定义的全局</w:t>
            </w:r>
            <w:r>
              <w:rPr>
                <w:rFonts w:cs="Times New Roman"/>
                <w:sz w:val="20"/>
                <w:szCs w:val="20"/>
                <w:highlight w:val="none"/>
              </w:rPr>
              <w:t>IP C&amp;C列表，并监控终端与可能的 C&amp;C服务器建立的连接</w:t>
            </w:r>
            <w:r>
              <w:rPr>
                <w:rFonts w:hint="eastAsia" w:cstheme="minorEastAsia"/>
                <w:sz w:val="20"/>
                <w:highlight w:val="none"/>
              </w:rPr>
              <w:t>（</w:t>
            </w:r>
            <w:r>
              <w:rPr>
                <w:rFonts w:hint="eastAsia" w:cstheme="minorEastAsia"/>
                <w:b/>
                <w:bCs/>
                <w:color w:val="000000" w:themeColor="text1"/>
                <w:sz w:val="20"/>
                <w:szCs w:val="20"/>
                <w:highlight w:val="none"/>
                <w14:textFill>
                  <w14:solidFill>
                    <w14:schemeClr w14:val="tx1"/>
                  </w14:solidFill>
                </w14:textFill>
              </w:rPr>
              <w:t>提供由第三方检测机构出具的软件产品登记测试报告，并加盖投标人公章</w:t>
            </w:r>
            <w:r>
              <w:rPr>
                <w:rFonts w:hint="eastAsia" w:cstheme="minorEastAsia"/>
                <w:sz w:val="20"/>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p>
        </w:tc>
        <w:tc>
          <w:tcPr>
            <w:tcW w:w="426" w:type="dxa"/>
          </w:tcPr>
          <w:p>
            <w:p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w:t>
            </w:r>
          </w:p>
        </w:tc>
        <w:tc>
          <w:tcPr>
            <w:tcW w:w="5814" w:type="dxa"/>
          </w:tcPr>
          <w:p>
            <w:pPr>
              <w:rPr>
                <w:rFonts w:hint="eastAsia" w:ascii="仿宋_GB2312" w:hAnsi="仿宋_GB2312" w:eastAsia="仿宋_GB2312" w:cs="仿宋_GB2312"/>
                <w:highlight w:val="none"/>
              </w:rPr>
            </w:pPr>
            <w:r>
              <w:rPr>
                <w:rFonts w:hint="eastAsia" w:cs="Times New Roman"/>
                <w:sz w:val="20"/>
                <w:szCs w:val="20"/>
                <w:highlight w:val="none"/>
              </w:rPr>
              <w:t>▲桌面管理模块应具备违规预警、安全基线、</w:t>
            </w:r>
            <w:r>
              <w:rPr>
                <w:rFonts w:cs="Times New Roman"/>
                <w:sz w:val="20"/>
                <w:szCs w:val="20"/>
                <w:highlight w:val="none"/>
              </w:rPr>
              <w:t>USB</w:t>
            </w:r>
            <w:r>
              <w:rPr>
                <w:rFonts w:hint="eastAsia" w:cs="Times New Roman"/>
                <w:sz w:val="20"/>
                <w:szCs w:val="20"/>
                <w:highlight w:val="none"/>
              </w:rPr>
              <w:t>接入管理、行为审计、资产管理、软件管理、远程运维等功能</w:t>
            </w:r>
            <w:r>
              <w:rPr>
                <w:rFonts w:hint="eastAsia" w:cstheme="minorEastAsia"/>
                <w:sz w:val="20"/>
                <w:highlight w:val="none"/>
              </w:rPr>
              <w:t>（</w:t>
            </w:r>
            <w:r>
              <w:rPr>
                <w:rFonts w:hint="eastAsia" w:cstheme="minorEastAsia"/>
                <w:b/>
                <w:bCs/>
                <w:color w:val="000000" w:themeColor="text1"/>
                <w:sz w:val="20"/>
                <w:szCs w:val="20"/>
                <w:highlight w:val="none"/>
                <w14:textFill>
                  <w14:solidFill>
                    <w14:schemeClr w14:val="tx1"/>
                  </w14:solidFill>
                </w14:textFill>
              </w:rPr>
              <w:t>提供产品功能截图并加盖投标人公章</w:t>
            </w:r>
            <w:r>
              <w:rPr>
                <w:rFonts w:hint="eastAsia" w:cstheme="minorEastAsia"/>
                <w:sz w:val="20"/>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说明</w:t>
            </w:r>
          </w:p>
        </w:tc>
        <w:tc>
          <w:tcPr>
            <w:tcW w:w="6240" w:type="dxa"/>
            <w:gridSpan w:val="2"/>
          </w:tcPr>
          <w:p>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打“★”号条款为实质性条款，若有任何一条负偏离或不满足则导致投标（响应）无效。</w:t>
            </w:r>
            <w:r>
              <w:rPr>
                <w:rFonts w:hint="eastAsia" w:ascii="仿宋_GB2312" w:hAnsi="仿宋_GB2312" w:eastAsia="仿宋_GB2312" w:cs="仿宋_GB2312"/>
                <w:highlight w:val="none"/>
              </w:rPr>
              <w:br w:type="textWrapping"/>
            </w:r>
            <w:r>
              <w:rPr>
                <w:rFonts w:hint="eastAsia" w:ascii="仿宋_GB2312" w:hAnsi="仿宋_GB2312" w:eastAsia="仿宋_GB2312" w:cs="仿宋_GB2312"/>
                <w:highlight w:val="none"/>
              </w:rPr>
              <w:t>打“▲”号条款为重要技术参数（如有），若有部分“▲”条款未响应或不满足，将根据评审要求影响其得分，但不作为无效投标（响应）条款。</w:t>
            </w:r>
          </w:p>
        </w:tc>
      </w:tr>
    </w:tbl>
    <w:p>
      <w:pPr>
        <w:rPr>
          <w:b/>
          <w:sz w:val="36"/>
          <w:highlight w:val="none"/>
        </w:rPr>
      </w:pPr>
    </w:p>
    <w:p>
      <w:pPr>
        <w:rPr>
          <w:highlight w:val="none"/>
        </w:rPr>
      </w:pPr>
    </w:p>
    <w:p>
      <w:pPr>
        <w:rPr>
          <w:highlight w:val="none"/>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第三章 投标人须知</w:t>
      </w:r>
    </w:p>
    <w:p>
      <w:pPr>
        <w:ind w:firstLine="480"/>
        <w:rPr>
          <w:highlight w:val="none"/>
        </w:rPr>
      </w:pPr>
      <w:r>
        <w:rPr>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highlight w:val="none"/>
        </w:rPr>
      </w:pPr>
      <w:r>
        <w:rPr>
          <w:highlight w:val="none"/>
        </w:rPr>
        <w:t>请注意：供应商需在投标文件截止时间前，将投标文件</w:t>
      </w:r>
      <w:r>
        <w:rPr>
          <w:rFonts w:hint="eastAsia"/>
          <w:highlight w:val="none"/>
        </w:rPr>
        <w:t>提交至开标现场</w:t>
      </w:r>
      <w:r>
        <w:rPr>
          <w:highlight w:val="none"/>
        </w:rPr>
        <w:t>，逾期投递送达将导致投标无效。</w:t>
      </w:r>
    </w:p>
    <w:p>
      <w:pPr>
        <w:jc w:val="center"/>
        <w:rPr>
          <w:b/>
          <w:sz w:val="32"/>
          <w:highlight w:val="none"/>
        </w:rPr>
      </w:pPr>
      <w:r>
        <w:rPr>
          <w:rFonts w:hint="eastAsia" w:ascii="仿宋" w:hAnsi="仿宋" w:eastAsia="仿宋" w:cs="仿宋"/>
          <w:b/>
          <w:sz w:val="28"/>
          <w:highlight w:val="none"/>
          <w:u w:val="single"/>
        </w:rPr>
        <w:t>供应商须知资料表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rPr>
                <w:highlight w:val="none"/>
              </w:rPr>
            </w:pPr>
            <w:r>
              <w:rPr>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序号</w:t>
            </w:r>
          </w:p>
        </w:tc>
        <w:tc>
          <w:tcPr>
            <w:tcW w:w="2252" w:type="dxa"/>
          </w:tcPr>
          <w:p>
            <w:pPr>
              <w:rPr>
                <w:highlight w:val="none"/>
              </w:rPr>
            </w:pPr>
            <w:r>
              <w:rPr>
                <w:highlight w:val="none"/>
              </w:rPr>
              <w:t>条款名称</w:t>
            </w:r>
          </w:p>
        </w:tc>
        <w:tc>
          <w:tcPr>
            <w:tcW w:w="5004" w:type="dxa"/>
          </w:tcPr>
          <w:p>
            <w:pPr>
              <w:rPr>
                <w:highlight w:val="none"/>
              </w:rPr>
            </w:pPr>
            <w:r>
              <w:rPr>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w:t>
            </w:r>
          </w:p>
        </w:tc>
        <w:tc>
          <w:tcPr>
            <w:tcW w:w="2252" w:type="dxa"/>
          </w:tcPr>
          <w:p>
            <w:pPr>
              <w:rPr>
                <w:highlight w:val="none"/>
              </w:rPr>
            </w:pPr>
            <w:r>
              <w:rPr>
                <w:highlight w:val="none"/>
              </w:rPr>
              <w:t>采购包情况</w:t>
            </w:r>
          </w:p>
        </w:tc>
        <w:tc>
          <w:tcPr>
            <w:tcW w:w="5004" w:type="dxa"/>
          </w:tcPr>
          <w:p>
            <w:pPr>
              <w:rPr>
                <w:highlight w:val="none"/>
              </w:rPr>
            </w:pPr>
            <w:r>
              <w:rPr>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2</w:t>
            </w:r>
          </w:p>
        </w:tc>
        <w:tc>
          <w:tcPr>
            <w:tcW w:w="2252" w:type="dxa"/>
          </w:tcPr>
          <w:p>
            <w:pPr>
              <w:rPr>
                <w:highlight w:val="none"/>
              </w:rPr>
            </w:pPr>
            <w:r>
              <w:rPr>
                <w:highlight w:val="none"/>
              </w:rPr>
              <w:t>开标方式</w:t>
            </w:r>
          </w:p>
        </w:tc>
        <w:tc>
          <w:tcPr>
            <w:tcW w:w="5004" w:type="dxa"/>
          </w:tcPr>
          <w:p>
            <w:pPr>
              <w:rPr>
                <w:highlight w:val="none"/>
              </w:rPr>
            </w:pPr>
            <w:r>
              <w:rPr>
                <w:highlight w:val="none"/>
              </w:rPr>
              <w:t>现场开标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3</w:t>
            </w:r>
          </w:p>
        </w:tc>
        <w:tc>
          <w:tcPr>
            <w:tcW w:w="2252" w:type="dxa"/>
          </w:tcPr>
          <w:p>
            <w:pPr>
              <w:rPr>
                <w:highlight w:val="none"/>
              </w:rPr>
            </w:pPr>
            <w:r>
              <w:rPr>
                <w:highlight w:val="none"/>
              </w:rPr>
              <w:t>评标方式</w:t>
            </w:r>
          </w:p>
        </w:tc>
        <w:tc>
          <w:tcPr>
            <w:tcW w:w="5004" w:type="dxa"/>
          </w:tcPr>
          <w:p>
            <w:pPr>
              <w:rPr>
                <w:highlight w:val="none"/>
              </w:rPr>
            </w:pPr>
            <w:r>
              <w:rPr>
                <w:highlight w:val="none"/>
              </w:rPr>
              <w:t>现场评标（供应商应当审慎标记各评审项的应答部分，标记内容清晰且完整，否则将自行承担不利后果）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4</w:t>
            </w:r>
          </w:p>
        </w:tc>
        <w:tc>
          <w:tcPr>
            <w:tcW w:w="2252" w:type="dxa"/>
          </w:tcPr>
          <w:p>
            <w:pPr>
              <w:rPr>
                <w:highlight w:val="none"/>
              </w:rPr>
            </w:pPr>
            <w:r>
              <w:rPr>
                <w:highlight w:val="none"/>
              </w:rPr>
              <w:t>评标办法</w:t>
            </w:r>
          </w:p>
        </w:tc>
        <w:tc>
          <w:tcPr>
            <w:tcW w:w="5004" w:type="dxa"/>
          </w:tcPr>
          <w:p>
            <w:pPr>
              <w:rPr>
                <w:highlight w:val="none"/>
              </w:rPr>
            </w:pPr>
            <w:r>
              <w:rPr>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5</w:t>
            </w:r>
          </w:p>
        </w:tc>
        <w:tc>
          <w:tcPr>
            <w:tcW w:w="2252" w:type="dxa"/>
          </w:tcPr>
          <w:p>
            <w:pPr>
              <w:rPr>
                <w:highlight w:val="none"/>
              </w:rPr>
            </w:pPr>
            <w:r>
              <w:rPr>
                <w:highlight w:val="none"/>
              </w:rPr>
              <w:t>报价形式</w:t>
            </w:r>
          </w:p>
        </w:tc>
        <w:tc>
          <w:tcPr>
            <w:tcW w:w="5004" w:type="dxa"/>
          </w:tcPr>
          <w:p>
            <w:pPr>
              <w:rPr>
                <w:highlight w:val="none"/>
              </w:rPr>
            </w:pPr>
            <w:r>
              <w:rPr>
                <w:highlight w:val="none"/>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6</w:t>
            </w:r>
          </w:p>
        </w:tc>
        <w:tc>
          <w:tcPr>
            <w:tcW w:w="2252" w:type="dxa"/>
          </w:tcPr>
          <w:p>
            <w:pPr>
              <w:rPr>
                <w:highlight w:val="none"/>
              </w:rPr>
            </w:pPr>
            <w:r>
              <w:rPr>
                <w:highlight w:val="none"/>
              </w:rPr>
              <w:t>报价要求</w:t>
            </w:r>
          </w:p>
        </w:tc>
        <w:tc>
          <w:tcPr>
            <w:tcW w:w="5004" w:type="dxa"/>
          </w:tcPr>
          <w:p>
            <w:pPr>
              <w:rPr>
                <w:highlight w:val="none"/>
              </w:rPr>
            </w:pPr>
            <w:r>
              <w:rPr>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7</w:t>
            </w:r>
          </w:p>
        </w:tc>
        <w:tc>
          <w:tcPr>
            <w:tcW w:w="2252" w:type="dxa"/>
          </w:tcPr>
          <w:p>
            <w:pPr>
              <w:rPr>
                <w:highlight w:val="none"/>
              </w:rPr>
            </w:pPr>
            <w:r>
              <w:rPr>
                <w:highlight w:val="none"/>
              </w:rPr>
              <w:t>现场踏勘</w:t>
            </w:r>
          </w:p>
        </w:tc>
        <w:tc>
          <w:tcPr>
            <w:tcW w:w="5004" w:type="dxa"/>
          </w:tcPr>
          <w:p>
            <w:pPr>
              <w:rPr>
                <w:highlight w:val="none"/>
              </w:rPr>
            </w:pPr>
            <w:r>
              <w:rPr>
                <w:rFonts w:hint="eastAsia"/>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8</w:t>
            </w:r>
          </w:p>
        </w:tc>
        <w:tc>
          <w:tcPr>
            <w:tcW w:w="2252" w:type="dxa"/>
          </w:tcPr>
          <w:p>
            <w:pPr>
              <w:rPr>
                <w:highlight w:val="none"/>
              </w:rPr>
            </w:pPr>
            <w:r>
              <w:rPr>
                <w:highlight w:val="none"/>
              </w:rPr>
              <w:t>投标有效期</w:t>
            </w:r>
          </w:p>
        </w:tc>
        <w:tc>
          <w:tcPr>
            <w:tcW w:w="5004" w:type="dxa"/>
          </w:tcPr>
          <w:p>
            <w:pPr>
              <w:rPr>
                <w:highlight w:val="none"/>
              </w:rPr>
            </w:pPr>
            <w:r>
              <w:rPr>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9</w:t>
            </w:r>
          </w:p>
        </w:tc>
        <w:tc>
          <w:tcPr>
            <w:tcW w:w="2252" w:type="dxa"/>
          </w:tcPr>
          <w:p>
            <w:pPr>
              <w:rPr>
                <w:highlight w:val="none"/>
              </w:rPr>
            </w:pPr>
            <w:r>
              <w:rPr>
                <w:highlight w:val="none"/>
              </w:rPr>
              <w:t>投标保证金</w:t>
            </w:r>
          </w:p>
        </w:tc>
        <w:tc>
          <w:tcPr>
            <w:tcW w:w="5004" w:type="dxa"/>
          </w:tcPr>
          <w:p>
            <w:pPr>
              <w:rPr>
                <w:highlight w:val="none"/>
              </w:rPr>
            </w:pPr>
            <w:r>
              <w:rPr>
                <w:rFonts w:hint="eastAsia"/>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10</w:t>
            </w:r>
          </w:p>
        </w:tc>
        <w:tc>
          <w:tcPr>
            <w:tcW w:w="2252" w:type="dxa"/>
          </w:tcPr>
          <w:p>
            <w:pPr>
              <w:rPr>
                <w:highlight w:val="none"/>
              </w:rPr>
            </w:pPr>
            <w:r>
              <w:rPr>
                <w:highlight w:val="none"/>
              </w:rPr>
              <w:t>纸质投标文件要求</w:t>
            </w:r>
          </w:p>
        </w:tc>
        <w:tc>
          <w:tcPr>
            <w:tcW w:w="5004" w:type="dxa"/>
          </w:tcPr>
          <w:p>
            <w:pPr>
              <w:rPr>
                <w:b/>
                <w:highlight w:val="none"/>
                <w:u w:val="single"/>
              </w:rPr>
            </w:pPr>
            <w:r>
              <w:rPr>
                <w:b/>
                <w:highlight w:val="none"/>
                <w:u w:val="single"/>
              </w:rPr>
              <w:t>纸质投标文件正本1份，纸质投标文件副本</w:t>
            </w:r>
            <w:r>
              <w:rPr>
                <w:rFonts w:hint="eastAsia"/>
                <w:b/>
                <w:highlight w:val="none"/>
                <w:u w:val="single"/>
              </w:rPr>
              <w:t>5</w:t>
            </w:r>
            <w:r>
              <w:rPr>
                <w:b/>
                <w:highlight w:val="none"/>
                <w:u w:val="single"/>
              </w:rPr>
              <w:t>份。</w:t>
            </w:r>
          </w:p>
          <w:p>
            <w:pPr>
              <w:rPr>
                <w:highlight w:val="none"/>
              </w:rPr>
            </w:pPr>
            <w:r>
              <w:rPr>
                <w:highlight w:val="none"/>
              </w:rPr>
              <w:t>请保证</w:t>
            </w:r>
            <w:r>
              <w:rPr>
                <w:rFonts w:hint="eastAsia"/>
                <w:highlight w:val="none"/>
              </w:rPr>
              <w:t>正本</w:t>
            </w:r>
            <w:r>
              <w:rPr>
                <w:highlight w:val="none"/>
              </w:rPr>
              <w:t>投标文件应与</w:t>
            </w:r>
            <w:r>
              <w:rPr>
                <w:rFonts w:hint="eastAsia"/>
                <w:highlight w:val="none"/>
              </w:rPr>
              <w:t>副本</w:t>
            </w:r>
            <w:r>
              <w:rPr>
                <w:highlight w:val="none"/>
              </w:rPr>
              <w:t>投标文件（如有）一致，如不一致时以</w:t>
            </w:r>
            <w:r>
              <w:rPr>
                <w:rFonts w:hint="eastAsia"/>
                <w:highlight w:val="none"/>
              </w:rPr>
              <w:t>正本</w:t>
            </w:r>
            <w:r>
              <w:rPr>
                <w:highlight w:val="none"/>
              </w:rPr>
              <w:t>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11</w:t>
            </w:r>
          </w:p>
        </w:tc>
        <w:tc>
          <w:tcPr>
            <w:tcW w:w="2252" w:type="dxa"/>
          </w:tcPr>
          <w:p>
            <w:pPr>
              <w:rPr>
                <w:highlight w:val="none"/>
              </w:rPr>
            </w:pPr>
            <w:r>
              <w:rPr>
                <w:highlight w:val="none"/>
              </w:rPr>
              <w:t>中标候选供应商推荐家数</w:t>
            </w:r>
          </w:p>
        </w:tc>
        <w:tc>
          <w:tcPr>
            <w:tcW w:w="5004" w:type="dxa"/>
          </w:tcPr>
          <w:p>
            <w:pPr>
              <w:rPr>
                <w:highlight w:val="none"/>
              </w:rPr>
            </w:pPr>
            <w:r>
              <w:rPr>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12</w:t>
            </w:r>
          </w:p>
        </w:tc>
        <w:tc>
          <w:tcPr>
            <w:tcW w:w="2252" w:type="dxa"/>
          </w:tcPr>
          <w:p>
            <w:pPr>
              <w:rPr>
                <w:highlight w:val="none"/>
              </w:rPr>
            </w:pPr>
            <w:r>
              <w:rPr>
                <w:highlight w:val="none"/>
              </w:rPr>
              <w:t>中标供应商数量</w:t>
            </w:r>
          </w:p>
        </w:tc>
        <w:tc>
          <w:tcPr>
            <w:tcW w:w="5004" w:type="dxa"/>
          </w:tcPr>
          <w:p>
            <w:pPr>
              <w:rPr>
                <w:highlight w:val="none"/>
              </w:rPr>
            </w:pPr>
            <w:r>
              <w:rPr>
                <w:highlight w:val="none"/>
              </w:rPr>
              <w:t>采购包1：1家</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13</w:t>
            </w:r>
          </w:p>
        </w:tc>
        <w:tc>
          <w:tcPr>
            <w:tcW w:w="2252" w:type="dxa"/>
          </w:tcPr>
          <w:p>
            <w:pPr>
              <w:rPr>
                <w:highlight w:val="none"/>
              </w:rPr>
            </w:pPr>
            <w:r>
              <w:rPr>
                <w:highlight w:val="none"/>
              </w:rPr>
              <w:t>有效供应商家数</w:t>
            </w:r>
          </w:p>
        </w:tc>
        <w:tc>
          <w:tcPr>
            <w:tcW w:w="5004" w:type="dxa"/>
          </w:tcPr>
          <w:p>
            <w:pPr>
              <w:rPr>
                <w:highlight w:val="none"/>
              </w:rPr>
            </w:pPr>
            <w:r>
              <w:rPr>
                <w:highlight w:val="none"/>
              </w:rPr>
              <w:t>采购包1：3家</w:t>
            </w:r>
          </w:p>
          <w:p>
            <w:pPr>
              <w:ind w:firstLine="480"/>
              <w:rPr>
                <w:highlight w:val="none"/>
              </w:rPr>
            </w:pPr>
            <w:r>
              <w:rPr>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14</w:t>
            </w:r>
          </w:p>
        </w:tc>
        <w:tc>
          <w:tcPr>
            <w:tcW w:w="2252" w:type="dxa"/>
          </w:tcPr>
          <w:p>
            <w:pPr>
              <w:rPr>
                <w:highlight w:val="none"/>
              </w:rPr>
            </w:pPr>
            <w:r>
              <w:rPr>
                <w:highlight w:val="none"/>
              </w:rPr>
              <w:t>项目兼投兼中规则</w:t>
            </w:r>
          </w:p>
        </w:tc>
        <w:tc>
          <w:tcPr>
            <w:tcW w:w="5004" w:type="dxa"/>
          </w:tcPr>
          <w:p>
            <w:pPr>
              <w:rPr>
                <w:highlight w:val="none"/>
              </w:rPr>
            </w:pPr>
            <w:r>
              <w:rPr>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15</w:t>
            </w:r>
          </w:p>
        </w:tc>
        <w:tc>
          <w:tcPr>
            <w:tcW w:w="2252" w:type="dxa"/>
          </w:tcPr>
          <w:p>
            <w:pPr>
              <w:rPr>
                <w:highlight w:val="none"/>
              </w:rPr>
            </w:pPr>
            <w:r>
              <w:rPr>
                <w:highlight w:val="none"/>
              </w:rPr>
              <w:t>中标供应商确定方式</w:t>
            </w:r>
          </w:p>
        </w:tc>
        <w:tc>
          <w:tcPr>
            <w:tcW w:w="5004" w:type="dxa"/>
          </w:tcPr>
          <w:p>
            <w:pPr>
              <w:rPr>
                <w:highlight w:val="none"/>
              </w:rPr>
            </w:pPr>
            <w:r>
              <w:rPr>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highlight w:val="none"/>
              </w:rPr>
              <w:t>16</w:t>
            </w:r>
          </w:p>
        </w:tc>
        <w:tc>
          <w:tcPr>
            <w:tcW w:w="2252" w:type="dxa"/>
          </w:tcPr>
          <w:p>
            <w:pPr>
              <w:rPr>
                <w:highlight w:val="none"/>
              </w:rPr>
            </w:pPr>
            <w:r>
              <w:rPr>
                <w:highlight w:val="none"/>
              </w:rPr>
              <w:t>代理服务费</w:t>
            </w:r>
          </w:p>
        </w:tc>
        <w:tc>
          <w:tcPr>
            <w:tcW w:w="5004" w:type="dxa"/>
          </w:tcPr>
          <w:p>
            <w:pPr>
              <w:rPr>
                <w:highlight w:val="none"/>
              </w:rPr>
            </w:pPr>
            <w:r>
              <w:rPr>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 w:hRule="atLeast"/>
        </w:trPr>
        <w:tc>
          <w:tcPr>
            <w:tcW w:w="1051" w:type="dxa"/>
          </w:tcPr>
          <w:p>
            <w:pPr>
              <w:rPr>
                <w:highlight w:val="none"/>
              </w:rPr>
            </w:pPr>
            <w:r>
              <w:rPr>
                <w:highlight w:val="none"/>
              </w:rPr>
              <w:t>17</w:t>
            </w:r>
          </w:p>
        </w:tc>
        <w:tc>
          <w:tcPr>
            <w:tcW w:w="2252" w:type="dxa"/>
          </w:tcPr>
          <w:p>
            <w:pPr>
              <w:rPr>
                <w:highlight w:val="none"/>
              </w:rPr>
            </w:pPr>
            <w:r>
              <w:rPr>
                <w:highlight w:val="none"/>
              </w:rPr>
              <w:t>代理服务费收取方式</w:t>
            </w:r>
          </w:p>
        </w:tc>
        <w:tc>
          <w:tcPr>
            <w:tcW w:w="5004" w:type="dxa"/>
          </w:tcPr>
          <w:p>
            <w:pPr>
              <w:rPr>
                <w:highlight w:val="none"/>
              </w:rPr>
            </w:pPr>
            <w:r>
              <w:rPr>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 w:hRule="atLeast"/>
        </w:trPr>
        <w:tc>
          <w:tcPr>
            <w:tcW w:w="1051" w:type="dxa"/>
          </w:tcPr>
          <w:p>
            <w:pPr>
              <w:rPr>
                <w:highlight w:val="none"/>
              </w:rPr>
            </w:pPr>
            <w:r>
              <w:rPr>
                <w:highlight w:val="none"/>
              </w:rPr>
              <w:t>18</w:t>
            </w:r>
          </w:p>
        </w:tc>
        <w:tc>
          <w:tcPr>
            <w:tcW w:w="2252" w:type="dxa"/>
          </w:tcPr>
          <w:p>
            <w:pPr>
              <w:rPr>
                <w:highlight w:val="none"/>
              </w:rPr>
            </w:pPr>
            <w:r>
              <w:rPr>
                <w:highlight w:val="none"/>
              </w:rPr>
              <w:t>其他</w:t>
            </w:r>
          </w:p>
        </w:tc>
        <w:tc>
          <w:tcPr>
            <w:tcW w:w="5004" w:type="dxa"/>
          </w:tcPr>
          <w:p>
            <w:pPr>
              <w:rPr>
                <w:highlight w:val="none"/>
              </w:rPr>
            </w:pPr>
            <w:r>
              <w:rPr>
                <w:rFonts w:hint="eastAsia"/>
                <w:highlight w:val="none"/>
              </w:rPr>
              <w:t>本项目不允许分公司投标。</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rFonts w:hint="eastAsia"/>
                <w:highlight w:val="none"/>
              </w:rPr>
              <w:t>19</w:t>
            </w:r>
          </w:p>
        </w:tc>
        <w:tc>
          <w:tcPr>
            <w:tcW w:w="2252" w:type="dxa"/>
          </w:tcPr>
          <w:p>
            <w:pPr>
              <w:rPr>
                <w:highlight w:val="none"/>
              </w:rPr>
            </w:pPr>
            <w:r>
              <w:rPr>
                <w:highlight w:val="none"/>
              </w:rPr>
              <w:t>专门面向中小企业采购</w:t>
            </w:r>
          </w:p>
        </w:tc>
        <w:tc>
          <w:tcPr>
            <w:tcW w:w="5004" w:type="dxa"/>
          </w:tcPr>
          <w:p>
            <w:pPr>
              <w:jc w:val="left"/>
              <w:rPr>
                <w:highlight w:val="none"/>
              </w:rPr>
            </w:pPr>
            <w:r>
              <w:rPr>
                <w:highlight w:val="none"/>
              </w:rPr>
              <w:t>采购包1：</w:t>
            </w:r>
            <w:r>
              <w:rPr>
                <w:rFonts w:hint="eastAsia"/>
                <w:highlight w:val="none"/>
              </w:rPr>
              <w:t>整体专门</w:t>
            </w:r>
            <w:r>
              <w:rPr>
                <w:rFonts w:hint="eastAsia"/>
                <w:highlight w:val="none"/>
                <w:lang w:eastAsia="zh-CN"/>
              </w:rPr>
              <w:t>不</w:t>
            </w:r>
            <w:r>
              <w:rPr>
                <w:rFonts w:hint="eastAsia"/>
                <w:highlight w:val="none"/>
              </w:rPr>
              <w:t>面向中小企业采购。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highlight w:val="none"/>
              </w:rPr>
            </w:pPr>
            <w:r>
              <w:rPr>
                <w:rFonts w:hint="eastAsia"/>
                <w:highlight w:val="none"/>
              </w:rPr>
              <w:t>20</w:t>
            </w:r>
          </w:p>
        </w:tc>
        <w:tc>
          <w:tcPr>
            <w:tcW w:w="2252" w:type="dxa"/>
          </w:tcPr>
          <w:p>
            <w:pPr>
              <w:rPr>
                <w:highlight w:val="none"/>
              </w:rPr>
            </w:pPr>
            <w:r>
              <w:rPr>
                <w:rFonts w:hint="eastAsia"/>
                <w:highlight w:val="none"/>
              </w:rPr>
              <w:t>本项目采购标的中小业划分标准所属行业</w:t>
            </w:r>
          </w:p>
        </w:tc>
        <w:tc>
          <w:tcPr>
            <w:tcW w:w="5004" w:type="dxa"/>
          </w:tcPr>
          <w:p>
            <w:pPr>
              <w:jc w:val="left"/>
              <w:rPr>
                <w:highlight w:val="none"/>
              </w:rPr>
            </w:pPr>
            <w:r>
              <w:rPr>
                <w:rFonts w:hint="eastAsia"/>
                <w:highlight w:val="none"/>
              </w:rPr>
              <w:t>本项目采购标的中小业划分标准所属行业：</w:t>
            </w:r>
            <w:r>
              <w:rPr>
                <w:rFonts w:hint="eastAsia"/>
                <w:b/>
                <w:highlight w:val="none"/>
              </w:rPr>
              <w:t>软件和信息技术服务业</w:t>
            </w:r>
          </w:p>
        </w:tc>
      </w:tr>
    </w:tbl>
    <w:p>
      <w:pPr>
        <w:widowControl/>
        <w:outlineLvl w:val="0"/>
        <w:rPr>
          <w:b/>
          <w:sz w:val="28"/>
          <w:highlight w:val="none"/>
        </w:rPr>
      </w:pPr>
    </w:p>
    <w:p>
      <w:pPr>
        <w:rPr>
          <w:highlight w:val="none"/>
        </w:rPr>
      </w:pPr>
      <w:r>
        <w:rPr>
          <w:b/>
          <w:sz w:val="28"/>
          <w:highlight w:val="none"/>
        </w:rPr>
        <w:t>三、说明</w:t>
      </w:r>
    </w:p>
    <w:p>
      <w:pPr>
        <w:widowControl/>
        <w:outlineLvl w:val="0"/>
        <w:rPr>
          <w:rFonts w:ascii="宋体" w:hAnsi="宋体" w:eastAsia="宋体" w:cs="仿宋"/>
          <w:bCs/>
          <w:szCs w:val="21"/>
          <w:highlight w:val="none"/>
        </w:rPr>
      </w:pPr>
      <w:r>
        <w:rPr>
          <w:rFonts w:hint="eastAsia" w:ascii="宋体" w:hAnsi="宋体" w:eastAsia="宋体" w:cs="仿宋"/>
          <w:b/>
          <w:szCs w:val="21"/>
          <w:highlight w:val="none"/>
        </w:rPr>
        <w:t>一 、 总 则</w:t>
      </w:r>
    </w:p>
    <w:p>
      <w:pPr>
        <w:numPr>
          <w:ilvl w:val="0"/>
          <w:numId w:val="3"/>
        </w:numPr>
        <w:spacing w:line="480" w:lineRule="exact"/>
        <w:ind w:firstLine="422" w:firstLineChars="200"/>
        <w:outlineLvl w:val="2"/>
        <w:rPr>
          <w:rFonts w:ascii="宋体" w:hAnsi="宋体" w:eastAsia="宋体" w:cs="仿宋"/>
          <w:bCs/>
          <w:szCs w:val="21"/>
          <w:highlight w:val="none"/>
        </w:rPr>
      </w:pPr>
      <w:bookmarkStart w:id="10" w:name="_Toc520356144"/>
      <w:bookmarkStart w:id="11" w:name="_Toc21240"/>
      <w:bookmarkStart w:id="12" w:name="_Toc15274"/>
      <w:bookmarkStart w:id="13" w:name="_Toc27820"/>
      <w:bookmarkStart w:id="14" w:name="_Toc2265"/>
      <w:bookmarkStart w:id="15" w:name="_Toc515647758"/>
      <w:bookmarkStart w:id="16" w:name="_Toc3751653"/>
      <w:bookmarkStart w:id="17" w:name="_Toc22741"/>
      <w:bookmarkStart w:id="18" w:name="_Toc32189"/>
      <w:bookmarkStart w:id="19" w:name="_Toc32623"/>
      <w:bookmarkStart w:id="20" w:name="_Toc31953"/>
      <w:bookmarkStart w:id="21" w:name="_Toc2721"/>
      <w:bookmarkStart w:id="22" w:name="_Toc527622567"/>
      <w:r>
        <w:rPr>
          <w:rFonts w:hint="eastAsia" w:ascii="宋体" w:hAnsi="宋体" w:eastAsia="宋体" w:cs="仿宋"/>
          <w:b/>
          <w:bCs/>
          <w:szCs w:val="21"/>
          <w:highlight w:val="none"/>
        </w:rPr>
        <w:t>采购人、采购代理机构及</w:t>
      </w:r>
      <w:bookmarkEnd w:id="10"/>
      <w:r>
        <w:rPr>
          <w:rFonts w:hint="eastAsia" w:ascii="宋体" w:hAnsi="宋体" w:eastAsia="宋体" w:cs="仿宋"/>
          <w:b/>
          <w:bCs/>
          <w:szCs w:val="21"/>
          <w:highlight w:val="none"/>
        </w:rPr>
        <w:t>供应商</w:t>
      </w:r>
      <w:bookmarkEnd w:id="11"/>
      <w:bookmarkEnd w:id="12"/>
      <w:bookmarkEnd w:id="13"/>
      <w:bookmarkEnd w:id="14"/>
      <w:bookmarkEnd w:id="15"/>
      <w:bookmarkEnd w:id="16"/>
      <w:bookmarkEnd w:id="17"/>
      <w:bookmarkEnd w:id="18"/>
      <w:bookmarkEnd w:id="19"/>
      <w:bookmarkEnd w:id="20"/>
      <w:bookmarkEnd w:id="21"/>
      <w:bookmarkEnd w:id="22"/>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1.1 采购人：是指依法开展政府采购活动的国家机关、事业单位、团体组织。本项目的采购人见</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1.2 采购代理机构：是指在集中采购机构或从事采购代理业务的社会中介机构。本项目的采购代理机构见</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1.3 供应商：是指向采购人提供货物、工程或者服务的法人、非法人组织或者自然人。</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1.4 若</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中写明允许采购进口产品，供应商应保证所投产品可履行合法报通关手续进入中国关境内。</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1.5 若</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中未写明允许采购进口产品，如供应商所投产品为进口产品，其投标将被认定为</w:t>
      </w:r>
      <w:r>
        <w:rPr>
          <w:rFonts w:hint="eastAsia" w:ascii="宋体" w:hAnsi="宋体" w:eastAsia="宋体" w:cs="仿宋"/>
          <w:b/>
          <w:bCs/>
          <w:szCs w:val="21"/>
          <w:highlight w:val="none"/>
          <w:u w:val="single"/>
        </w:rPr>
        <w:t>投标无效。</w:t>
      </w:r>
    </w:p>
    <w:p>
      <w:pPr>
        <w:spacing w:line="480" w:lineRule="exact"/>
        <w:ind w:firstLine="420" w:firstLineChars="200"/>
        <w:jc w:val="left"/>
        <w:rPr>
          <w:rFonts w:hint="eastAsia" w:ascii="宋体" w:hAnsi="宋体" w:eastAsia="宋体" w:cs="仿宋"/>
          <w:b/>
          <w:bCs/>
          <w:szCs w:val="21"/>
          <w:highlight w:val="none"/>
          <w:u w:val="single"/>
        </w:rPr>
      </w:pPr>
      <w:r>
        <w:rPr>
          <w:rFonts w:hint="eastAsia" w:ascii="宋体" w:hAnsi="宋体" w:eastAsia="宋体" w:cs="仿宋"/>
          <w:szCs w:val="21"/>
          <w:highlight w:val="none"/>
        </w:rPr>
        <w:t>1.6 若</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中写明专门面向中小企业采购的，如供应商为非中小企业且所投产品为非中小企业产品，其投标将被认定为</w:t>
      </w:r>
      <w:r>
        <w:rPr>
          <w:rFonts w:hint="eastAsia" w:ascii="宋体" w:hAnsi="宋体" w:eastAsia="宋体" w:cs="仿宋"/>
          <w:b/>
          <w:bCs/>
          <w:szCs w:val="21"/>
          <w:highlight w:val="none"/>
          <w:u w:val="single"/>
        </w:rPr>
        <w:t>投标无效。</w:t>
      </w:r>
    </w:p>
    <w:p>
      <w:pPr>
        <w:spacing w:line="480" w:lineRule="exact"/>
        <w:ind w:firstLine="420" w:firstLineChars="200"/>
        <w:jc w:val="left"/>
        <w:rPr>
          <w:rFonts w:hint="eastAsia" w:ascii="宋体" w:hAnsi="宋体" w:eastAsia="宋体" w:cs="仿宋"/>
          <w:szCs w:val="21"/>
          <w:highlight w:val="none"/>
        </w:rPr>
      </w:pPr>
      <w:r>
        <w:rPr>
          <w:rFonts w:hint="eastAsia" w:ascii="宋体" w:hAnsi="宋体" w:eastAsia="宋体" w:cs="仿宋"/>
          <w:szCs w:val="21"/>
          <w:highlight w:val="none"/>
        </w:rPr>
        <w:t>中小微企业响应是指在政府采购活动中，供应商提供的货物均由中小微企业制造、工程均由中小微企业承建或者服务均由中小微企业承接，并在</w:t>
      </w:r>
      <w:r>
        <w:rPr>
          <w:rFonts w:hint="eastAsia" w:ascii="宋体" w:hAnsi="宋体" w:eastAsia="宋体" w:cs="仿宋"/>
          <w:szCs w:val="21"/>
          <w:highlight w:val="none"/>
          <w:lang w:eastAsia="zh-CN"/>
        </w:rPr>
        <w:t>投标文件</w:t>
      </w:r>
      <w:r>
        <w:rPr>
          <w:rFonts w:hint="eastAsia" w:ascii="宋体" w:hAnsi="宋体" w:eastAsia="宋体" w:cs="仿宋"/>
          <w:szCs w:val="21"/>
          <w:highlight w:val="none"/>
        </w:rPr>
        <w:t>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spacing w:line="480" w:lineRule="exact"/>
        <w:ind w:firstLine="420" w:firstLineChars="200"/>
        <w:jc w:val="left"/>
        <w:rPr>
          <w:rFonts w:hint="eastAsia" w:ascii="宋体" w:hAnsi="宋体" w:eastAsia="宋体" w:cs="仿宋"/>
          <w:szCs w:val="21"/>
          <w:highlight w:val="none"/>
        </w:rPr>
      </w:pPr>
      <w:r>
        <w:rPr>
          <w:rFonts w:hint="eastAsia" w:ascii="宋体" w:hAnsi="宋体" w:eastAsia="宋体" w:cs="仿宋"/>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spacing w:line="480" w:lineRule="exact"/>
        <w:ind w:firstLine="420" w:firstLineChars="200"/>
        <w:jc w:val="left"/>
        <w:rPr>
          <w:rFonts w:hint="eastAsia" w:ascii="宋体" w:hAnsi="宋体" w:eastAsia="宋体" w:cs="仿宋"/>
          <w:szCs w:val="21"/>
          <w:highlight w:val="none"/>
        </w:rPr>
      </w:pPr>
      <w:r>
        <w:rPr>
          <w:rFonts w:hint="eastAsia" w:ascii="宋体" w:hAnsi="宋体" w:eastAsia="宋体" w:cs="仿宋"/>
          <w:szCs w:val="21"/>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宋体" w:hAnsi="宋体" w:eastAsia="宋体" w:cs="仿宋"/>
          <w:szCs w:val="21"/>
          <w:highlight w:val="none"/>
        </w:rPr>
        <w:tab/>
      </w:r>
      <w:r>
        <w:rPr>
          <w:rFonts w:hint="eastAsia" w:ascii="宋体" w:hAnsi="宋体" w:eastAsia="宋体" w:cs="仿宋"/>
          <w:szCs w:val="21"/>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 如</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中允许联合体投标，对联合体规定如下：</w:t>
      </w:r>
    </w:p>
    <w:p>
      <w:pPr>
        <w:spacing w:line="480" w:lineRule="exact"/>
        <w:ind w:firstLine="420" w:firstLineChars="200"/>
        <w:jc w:val="left"/>
        <w:rPr>
          <w:rFonts w:hint="eastAsia" w:ascii="宋体" w:hAnsi="宋体" w:eastAsia="宋体" w:cs="仿宋"/>
          <w:szCs w:val="21"/>
          <w:highlight w:val="none"/>
          <w:lang w:eastAsia="zh-CN"/>
        </w:rPr>
      </w:pPr>
      <w:r>
        <w:rPr>
          <w:rFonts w:hint="eastAsia" w:ascii="宋体" w:hAnsi="宋体" w:eastAsia="宋体" w:cs="仿宋"/>
          <w:szCs w:val="21"/>
          <w:highlight w:val="none"/>
        </w:rPr>
        <w:t>1.7.1 两个以上供应商可以组成一个投标联合体，以一个供应商的身份投标。联合体应以联合协议中确定的牵头方名义进行项目投标，投标文件中联合体各方应盖公章联投确认，联合体名称需与共同投标协议书签署方一致。对于需交投标保证金的，以牵头方名义缴纳</w:t>
      </w:r>
      <w:r>
        <w:rPr>
          <w:rFonts w:hint="eastAsia" w:ascii="宋体" w:hAnsi="宋体" w:eastAsia="宋体" w:cs="仿宋"/>
          <w:szCs w:val="21"/>
          <w:highlight w:val="none"/>
          <w:lang w:eastAsia="zh-CN"/>
        </w:rPr>
        <w:t>。</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1.7.2 联合体各方均应符合《中华人民共和国政府采购法》第二十二条规定的条件。</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1.7.3 采购人根据采购项目对供应商的特殊要求，联合体中至少应当有一方符合相关规定。</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1.7.4 联合体各方应签订共同投标协议，明确约定联合体各方承担的工作和相应的责任，并将共同投标协议连同作为投标文件的内容提交。</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1.7.5 大中型企业、其他自然人、法人或者非法人组织与小型、微型企业组成联合体共同参加投标，共同投标协议中应写明小型、微型企业的协议合同金额占到共同投标协议投标总金额的比例。</w:t>
      </w:r>
    </w:p>
    <w:p>
      <w:pPr>
        <w:spacing w:line="480" w:lineRule="exact"/>
        <w:ind w:firstLine="420" w:firstLineChars="200"/>
        <w:jc w:val="left"/>
        <w:rPr>
          <w:rFonts w:hint="default" w:ascii="宋体" w:hAnsi="宋体" w:eastAsia="宋体" w:cs="仿宋"/>
          <w:szCs w:val="21"/>
          <w:highlight w:val="none"/>
          <w:lang w:val="en-US" w:eastAsia="zh-CN"/>
        </w:rPr>
      </w:pPr>
      <w:r>
        <w:rPr>
          <w:rFonts w:hint="eastAsia" w:ascii="宋体" w:hAnsi="宋体" w:eastAsia="宋体" w:cs="仿宋"/>
          <w:szCs w:val="21"/>
          <w:highlight w:val="none"/>
        </w:rPr>
        <w:t>1.7.6 联合体中有同类资质的供应商按照联合体分工承担相同工作的，按照较低的资质等级确定联合体的资质等级。</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1.7.7 以联合体形式参加政府采购活动的，联合体各方不得再单独参加或者与其他供应商另外组成联合体参加本项目投标，否则相关投标将被认定为</w:t>
      </w:r>
      <w:r>
        <w:rPr>
          <w:rFonts w:hint="eastAsia" w:ascii="宋体" w:hAnsi="宋体" w:eastAsia="宋体" w:cs="仿宋"/>
          <w:b/>
          <w:bCs/>
          <w:szCs w:val="21"/>
          <w:highlight w:val="none"/>
          <w:u w:val="single"/>
        </w:rPr>
        <w:t>投标无效</w:t>
      </w:r>
      <w:r>
        <w:rPr>
          <w:rFonts w:hint="eastAsia" w:ascii="宋体" w:hAnsi="宋体" w:eastAsia="宋体" w:cs="仿宋"/>
          <w:szCs w:val="21"/>
          <w:highlight w:val="none"/>
        </w:rPr>
        <w:t>。</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1.7.8 对5.4联合体成员存在不良信用记录的，视同联合体存在不良信用记录。</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1.8 对可接受分公司投标的项目，分公司投标的，需提供具有法人资格的总公司的营业执照原件扫描件及授权书，授权书须加盖总公司公章。总公司可就本项目在一定范围或时间内出具授权书。已由总公司授权的，总公司取得的相关资质证书对分公司有效，法律法规或者行业另有规定的除外。</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1.9 为本项目提供过整体设计、规范编制或者项目管理、监理、检测等服务的供应商，不得再参加本项目上述服务以外的其他采购活动。否则其投标将被认定为</w:t>
      </w:r>
      <w:r>
        <w:rPr>
          <w:rFonts w:hint="eastAsia" w:ascii="宋体" w:hAnsi="宋体" w:eastAsia="宋体" w:cs="仿宋"/>
          <w:b/>
          <w:bCs/>
          <w:szCs w:val="21"/>
          <w:highlight w:val="none"/>
          <w:u w:val="single"/>
        </w:rPr>
        <w:t>投标无效</w:t>
      </w:r>
      <w:r>
        <w:rPr>
          <w:rFonts w:hint="eastAsia" w:ascii="宋体" w:hAnsi="宋体" w:eastAsia="宋体" w:cs="仿宋"/>
          <w:szCs w:val="21"/>
          <w:highlight w:val="none"/>
        </w:rPr>
        <w:t>。</w:t>
      </w:r>
    </w:p>
    <w:p>
      <w:pPr>
        <w:spacing w:line="480" w:lineRule="exact"/>
        <w:ind w:firstLine="420" w:firstLineChars="200"/>
        <w:jc w:val="left"/>
        <w:rPr>
          <w:rFonts w:ascii="宋体" w:hAnsi="宋体" w:eastAsia="宋体" w:cs="仿宋"/>
          <w:b/>
          <w:bCs/>
          <w:szCs w:val="21"/>
          <w:highlight w:val="none"/>
          <w:u w:val="single"/>
        </w:rPr>
      </w:pPr>
      <w:r>
        <w:rPr>
          <w:rFonts w:hint="eastAsia" w:ascii="宋体" w:hAnsi="宋体" w:eastAsia="宋体" w:cs="仿宋"/>
          <w:szCs w:val="21"/>
          <w:highlight w:val="none"/>
        </w:rPr>
        <w:t>1.10  供应商在投标过程中不得向采购人提供、给予任何有价值的物品，影响其正常决策行为。一经发现，其将被认定为</w:t>
      </w:r>
      <w:r>
        <w:rPr>
          <w:rFonts w:hint="eastAsia" w:ascii="宋体" w:hAnsi="宋体" w:eastAsia="宋体" w:cs="仿宋"/>
          <w:b/>
          <w:bCs/>
          <w:szCs w:val="21"/>
          <w:highlight w:val="none"/>
          <w:u w:val="single"/>
        </w:rPr>
        <w:t>投标无效。</w:t>
      </w:r>
    </w:p>
    <w:p>
      <w:pPr>
        <w:spacing w:line="480" w:lineRule="exact"/>
        <w:ind w:firstLine="422" w:firstLineChars="200"/>
        <w:outlineLvl w:val="2"/>
        <w:rPr>
          <w:rFonts w:ascii="宋体" w:hAnsi="宋体" w:eastAsia="宋体" w:cs="仿宋"/>
          <w:bCs/>
          <w:szCs w:val="21"/>
          <w:highlight w:val="none"/>
        </w:rPr>
      </w:pPr>
      <w:bookmarkStart w:id="23" w:name="_Toc19024"/>
      <w:bookmarkStart w:id="24" w:name="_Toc31425"/>
      <w:bookmarkStart w:id="25" w:name="_Toc28248"/>
      <w:bookmarkStart w:id="26" w:name="_Toc20536"/>
      <w:bookmarkStart w:id="27" w:name="_Toc3984"/>
      <w:bookmarkStart w:id="28" w:name="_Toc3751654"/>
      <w:bookmarkStart w:id="29" w:name="_Toc15560"/>
      <w:bookmarkStart w:id="30" w:name="_Toc5286"/>
      <w:bookmarkStart w:id="31" w:name="_Toc527622568"/>
      <w:bookmarkStart w:id="32" w:name="_Toc515647759"/>
      <w:bookmarkStart w:id="33" w:name="_Toc12139"/>
      <w:bookmarkStart w:id="34" w:name="_Toc9535"/>
      <w:r>
        <w:rPr>
          <w:rFonts w:hint="eastAsia" w:ascii="宋体" w:hAnsi="宋体" w:eastAsia="宋体" w:cs="仿宋"/>
          <w:b/>
          <w:bCs/>
          <w:szCs w:val="21"/>
          <w:highlight w:val="none"/>
        </w:rPr>
        <w:t>2. 资金来源</w:t>
      </w:r>
      <w:bookmarkEnd w:id="23"/>
      <w:bookmarkEnd w:id="24"/>
      <w:bookmarkEnd w:id="25"/>
      <w:bookmarkEnd w:id="26"/>
      <w:bookmarkEnd w:id="27"/>
      <w:bookmarkEnd w:id="28"/>
      <w:bookmarkEnd w:id="29"/>
      <w:bookmarkEnd w:id="30"/>
      <w:bookmarkEnd w:id="31"/>
      <w:bookmarkEnd w:id="32"/>
      <w:bookmarkEnd w:id="33"/>
      <w:bookmarkEnd w:id="34"/>
    </w:p>
    <w:p>
      <w:pPr>
        <w:spacing w:line="480" w:lineRule="exact"/>
        <w:ind w:firstLine="420" w:firstLineChars="200"/>
        <w:jc w:val="left"/>
        <w:rPr>
          <w:rFonts w:ascii="宋体" w:hAnsi="宋体" w:eastAsia="宋体" w:cs="仿宋"/>
          <w:szCs w:val="21"/>
          <w:highlight w:val="none"/>
        </w:rPr>
      </w:pPr>
      <w:bookmarkStart w:id="35" w:name="_Toc15936"/>
      <w:bookmarkStart w:id="36" w:name="_Toc527622569"/>
      <w:bookmarkStart w:id="37" w:name="_Toc20526"/>
      <w:bookmarkStart w:id="38" w:name="_Toc520356145"/>
      <w:bookmarkStart w:id="39" w:name="_Toc515647760"/>
      <w:r>
        <w:rPr>
          <w:rFonts w:hint="eastAsia" w:ascii="宋体" w:hAnsi="宋体" w:eastAsia="宋体" w:cs="仿宋"/>
          <w:szCs w:val="21"/>
          <w:highlight w:val="none"/>
        </w:rPr>
        <w:t>2.1本项目的采购人已获得足以支付本次招标后所签订的合同项下的资金（包括财政性资金和本项目采购中无法与财政性资金分割的非财政性资金）。</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2.2 项目预算金额和分项或分包最高限价见投标邀请。</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2.3 供应商报价超过招标文件规定的预算金额或者分项、分包最高限价的，其投标将被认定为</w:t>
      </w:r>
      <w:r>
        <w:rPr>
          <w:rFonts w:hint="eastAsia" w:ascii="宋体" w:hAnsi="宋体" w:eastAsia="宋体" w:cs="仿宋"/>
          <w:b/>
          <w:bCs/>
          <w:szCs w:val="21"/>
          <w:highlight w:val="none"/>
          <w:u w:val="single"/>
        </w:rPr>
        <w:t>投标无效</w:t>
      </w:r>
      <w:r>
        <w:rPr>
          <w:rFonts w:hint="eastAsia" w:ascii="宋体" w:hAnsi="宋体" w:eastAsia="宋体" w:cs="仿宋"/>
          <w:szCs w:val="21"/>
          <w:highlight w:val="none"/>
        </w:rPr>
        <w:t>。</w:t>
      </w:r>
    </w:p>
    <w:p>
      <w:pPr>
        <w:spacing w:line="480" w:lineRule="exact"/>
        <w:ind w:firstLine="422" w:firstLineChars="200"/>
        <w:jc w:val="left"/>
        <w:outlineLvl w:val="2"/>
        <w:rPr>
          <w:rFonts w:ascii="宋体" w:hAnsi="宋体" w:eastAsia="宋体" w:cs="仿宋"/>
          <w:b/>
          <w:bCs/>
          <w:szCs w:val="21"/>
          <w:highlight w:val="none"/>
        </w:rPr>
      </w:pPr>
      <w:bookmarkStart w:id="40" w:name="_Toc29332"/>
      <w:bookmarkStart w:id="41" w:name="_Toc25374"/>
      <w:bookmarkStart w:id="42" w:name="_Toc14695"/>
      <w:bookmarkStart w:id="43" w:name="_Toc1490"/>
      <w:bookmarkStart w:id="44" w:name="_Toc12088"/>
      <w:bookmarkStart w:id="45" w:name="_Toc3751655"/>
      <w:bookmarkStart w:id="46" w:name="_Toc12000"/>
      <w:bookmarkStart w:id="47" w:name="_Toc26731"/>
      <w:r>
        <w:rPr>
          <w:rFonts w:hint="eastAsia" w:ascii="宋体" w:hAnsi="宋体" w:eastAsia="宋体" w:cs="仿宋"/>
          <w:b/>
          <w:bCs/>
          <w:szCs w:val="21"/>
          <w:highlight w:val="none"/>
        </w:rPr>
        <w:t>3. 投标费用</w:t>
      </w:r>
      <w:bookmarkEnd w:id="35"/>
      <w:bookmarkEnd w:id="36"/>
      <w:bookmarkEnd w:id="37"/>
      <w:bookmarkEnd w:id="38"/>
      <w:bookmarkEnd w:id="39"/>
      <w:bookmarkEnd w:id="40"/>
      <w:bookmarkEnd w:id="41"/>
      <w:bookmarkEnd w:id="42"/>
      <w:bookmarkEnd w:id="43"/>
      <w:bookmarkEnd w:id="44"/>
      <w:bookmarkEnd w:id="45"/>
      <w:bookmarkEnd w:id="46"/>
      <w:bookmarkEnd w:id="47"/>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不论投标的结果如何，供应商应承担所有与参加投标有关的费用。</w:t>
      </w:r>
    </w:p>
    <w:p>
      <w:pPr>
        <w:spacing w:line="480" w:lineRule="exact"/>
        <w:ind w:firstLine="422" w:firstLineChars="200"/>
        <w:jc w:val="left"/>
        <w:outlineLvl w:val="2"/>
        <w:rPr>
          <w:rFonts w:ascii="宋体" w:hAnsi="宋体" w:eastAsia="宋体" w:cs="仿宋"/>
          <w:b/>
          <w:bCs/>
          <w:szCs w:val="21"/>
          <w:highlight w:val="none"/>
        </w:rPr>
      </w:pPr>
      <w:bookmarkStart w:id="48" w:name="_Toc527622570"/>
      <w:bookmarkStart w:id="49" w:name="_Toc3751656"/>
      <w:bookmarkStart w:id="50" w:name="_Toc15198"/>
      <w:bookmarkStart w:id="51" w:name="_Toc22673"/>
      <w:bookmarkStart w:id="52" w:name="_Toc9188"/>
      <w:bookmarkStart w:id="53" w:name="_Toc515647761"/>
      <w:bookmarkStart w:id="54" w:name="_Toc22301"/>
      <w:bookmarkStart w:id="55" w:name="_Toc4463"/>
      <w:bookmarkStart w:id="56" w:name="_Toc6116"/>
      <w:bookmarkStart w:id="57" w:name="_Toc13454"/>
      <w:bookmarkStart w:id="58" w:name="_Toc8162"/>
      <w:bookmarkStart w:id="59" w:name="_Toc32070"/>
      <w:r>
        <w:rPr>
          <w:rFonts w:hint="eastAsia" w:ascii="宋体" w:hAnsi="宋体" w:eastAsia="宋体" w:cs="仿宋"/>
          <w:b/>
          <w:bCs/>
          <w:szCs w:val="21"/>
          <w:highlight w:val="none"/>
        </w:rPr>
        <w:t>4.适用法律</w:t>
      </w:r>
      <w:bookmarkEnd w:id="48"/>
      <w:bookmarkEnd w:id="49"/>
      <w:bookmarkEnd w:id="50"/>
      <w:bookmarkEnd w:id="51"/>
      <w:bookmarkEnd w:id="52"/>
      <w:bookmarkEnd w:id="53"/>
      <w:bookmarkEnd w:id="54"/>
      <w:bookmarkEnd w:id="55"/>
      <w:bookmarkEnd w:id="56"/>
      <w:bookmarkEnd w:id="57"/>
      <w:bookmarkEnd w:id="58"/>
      <w:bookmarkEnd w:id="59"/>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spacing w:line="480" w:lineRule="exact"/>
        <w:ind w:firstLine="420" w:firstLineChars="200"/>
        <w:rPr>
          <w:rFonts w:ascii="宋体" w:hAnsi="宋体" w:eastAsia="宋体" w:cs="仿宋"/>
          <w:szCs w:val="21"/>
          <w:highlight w:val="none"/>
        </w:rPr>
      </w:pPr>
    </w:p>
    <w:p>
      <w:pPr>
        <w:spacing w:line="480" w:lineRule="exact"/>
        <w:ind w:firstLine="422" w:firstLineChars="200"/>
        <w:outlineLvl w:val="1"/>
        <w:rPr>
          <w:rFonts w:ascii="宋体" w:hAnsi="宋体" w:eastAsia="宋体" w:cs="仿宋"/>
          <w:szCs w:val="21"/>
          <w:highlight w:val="none"/>
        </w:rPr>
      </w:pPr>
      <w:bookmarkStart w:id="60" w:name="_Toc21566"/>
      <w:bookmarkStart w:id="61" w:name="_Toc32188"/>
      <w:bookmarkStart w:id="62" w:name="_Toc527622571"/>
      <w:bookmarkStart w:id="63" w:name="_Toc14606"/>
      <w:bookmarkStart w:id="64" w:name="_Toc520356146"/>
      <w:bookmarkStart w:id="65" w:name="_Toc216582806"/>
      <w:bookmarkStart w:id="66" w:name="_Toc515647762"/>
      <w:bookmarkStart w:id="67" w:name="_Toc10499"/>
      <w:bookmarkStart w:id="68" w:name="_Toc4365"/>
      <w:bookmarkStart w:id="69" w:name="_Toc5672"/>
      <w:bookmarkStart w:id="70" w:name="_Toc19666"/>
      <w:bookmarkStart w:id="71" w:name="_Toc3751657"/>
      <w:bookmarkStart w:id="72" w:name="_Toc6256"/>
      <w:bookmarkStart w:id="73" w:name="_Toc2450"/>
      <w:r>
        <w:rPr>
          <w:rFonts w:hint="eastAsia" w:ascii="宋体" w:hAnsi="宋体" w:eastAsia="宋体" w:cs="仿宋"/>
          <w:b/>
          <w:bCs/>
          <w:szCs w:val="21"/>
          <w:highlight w:val="none"/>
        </w:rPr>
        <w:t>二 、招标文件</w:t>
      </w:r>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480" w:lineRule="exact"/>
        <w:ind w:firstLine="422" w:firstLineChars="200"/>
        <w:jc w:val="left"/>
        <w:outlineLvl w:val="2"/>
        <w:rPr>
          <w:rFonts w:ascii="宋体" w:hAnsi="宋体" w:eastAsia="宋体" w:cs="仿宋"/>
          <w:b/>
          <w:bCs/>
          <w:szCs w:val="21"/>
          <w:highlight w:val="none"/>
        </w:rPr>
      </w:pPr>
      <w:bookmarkStart w:id="74" w:name="_Toc6766"/>
      <w:bookmarkStart w:id="75" w:name="_Toc16540"/>
      <w:bookmarkStart w:id="76" w:name="_Toc4734"/>
      <w:bookmarkStart w:id="77" w:name="_Toc19763"/>
      <w:bookmarkStart w:id="78" w:name="_Toc17388"/>
      <w:bookmarkStart w:id="79" w:name="_Toc29732"/>
      <w:bookmarkStart w:id="80" w:name="_Toc27213"/>
      <w:bookmarkStart w:id="81" w:name="_Toc14399"/>
      <w:bookmarkStart w:id="82" w:name="_Toc520356147"/>
      <w:bookmarkStart w:id="83" w:name="_Toc3751658"/>
      <w:bookmarkStart w:id="84" w:name="_Toc14084"/>
      <w:bookmarkStart w:id="85" w:name="_Toc25743"/>
      <w:bookmarkStart w:id="86" w:name="_Toc527622572"/>
      <w:bookmarkStart w:id="87" w:name="_Toc515647763"/>
      <w:r>
        <w:rPr>
          <w:rFonts w:hint="eastAsia" w:ascii="宋体" w:hAnsi="宋体" w:eastAsia="宋体" w:cs="仿宋"/>
          <w:b/>
          <w:bCs/>
          <w:szCs w:val="21"/>
          <w:highlight w:val="none"/>
        </w:rPr>
        <w:t>5.招标文件构成</w:t>
      </w:r>
      <w:bookmarkEnd w:id="74"/>
      <w:bookmarkEnd w:id="75"/>
      <w:bookmarkEnd w:id="76"/>
      <w:bookmarkEnd w:id="77"/>
      <w:bookmarkEnd w:id="78"/>
      <w:bookmarkEnd w:id="79"/>
      <w:bookmarkEnd w:id="80"/>
      <w:bookmarkEnd w:id="81"/>
    </w:p>
    <w:bookmarkEnd w:id="82"/>
    <w:bookmarkEnd w:id="83"/>
    <w:bookmarkEnd w:id="84"/>
    <w:bookmarkEnd w:id="85"/>
    <w:bookmarkEnd w:id="86"/>
    <w:bookmarkEnd w:id="87"/>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5.1  招标文件分六章，内容如下：</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第一章  投标邀请</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第二章  采购需求</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第三章  投标人须知</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第四章  评标</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第五章  合同文本</w:t>
      </w:r>
    </w:p>
    <w:p>
      <w:pPr>
        <w:spacing w:line="480" w:lineRule="exact"/>
        <w:ind w:firstLine="840" w:firstLineChars="400"/>
        <w:rPr>
          <w:rFonts w:ascii="宋体" w:hAnsi="宋体" w:eastAsia="宋体" w:cs="仿宋"/>
          <w:szCs w:val="21"/>
          <w:highlight w:val="none"/>
        </w:rPr>
      </w:pPr>
      <w:r>
        <w:rPr>
          <w:rFonts w:hint="eastAsia" w:ascii="宋体" w:hAnsi="宋体" w:eastAsia="宋体" w:cs="仿宋"/>
          <w:szCs w:val="21"/>
          <w:highlight w:val="none"/>
        </w:rPr>
        <w:t>第六章  投标文件格式与要求</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5.2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宋体" w:hAnsi="宋体" w:eastAsia="宋体" w:cs="仿宋"/>
          <w:b/>
          <w:bCs/>
          <w:szCs w:val="21"/>
          <w:highlight w:val="none"/>
          <w:u w:val="single"/>
        </w:rPr>
        <w:t>投标无效</w:t>
      </w:r>
      <w:r>
        <w:rPr>
          <w:rFonts w:hint="eastAsia" w:ascii="宋体" w:hAnsi="宋体" w:eastAsia="宋体" w:cs="仿宋"/>
          <w:szCs w:val="21"/>
          <w:highlight w:val="none"/>
        </w:rPr>
        <w:t>。</w:t>
      </w:r>
    </w:p>
    <w:p>
      <w:pPr>
        <w:spacing w:line="480" w:lineRule="exact"/>
        <w:ind w:firstLine="422" w:firstLineChars="200"/>
        <w:outlineLvl w:val="2"/>
        <w:rPr>
          <w:rFonts w:ascii="宋体" w:hAnsi="宋体" w:eastAsia="宋体" w:cs="仿宋"/>
          <w:bCs/>
          <w:szCs w:val="21"/>
          <w:highlight w:val="none"/>
        </w:rPr>
      </w:pPr>
      <w:bookmarkStart w:id="88" w:name="_Toc515904805"/>
      <w:bookmarkStart w:id="89" w:name="_Toc520356148"/>
      <w:bookmarkStart w:id="90" w:name="_Toc29188"/>
      <w:bookmarkStart w:id="91" w:name="_Toc3751659"/>
      <w:bookmarkStart w:id="92" w:name="_Toc9232"/>
      <w:bookmarkStart w:id="93" w:name="_Toc11331"/>
      <w:bookmarkStart w:id="94" w:name="_Toc26073"/>
      <w:bookmarkStart w:id="95" w:name="_Toc16630"/>
      <w:bookmarkStart w:id="96" w:name="_Toc527622573"/>
      <w:bookmarkStart w:id="97" w:name="_Toc7008"/>
      <w:bookmarkStart w:id="98" w:name="_Toc30625"/>
      <w:bookmarkStart w:id="99" w:name="_Toc26044"/>
      <w:bookmarkStart w:id="100" w:name="_Toc7676"/>
      <w:r>
        <w:rPr>
          <w:rFonts w:hint="eastAsia" w:ascii="宋体" w:hAnsi="宋体" w:eastAsia="宋体" w:cs="仿宋"/>
          <w:b/>
          <w:bCs/>
          <w:szCs w:val="21"/>
          <w:highlight w:val="none"/>
        </w:rPr>
        <w:t>6. 招标文件的澄清</w:t>
      </w:r>
      <w:bookmarkEnd w:id="88"/>
      <w:bookmarkEnd w:id="89"/>
      <w:r>
        <w:rPr>
          <w:rFonts w:hint="eastAsia" w:ascii="宋体" w:hAnsi="宋体" w:eastAsia="宋体" w:cs="仿宋"/>
          <w:b/>
          <w:bCs/>
          <w:szCs w:val="21"/>
          <w:highlight w:val="none"/>
        </w:rPr>
        <w:t>与修改</w:t>
      </w:r>
      <w:bookmarkEnd w:id="90"/>
      <w:bookmarkEnd w:id="91"/>
      <w:bookmarkEnd w:id="92"/>
      <w:bookmarkEnd w:id="93"/>
      <w:bookmarkEnd w:id="94"/>
      <w:bookmarkEnd w:id="95"/>
      <w:bookmarkEnd w:id="96"/>
      <w:bookmarkEnd w:id="97"/>
      <w:bookmarkEnd w:id="98"/>
      <w:bookmarkEnd w:id="99"/>
      <w:bookmarkEnd w:id="100"/>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6.1 为了保证对招标文件的澄清和修改满足法律的时限要求，任何要求对招标文件进行澄清的供应商，均应在投标截止期十五日前，以书面形式将澄清要求通知采购人或招投标所。</w:t>
      </w:r>
    </w:p>
    <w:p>
      <w:pPr>
        <w:spacing w:line="480" w:lineRule="exact"/>
        <w:ind w:firstLine="420" w:firstLineChars="200"/>
        <w:rPr>
          <w:rFonts w:ascii="宋体" w:hAnsi="宋体" w:eastAsia="宋体" w:cs="仿宋"/>
          <w:szCs w:val="21"/>
          <w:highlight w:val="none"/>
        </w:rPr>
      </w:pPr>
      <w:bookmarkStart w:id="101" w:name="_Toc515904806"/>
      <w:bookmarkStart w:id="102" w:name="_Ref467378678"/>
      <w:bookmarkStart w:id="103" w:name="_Toc14569"/>
      <w:bookmarkStart w:id="104" w:name="_Toc25635"/>
      <w:bookmarkStart w:id="105" w:name="_Toc520356149"/>
      <w:r>
        <w:rPr>
          <w:rFonts w:hint="eastAsia" w:ascii="宋体" w:hAnsi="宋体" w:eastAsia="宋体" w:cs="仿宋"/>
          <w:szCs w:val="21"/>
          <w:highlight w:val="none"/>
        </w:rPr>
        <w:t>6.2 采购人或招投标所对已发出的招标文件进行必要的澄清或者修改的，澄清或者修改的内容可能影响投标文件编制的，招投标所将在投标截止时间至少15日前，以书面形式通知所有获取招标文件的潜在投标人；不足15日的，招投标所将顺延提交投标文件的截止时间。同时在财政部门指定的政府采购信息发布媒体上发布变更公告。</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6.3 招标期间，供应商有义务上网查看，澄清公告一经上网发布，即视为送达。因供应商未及时上网查看而造成的所有后果，由供应商自行承担。</w:t>
      </w:r>
    </w:p>
    <w:bookmarkEnd w:id="101"/>
    <w:bookmarkEnd w:id="102"/>
    <w:bookmarkEnd w:id="103"/>
    <w:bookmarkEnd w:id="104"/>
    <w:bookmarkEnd w:id="105"/>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6.4 招标文件的澄清或者修改内容作为招标文件的组成部分，并对供应商具有约束力。当招标文件、招标文件的澄清或修改在同一内容的表述上不一致时，以最后发出的文件内容为准。</w:t>
      </w:r>
    </w:p>
    <w:p>
      <w:pPr>
        <w:spacing w:line="480" w:lineRule="exact"/>
        <w:ind w:firstLine="420" w:firstLineChars="200"/>
        <w:rPr>
          <w:rFonts w:ascii="宋体" w:hAnsi="宋体" w:eastAsia="宋体" w:cs="仿宋"/>
          <w:szCs w:val="21"/>
          <w:highlight w:val="none"/>
        </w:rPr>
      </w:pPr>
    </w:p>
    <w:p>
      <w:pPr>
        <w:spacing w:line="480" w:lineRule="exact"/>
        <w:ind w:firstLine="422" w:firstLineChars="200"/>
        <w:outlineLvl w:val="1"/>
        <w:rPr>
          <w:rFonts w:ascii="宋体" w:hAnsi="宋体" w:eastAsia="宋体" w:cs="仿宋"/>
          <w:szCs w:val="21"/>
          <w:highlight w:val="none"/>
        </w:rPr>
      </w:pPr>
      <w:bookmarkStart w:id="106" w:name="_Toc516367020"/>
      <w:bookmarkStart w:id="107" w:name="_Toc779"/>
      <w:bookmarkStart w:id="108" w:name="_Toc1386"/>
      <w:bookmarkStart w:id="109" w:name="_Toc515647766"/>
      <w:bookmarkStart w:id="110" w:name="_Toc520356150"/>
      <w:bookmarkStart w:id="111" w:name="_Toc7636"/>
      <w:bookmarkStart w:id="112" w:name="_Toc3751660"/>
      <w:bookmarkStart w:id="113" w:name="_Toc6936"/>
      <w:bookmarkStart w:id="114" w:name="_Toc216582807"/>
      <w:bookmarkStart w:id="115" w:name="_Toc23025"/>
      <w:bookmarkStart w:id="116" w:name="_Toc30808"/>
      <w:bookmarkStart w:id="117" w:name="_Toc527622574"/>
      <w:bookmarkStart w:id="118" w:name="_Toc28158"/>
      <w:bookmarkStart w:id="119" w:name="_Toc636"/>
      <w:bookmarkStart w:id="120" w:name="_Toc19492"/>
      <w:r>
        <w:rPr>
          <w:rFonts w:hint="eastAsia" w:ascii="宋体" w:hAnsi="宋体" w:eastAsia="宋体" w:cs="仿宋"/>
          <w:b/>
          <w:bCs/>
          <w:szCs w:val="21"/>
          <w:highlight w:val="none"/>
        </w:rPr>
        <w:t>三 、投标文件</w:t>
      </w:r>
      <w:bookmarkEnd w:id="106"/>
      <w:r>
        <w:rPr>
          <w:rFonts w:hint="eastAsia" w:ascii="宋体" w:hAnsi="宋体" w:eastAsia="宋体" w:cs="仿宋"/>
          <w:b/>
          <w:bCs/>
          <w:szCs w:val="21"/>
          <w:highlight w:val="none"/>
        </w:rPr>
        <w:t>的编制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480" w:lineRule="exact"/>
        <w:ind w:firstLine="422" w:firstLineChars="200"/>
        <w:outlineLvl w:val="2"/>
        <w:rPr>
          <w:rFonts w:ascii="宋体" w:hAnsi="宋体" w:eastAsia="宋体" w:cs="仿宋"/>
          <w:bCs/>
          <w:szCs w:val="21"/>
          <w:highlight w:val="none"/>
        </w:rPr>
      </w:pPr>
      <w:bookmarkStart w:id="121" w:name="_Toc3133"/>
      <w:bookmarkStart w:id="122" w:name="_Toc3742"/>
      <w:bookmarkStart w:id="123" w:name="_Toc527622575"/>
      <w:bookmarkStart w:id="124" w:name="_Toc3751661"/>
      <w:bookmarkStart w:id="125" w:name="_Toc11717"/>
      <w:bookmarkStart w:id="126" w:name="_Toc527363306"/>
      <w:bookmarkStart w:id="127" w:name="_Toc26254"/>
      <w:bookmarkStart w:id="128" w:name="_Toc3943"/>
      <w:bookmarkStart w:id="129" w:name="_Toc518923070"/>
      <w:bookmarkStart w:id="130" w:name="_Toc27088"/>
      <w:bookmarkStart w:id="131" w:name="_Toc6782"/>
      <w:bookmarkStart w:id="132" w:name="_Toc516367022"/>
      <w:bookmarkStart w:id="133" w:name="_Toc515647768"/>
      <w:bookmarkStart w:id="134" w:name="_Ref467306676"/>
      <w:bookmarkStart w:id="135" w:name="_Toc520356152"/>
      <w:bookmarkStart w:id="136" w:name="_Ref467306195"/>
      <w:bookmarkStart w:id="137" w:name="_Toc10364"/>
      <w:bookmarkStart w:id="138" w:name="_Toc28307"/>
      <w:r>
        <w:rPr>
          <w:rFonts w:hint="eastAsia" w:ascii="宋体" w:hAnsi="宋体" w:eastAsia="宋体" w:cs="仿宋"/>
          <w:b/>
          <w:bCs/>
          <w:szCs w:val="21"/>
          <w:highlight w:val="none"/>
        </w:rPr>
        <w:t>7. 投标范围及投标文件中标准和计量单位的使用</w:t>
      </w:r>
      <w:bookmarkEnd w:id="121"/>
      <w:bookmarkEnd w:id="122"/>
      <w:bookmarkEnd w:id="123"/>
      <w:bookmarkEnd w:id="124"/>
      <w:bookmarkEnd w:id="125"/>
      <w:bookmarkEnd w:id="126"/>
      <w:bookmarkEnd w:id="127"/>
      <w:bookmarkEnd w:id="128"/>
      <w:bookmarkEnd w:id="129"/>
      <w:bookmarkEnd w:id="130"/>
      <w:bookmarkEnd w:id="131"/>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7.1 项目有分包的，供应商可对招标文件其中一个或几个分包进行投标，除非在</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中另有规定。</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7.2 供应商应当对所投分包招标文件中“用户需求”所列的所有货物内容进行投标，如仅响应分包中的部分内容，其投标将被认定为</w:t>
      </w:r>
      <w:r>
        <w:rPr>
          <w:rFonts w:hint="eastAsia" w:ascii="宋体" w:hAnsi="宋体" w:eastAsia="宋体" w:cs="仿宋"/>
          <w:b/>
          <w:bCs/>
          <w:szCs w:val="21"/>
          <w:highlight w:val="none"/>
          <w:u w:val="single"/>
        </w:rPr>
        <w:t>投标无效</w:t>
      </w:r>
      <w:r>
        <w:rPr>
          <w:rFonts w:hint="eastAsia" w:ascii="宋体" w:hAnsi="宋体" w:eastAsia="宋体" w:cs="仿宋"/>
          <w:szCs w:val="21"/>
          <w:highlight w:val="none"/>
        </w:rPr>
        <w:t>。</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7.3 无论招标文件“用户需求”中是否要求，供应商所投货物均应符合国家强制性标准。</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7.4 除招标文件中有特殊要求外，投标文件中所使用的计量单位，应采用中华人民共和国法定计量单位。</w:t>
      </w:r>
    </w:p>
    <w:p>
      <w:pPr>
        <w:spacing w:line="480" w:lineRule="exact"/>
        <w:ind w:firstLine="422" w:firstLineChars="200"/>
        <w:outlineLvl w:val="2"/>
        <w:rPr>
          <w:rFonts w:ascii="宋体" w:hAnsi="宋体" w:eastAsia="宋体" w:cs="仿宋"/>
          <w:bCs/>
          <w:szCs w:val="21"/>
          <w:highlight w:val="none"/>
        </w:rPr>
      </w:pPr>
      <w:bookmarkStart w:id="139" w:name="_Toc518923071"/>
      <w:bookmarkStart w:id="140" w:name="_Toc527363307"/>
      <w:bookmarkStart w:id="141" w:name="_Toc6719"/>
      <w:bookmarkStart w:id="142" w:name="_Toc15753"/>
      <w:bookmarkStart w:id="143" w:name="_Toc30844"/>
      <w:bookmarkStart w:id="144" w:name="_Toc24169"/>
      <w:bookmarkStart w:id="145" w:name="_Toc19766"/>
      <w:bookmarkStart w:id="146" w:name="_Toc3751662"/>
      <w:bookmarkStart w:id="147" w:name="_Toc645"/>
      <w:bookmarkStart w:id="148" w:name="_Toc527622576"/>
      <w:bookmarkStart w:id="149" w:name="_Toc7828"/>
      <w:r>
        <w:rPr>
          <w:rFonts w:hint="eastAsia" w:ascii="宋体" w:hAnsi="宋体" w:eastAsia="宋体" w:cs="仿宋"/>
          <w:b/>
          <w:bCs/>
          <w:szCs w:val="21"/>
          <w:highlight w:val="none"/>
        </w:rPr>
        <w:t>8. 投标文件</w:t>
      </w:r>
      <w:bookmarkEnd w:id="139"/>
      <w:r>
        <w:rPr>
          <w:rFonts w:hint="eastAsia" w:ascii="宋体" w:hAnsi="宋体" w:eastAsia="宋体" w:cs="仿宋"/>
          <w:b/>
          <w:bCs/>
          <w:szCs w:val="21"/>
          <w:highlight w:val="none"/>
        </w:rPr>
        <w:t>的组成</w:t>
      </w:r>
      <w:bookmarkEnd w:id="140"/>
      <w:bookmarkEnd w:id="141"/>
      <w:bookmarkEnd w:id="142"/>
      <w:bookmarkEnd w:id="143"/>
      <w:bookmarkEnd w:id="144"/>
      <w:bookmarkEnd w:id="145"/>
      <w:bookmarkEnd w:id="146"/>
      <w:bookmarkEnd w:id="147"/>
      <w:bookmarkEnd w:id="148"/>
      <w:bookmarkEnd w:id="149"/>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供应商提交的投标文件应包括价格文件、商务文件、技术文件和唱标信封。</w:t>
      </w:r>
    </w:p>
    <w:bookmarkEnd w:id="132"/>
    <w:bookmarkEnd w:id="133"/>
    <w:bookmarkEnd w:id="134"/>
    <w:bookmarkEnd w:id="135"/>
    <w:bookmarkEnd w:id="136"/>
    <w:bookmarkEnd w:id="137"/>
    <w:bookmarkEnd w:id="138"/>
    <w:p>
      <w:pPr>
        <w:spacing w:line="480" w:lineRule="exact"/>
        <w:ind w:firstLine="420" w:firstLineChars="200"/>
        <w:outlineLvl w:val="2"/>
        <w:rPr>
          <w:rFonts w:ascii="宋体" w:hAnsi="宋体" w:eastAsia="宋体" w:cs="仿宋"/>
          <w:bCs/>
          <w:szCs w:val="21"/>
          <w:highlight w:val="none"/>
        </w:rPr>
      </w:pPr>
      <w:bookmarkStart w:id="150" w:name="_Toc527363308"/>
      <w:bookmarkStart w:id="151" w:name="_Toc11054"/>
      <w:bookmarkStart w:id="152" w:name="_Toc25236"/>
      <w:bookmarkStart w:id="153" w:name="_Toc23851"/>
      <w:bookmarkStart w:id="154" w:name="_Toc16128"/>
      <w:bookmarkStart w:id="155" w:name="_Toc13508"/>
      <w:bookmarkStart w:id="156" w:name="_Toc527622577"/>
      <w:bookmarkStart w:id="157" w:name="_Toc25966"/>
      <w:bookmarkStart w:id="158" w:name="_Toc21535"/>
      <w:bookmarkStart w:id="159" w:name="_Toc3751663"/>
      <w:bookmarkStart w:id="160" w:name="_Toc10379"/>
      <w:bookmarkStart w:id="161" w:name="_Toc520356153"/>
      <w:bookmarkStart w:id="162" w:name="_Toc515647769"/>
      <w:bookmarkStart w:id="163" w:name="_Toc4601"/>
      <w:bookmarkStart w:id="164" w:name="_Toc516367023"/>
      <w:r>
        <w:rPr>
          <w:rFonts w:hint="eastAsia" w:ascii="宋体" w:hAnsi="宋体" w:eastAsia="宋体" w:cs="仿宋"/>
          <w:szCs w:val="21"/>
          <w:highlight w:val="none"/>
        </w:rPr>
        <w:t>9</w:t>
      </w:r>
      <w:r>
        <w:rPr>
          <w:rFonts w:hint="eastAsia" w:ascii="宋体" w:hAnsi="宋体" w:eastAsia="宋体" w:cs="仿宋"/>
          <w:b/>
          <w:bCs/>
          <w:szCs w:val="21"/>
          <w:highlight w:val="none"/>
        </w:rPr>
        <w:t>. 投标文件的编制、盖章、签署</w:t>
      </w:r>
      <w:bookmarkEnd w:id="150"/>
      <w:r>
        <w:rPr>
          <w:rFonts w:hint="eastAsia" w:ascii="宋体" w:hAnsi="宋体" w:eastAsia="宋体" w:cs="仿宋"/>
          <w:b/>
          <w:bCs/>
          <w:szCs w:val="21"/>
          <w:highlight w:val="none"/>
        </w:rPr>
        <w:t>、密封和标记</w:t>
      </w:r>
      <w:bookmarkEnd w:id="151"/>
      <w:bookmarkEnd w:id="152"/>
      <w:bookmarkEnd w:id="153"/>
      <w:bookmarkEnd w:id="154"/>
      <w:bookmarkEnd w:id="155"/>
      <w:bookmarkEnd w:id="156"/>
      <w:bookmarkEnd w:id="157"/>
      <w:bookmarkEnd w:id="158"/>
      <w:bookmarkEnd w:id="159"/>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9.1 供应商应按</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 xml:space="preserve">中的规定，准备和递交投标文件。  </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9.2 投标文件的正本需打印。招标文件第7章“投标文件格式”中要求盖公章、签名或盖私章的，供应商应按要求加盖公章、签字或加盖私章。投标文件的副本可采用正本的投标文件复印件，</w:t>
      </w:r>
      <w:r>
        <w:rPr>
          <w:rFonts w:hint="eastAsia" w:ascii="宋体" w:hAnsi="宋体" w:eastAsia="宋体" w:cs="仿宋"/>
          <w:b/>
          <w:bCs/>
          <w:szCs w:val="21"/>
          <w:highlight w:val="none"/>
        </w:rPr>
        <w:t>每套投标文件应当标明“正本”、“副本”的字样。</w:t>
      </w:r>
      <w:r>
        <w:rPr>
          <w:rFonts w:hint="eastAsia" w:ascii="宋体" w:hAnsi="宋体" w:eastAsia="宋体" w:cs="仿宋"/>
          <w:szCs w:val="21"/>
          <w:highlight w:val="none"/>
        </w:rPr>
        <w:t>副本与正本具有同等法律效力。若正本与副本不符，以正本为准。法定代表人若委托其他人员作为投标负责人的，委托代理人须持有书面的“法定代表人授权委托书”，并将其附在投标文件中。如对投标文件进行了修改，则应由供应商法定代表人或其委托代理人在每一修改处签字（或加盖私章）。</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9.3 如供应商对招标文件多个包组进行投标的，其投标文件可按每个包组的要求编制和提交；或者将所投包组的内容在同一套投标文件编制和提交，并在投标文件中明确各包组的投标内容。</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9.4 供应商必须对投标文件所提供的全部资料的真实性承担法律责任，并接受招投标所、采购人及政府采购监督管理部门等对其中任何资料进行核实的要求。</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9.5 供应商应将投标文件的正本、副本、唱标信封分开单独密封包装。在密封袋上标明“正本”、“副本”、“唱标信封”的字样，并在密封袋的封口处加盖供应商公章或法定代表人（或委托代理人）签字（或盖私章）。</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9.6 在投标文件密封袋上均应标明以下内容：</w:t>
      </w:r>
    </w:p>
    <w:p>
      <w:pPr>
        <w:spacing w:line="480" w:lineRule="exact"/>
        <w:ind w:firstLine="1890" w:firstLineChars="900"/>
        <w:rPr>
          <w:rFonts w:ascii="宋体" w:hAnsi="宋体" w:eastAsia="宋体" w:cs="仿宋"/>
          <w:szCs w:val="21"/>
          <w:highlight w:val="none"/>
        </w:rPr>
      </w:pPr>
      <w:r>
        <w:rPr>
          <w:rFonts w:hint="eastAsia" w:ascii="宋体" w:hAnsi="宋体" w:eastAsia="宋体" w:cs="仿宋"/>
          <w:szCs w:val="21"/>
          <w:highlight w:val="none"/>
        </w:rPr>
        <w:t>(1)  采购编号：               ；</w:t>
      </w:r>
    </w:p>
    <w:p>
      <w:pPr>
        <w:spacing w:line="480" w:lineRule="exact"/>
        <w:ind w:firstLine="1890" w:firstLineChars="900"/>
        <w:rPr>
          <w:rFonts w:ascii="宋体" w:hAnsi="宋体" w:eastAsia="宋体" w:cs="仿宋"/>
          <w:szCs w:val="21"/>
          <w:highlight w:val="none"/>
        </w:rPr>
      </w:pPr>
      <w:r>
        <w:rPr>
          <w:rFonts w:hint="eastAsia" w:ascii="宋体" w:hAnsi="宋体" w:eastAsia="宋体" w:cs="仿宋"/>
          <w:szCs w:val="21"/>
          <w:highlight w:val="none"/>
        </w:rPr>
        <w:t>(2)  项目名称：               ；</w:t>
      </w:r>
    </w:p>
    <w:p>
      <w:pPr>
        <w:spacing w:line="480" w:lineRule="exact"/>
        <w:ind w:firstLine="1890" w:firstLineChars="900"/>
        <w:rPr>
          <w:rFonts w:ascii="宋体" w:hAnsi="宋体" w:eastAsia="宋体" w:cs="仿宋"/>
          <w:szCs w:val="21"/>
          <w:highlight w:val="none"/>
        </w:rPr>
      </w:pPr>
      <w:r>
        <w:rPr>
          <w:rFonts w:hint="eastAsia" w:ascii="宋体" w:hAnsi="宋体" w:eastAsia="宋体" w:cs="仿宋"/>
          <w:szCs w:val="21"/>
          <w:highlight w:val="none"/>
        </w:rPr>
        <w:t>(3)  供应商名称:              ；</w:t>
      </w:r>
    </w:p>
    <w:p>
      <w:pPr>
        <w:spacing w:line="480" w:lineRule="exact"/>
        <w:ind w:firstLine="420" w:firstLineChars="200"/>
        <w:jc w:val="left"/>
        <w:rPr>
          <w:rFonts w:ascii="宋体" w:hAnsi="宋体" w:eastAsia="宋体" w:cs="仿宋"/>
          <w:szCs w:val="21"/>
          <w:highlight w:val="none"/>
        </w:rPr>
      </w:pPr>
      <w:r>
        <w:rPr>
          <w:rFonts w:hint="eastAsia" w:ascii="宋体" w:hAnsi="宋体" w:eastAsia="宋体" w:cs="仿宋"/>
          <w:szCs w:val="21"/>
          <w:highlight w:val="none"/>
        </w:rPr>
        <w:t>9.7 投标文件因字迹潦草、表达不清或装订不当所引起的后果由供应商负责。</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9.8 如果供应商未按上述第9.5款、第9.6款要求密封的，将被拒绝接收。</w:t>
      </w:r>
    </w:p>
    <w:bookmarkEnd w:id="160"/>
    <w:bookmarkEnd w:id="161"/>
    <w:bookmarkEnd w:id="162"/>
    <w:bookmarkEnd w:id="163"/>
    <w:bookmarkEnd w:id="164"/>
    <w:p>
      <w:pPr>
        <w:spacing w:line="480" w:lineRule="exact"/>
        <w:ind w:firstLine="422" w:firstLineChars="200"/>
        <w:outlineLvl w:val="2"/>
        <w:rPr>
          <w:rFonts w:ascii="宋体" w:hAnsi="宋体" w:eastAsia="宋体" w:cs="仿宋"/>
          <w:bCs/>
          <w:szCs w:val="21"/>
          <w:highlight w:val="none"/>
        </w:rPr>
      </w:pPr>
      <w:bookmarkStart w:id="165" w:name="_Toc527622578"/>
      <w:bookmarkStart w:id="166" w:name="_Toc25781"/>
      <w:bookmarkStart w:id="167" w:name="_Toc30567"/>
      <w:bookmarkStart w:id="168" w:name="_Toc518923073"/>
      <w:bookmarkStart w:id="169" w:name="_Toc28832"/>
      <w:bookmarkStart w:id="170" w:name="_Toc527363309"/>
      <w:bookmarkStart w:id="171" w:name="_Toc17069"/>
      <w:bookmarkStart w:id="172" w:name="_Toc21253"/>
      <w:bookmarkStart w:id="173" w:name="_Toc520356155"/>
      <w:bookmarkStart w:id="174" w:name="_Toc23085"/>
      <w:bookmarkStart w:id="175" w:name="_Toc3751664"/>
      <w:bookmarkStart w:id="176" w:name="_Toc22724"/>
      <w:r>
        <w:rPr>
          <w:rFonts w:hint="eastAsia" w:ascii="宋体" w:hAnsi="宋体" w:eastAsia="宋体" w:cs="仿宋"/>
          <w:b/>
          <w:bCs/>
          <w:szCs w:val="21"/>
          <w:highlight w:val="none"/>
        </w:rPr>
        <w:t>10. 投标报价</w:t>
      </w:r>
      <w:bookmarkEnd w:id="165"/>
      <w:bookmarkEnd w:id="166"/>
      <w:bookmarkEnd w:id="167"/>
      <w:bookmarkEnd w:id="168"/>
      <w:bookmarkEnd w:id="169"/>
      <w:bookmarkEnd w:id="170"/>
      <w:bookmarkEnd w:id="171"/>
      <w:bookmarkEnd w:id="172"/>
      <w:bookmarkEnd w:id="173"/>
      <w:bookmarkEnd w:id="174"/>
      <w:bookmarkEnd w:id="175"/>
      <w:bookmarkEnd w:id="176"/>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10.1所有投标均以人民币报价。供应商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仿宋"/>
          <w:b/>
          <w:bCs/>
          <w:szCs w:val="21"/>
          <w:highlight w:val="none"/>
          <w:u w:val="single"/>
        </w:rPr>
        <w:t>投标无效。</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10.2 采购人不接受具有附加条件的报价。</w:t>
      </w:r>
    </w:p>
    <w:p>
      <w:pPr>
        <w:spacing w:line="480" w:lineRule="exact"/>
        <w:ind w:firstLine="420" w:firstLineChars="200"/>
        <w:rPr>
          <w:rFonts w:hint="eastAsia" w:ascii="宋体" w:hAnsi="宋体" w:eastAsia="宋体" w:cs="仿宋"/>
          <w:b/>
          <w:bCs/>
          <w:szCs w:val="21"/>
          <w:highlight w:val="none"/>
          <w:u w:val="single"/>
        </w:rPr>
      </w:pPr>
      <w:r>
        <w:rPr>
          <w:rFonts w:hint="eastAsia" w:ascii="宋体" w:hAnsi="宋体" w:eastAsia="宋体" w:cs="仿宋"/>
          <w:szCs w:val="21"/>
          <w:highlight w:val="none"/>
        </w:rPr>
        <w:t>10.3 供应商所报的各分项投标报价在合同履行过程中是固定不变的，不得以任何理由予以变更。任何包含价格调整要求的投标，将被认定为</w:t>
      </w:r>
      <w:r>
        <w:rPr>
          <w:rFonts w:hint="eastAsia" w:ascii="宋体" w:hAnsi="宋体" w:eastAsia="宋体" w:cs="仿宋"/>
          <w:b/>
          <w:bCs/>
          <w:szCs w:val="21"/>
          <w:highlight w:val="none"/>
          <w:u w:val="single"/>
        </w:rPr>
        <w:t>投标无效。</w:t>
      </w:r>
    </w:p>
    <w:p>
      <w:pPr>
        <w:spacing w:line="480" w:lineRule="exact"/>
        <w:ind w:firstLine="420" w:firstLineChars="200"/>
        <w:rPr>
          <w:rFonts w:hint="default" w:ascii="宋体" w:hAnsi="宋体" w:eastAsia="宋体" w:cs="仿宋"/>
          <w:szCs w:val="21"/>
          <w:highlight w:val="none"/>
          <w:lang w:val="en-US" w:eastAsia="zh-CN"/>
        </w:rPr>
      </w:pPr>
      <w:r>
        <w:rPr>
          <w:rFonts w:hint="eastAsia" w:ascii="宋体" w:hAnsi="宋体" w:eastAsia="宋体" w:cs="仿宋"/>
          <w:szCs w:val="21"/>
          <w:highlight w:val="none"/>
          <w:lang w:val="en-US" w:eastAsia="zh-CN"/>
        </w:rPr>
        <w:t>10.4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480" w:lineRule="exact"/>
        <w:ind w:firstLine="422" w:firstLineChars="200"/>
        <w:outlineLvl w:val="2"/>
        <w:rPr>
          <w:rFonts w:ascii="宋体" w:hAnsi="宋体" w:eastAsia="宋体" w:cs="仿宋"/>
          <w:bCs/>
          <w:szCs w:val="21"/>
          <w:highlight w:val="none"/>
        </w:rPr>
      </w:pPr>
      <w:bookmarkStart w:id="177" w:name="_Toc527622579"/>
      <w:bookmarkStart w:id="178" w:name="_Toc8198"/>
      <w:bookmarkStart w:id="179" w:name="_Toc10551"/>
      <w:bookmarkStart w:id="180" w:name="_Toc520356157"/>
      <w:bookmarkStart w:id="181" w:name="_Toc30833"/>
      <w:bookmarkStart w:id="182" w:name="_Toc32094"/>
      <w:bookmarkStart w:id="183" w:name="_Toc518923076"/>
      <w:bookmarkStart w:id="184" w:name="_Toc3068"/>
      <w:bookmarkStart w:id="185" w:name="_Toc25463"/>
      <w:bookmarkStart w:id="186" w:name="_Toc16410"/>
      <w:bookmarkStart w:id="187" w:name="_Toc527363310"/>
      <w:bookmarkStart w:id="188" w:name="_Toc3751665"/>
      <w:r>
        <w:rPr>
          <w:rFonts w:hint="eastAsia" w:ascii="宋体" w:hAnsi="宋体" w:eastAsia="宋体" w:cs="仿宋"/>
          <w:b/>
          <w:bCs/>
          <w:szCs w:val="21"/>
          <w:highlight w:val="none"/>
        </w:rPr>
        <w:t>11. 投标有效期</w:t>
      </w:r>
      <w:bookmarkEnd w:id="177"/>
      <w:bookmarkEnd w:id="178"/>
      <w:bookmarkEnd w:id="179"/>
      <w:bookmarkEnd w:id="180"/>
      <w:bookmarkEnd w:id="181"/>
      <w:bookmarkEnd w:id="182"/>
      <w:bookmarkEnd w:id="183"/>
      <w:bookmarkEnd w:id="184"/>
      <w:bookmarkEnd w:id="185"/>
      <w:bookmarkEnd w:id="186"/>
      <w:bookmarkEnd w:id="187"/>
      <w:bookmarkEnd w:id="188"/>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11.1投标应在</w:t>
      </w:r>
      <w:r>
        <w:rPr>
          <w:rFonts w:hint="eastAsia" w:ascii="宋体" w:hAnsi="宋体" w:eastAsia="宋体" w:cs="仿宋"/>
          <w:szCs w:val="21"/>
          <w:highlight w:val="none"/>
          <w:u w:val="single"/>
        </w:rPr>
        <w:t>供应商须知资料表</w:t>
      </w:r>
      <w:r>
        <w:rPr>
          <w:rFonts w:hint="eastAsia" w:ascii="宋体" w:hAnsi="宋体" w:eastAsia="宋体" w:cs="仿宋"/>
          <w:szCs w:val="21"/>
          <w:highlight w:val="none"/>
        </w:rPr>
        <w:t>中规定时间内保持有效。投标有效期不满足要求的投标，其投标将被认定为</w:t>
      </w:r>
      <w:r>
        <w:rPr>
          <w:rFonts w:hint="eastAsia" w:ascii="宋体" w:hAnsi="宋体" w:eastAsia="宋体" w:cs="仿宋"/>
          <w:b/>
          <w:bCs/>
          <w:szCs w:val="21"/>
          <w:highlight w:val="none"/>
        </w:rPr>
        <w:t>投标无效</w:t>
      </w:r>
      <w:r>
        <w:rPr>
          <w:rFonts w:hint="eastAsia" w:ascii="宋体" w:hAnsi="宋体" w:eastAsia="宋体" w:cs="仿宋"/>
          <w:szCs w:val="21"/>
          <w:highlight w:val="none"/>
        </w:rPr>
        <w:t>。</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11.2为保证有充分时间签订合同，采购人或招投标所可根据实际情况，在原投标有效期截止之前，要求供应商延长投标文件的有效期。上述要求和答复都应以书面形式提交。</w:t>
      </w:r>
    </w:p>
    <w:p>
      <w:pPr>
        <w:spacing w:line="480" w:lineRule="exact"/>
        <w:ind w:firstLine="422" w:firstLineChars="200"/>
        <w:outlineLvl w:val="1"/>
        <w:rPr>
          <w:rFonts w:ascii="宋体" w:hAnsi="宋体" w:eastAsia="宋体" w:cs="仿宋"/>
          <w:b/>
          <w:bCs/>
          <w:szCs w:val="21"/>
          <w:highlight w:val="none"/>
        </w:rPr>
      </w:pPr>
      <w:bookmarkStart w:id="189" w:name="_Toc11051"/>
      <w:bookmarkStart w:id="190" w:name="_Toc25580"/>
      <w:bookmarkStart w:id="191" w:name="_Toc12274"/>
      <w:bookmarkStart w:id="192" w:name="_Toc31225"/>
      <w:bookmarkStart w:id="193" w:name="_Toc527622580"/>
      <w:bookmarkStart w:id="194" w:name="_Toc515647774"/>
      <w:bookmarkStart w:id="195" w:name="_Toc520356159"/>
      <w:bookmarkStart w:id="196" w:name="_Toc11179"/>
      <w:bookmarkStart w:id="197" w:name="_Toc24000"/>
      <w:bookmarkStart w:id="198" w:name="_Toc13791"/>
      <w:bookmarkStart w:id="199" w:name="_Toc216582808"/>
      <w:bookmarkStart w:id="200" w:name="_Toc3751666"/>
      <w:bookmarkStart w:id="201" w:name="_Toc3208"/>
      <w:r>
        <w:rPr>
          <w:rFonts w:hint="eastAsia" w:ascii="宋体" w:hAnsi="宋体" w:eastAsia="宋体" w:cs="仿宋"/>
          <w:b/>
          <w:bCs/>
          <w:szCs w:val="21"/>
          <w:highlight w:val="none"/>
        </w:rPr>
        <w:t>四、投标文件的递交</w:t>
      </w:r>
      <w:bookmarkEnd w:id="189"/>
      <w:bookmarkEnd w:id="190"/>
      <w:bookmarkEnd w:id="191"/>
      <w:bookmarkEnd w:id="192"/>
      <w:bookmarkEnd w:id="193"/>
      <w:bookmarkEnd w:id="194"/>
      <w:bookmarkEnd w:id="195"/>
      <w:bookmarkEnd w:id="196"/>
      <w:bookmarkEnd w:id="197"/>
      <w:bookmarkEnd w:id="198"/>
      <w:bookmarkEnd w:id="199"/>
      <w:bookmarkEnd w:id="200"/>
      <w:bookmarkEnd w:id="201"/>
    </w:p>
    <w:p>
      <w:pPr>
        <w:numPr>
          <w:ilvl w:val="0"/>
          <w:numId w:val="4"/>
        </w:numPr>
        <w:spacing w:line="480" w:lineRule="exact"/>
        <w:ind w:firstLine="422" w:firstLineChars="200"/>
        <w:outlineLvl w:val="2"/>
        <w:rPr>
          <w:rFonts w:ascii="宋体" w:hAnsi="宋体" w:eastAsia="宋体" w:cs="仿宋"/>
          <w:bCs/>
          <w:szCs w:val="21"/>
          <w:highlight w:val="none"/>
        </w:rPr>
      </w:pPr>
      <w:bookmarkStart w:id="202" w:name="_Toc518923080"/>
      <w:bookmarkStart w:id="203" w:name="_Toc18587"/>
      <w:bookmarkStart w:id="204" w:name="_Toc27276"/>
      <w:bookmarkStart w:id="205" w:name="_Toc527622581"/>
      <w:bookmarkStart w:id="206" w:name="_Toc27813"/>
      <w:bookmarkStart w:id="207" w:name="_Toc18325"/>
      <w:bookmarkStart w:id="208" w:name="_Toc3751667"/>
      <w:bookmarkStart w:id="209" w:name="_Toc7011"/>
      <w:bookmarkStart w:id="210" w:name="_Toc520356161"/>
      <w:bookmarkStart w:id="211" w:name="_Toc30513"/>
      <w:bookmarkStart w:id="212" w:name="_Toc527393583"/>
      <w:bookmarkStart w:id="213" w:name="_Toc17553"/>
      <w:r>
        <w:rPr>
          <w:rFonts w:hint="eastAsia" w:ascii="宋体" w:hAnsi="宋体" w:eastAsia="宋体" w:cs="仿宋"/>
          <w:b/>
          <w:bCs/>
          <w:szCs w:val="21"/>
          <w:highlight w:val="none"/>
        </w:rPr>
        <w:t>投标截止</w:t>
      </w:r>
      <w:bookmarkEnd w:id="202"/>
      <w:bookmarkEnd w:id="203"/>
      <w:bookmarkEnd w:id="204"/>
      <w:bookmarkEnd w:id="205"/>
      <w:bookmarkEnd w:id="206"/>
      <w:bookmarkEnd w:id="207"/>
      <w:bookmarkEnd w:id="208"/>
      <w:bookmarkEnd w:id="209"/>
      <w:bookmarkEnd w:id="210"/>
      <w:bookmarkEnd w:id="211"/>
      <w:bookmarkEnd w:id="212"/>
      <w:bookmarkEnd w:id="213"/>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12.1供应商应在投标邀请中规定的截止时间前，将投标文件递交到投标邀请书中规定的地点。</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12.2采购人和招投标所有权按本须知的规定，延迟投标截止时间。在此情况下，采购人、招投标所和供应商受投标截止时间制约的所有权利和义务均应延长至新的截止时间。</w:t>
      </w:r>
    </w:p>
    <w:p>
      <w:pPr>
        <w:spacing w:line="480" w:lineRule="exact"/>
        <w:ind w:firstLine="422" w:firstLineChars="200"/>
        <w:outlineLvl w:val="2"/>
        <w:rPr>
          <w:rFonts w:ascii="宋体" w:hAnsi="宋体" w:eastAsia="宋体" w:cs="仿宋"/>
          <w:bCs/>
          <w:szCs w:val="21"/>
          <w:highlight w:val="none"/>
        </w:rPr>
      </w:pPr>
      <w:bookmarkStart w:id="214" w:name="_Toc29103"/>
      <w:bookmarkStart w:id="215" w:name="_Toc3751668"/>
      <w:bookmarkStart w:id="216" w:name="_Toc520356162"/>
      <w:bookmarkStart w:id="217" w:name="_Toc29199"/>
      <w:bookmarkStart w:id="218" w:name="_Toc527622582"/>
      <w:bookmarkStart w:id="219" w:name="_Toc527393584"/>
      <w:bookmarkStart w:id="220" w:name="_Toc13846"/>
      <w:bookmarkStart w:id="221" w:name="_Toc22262"/>
      <w:bookmarkStart w:id="222" w:name="_Toc4674"/>
      <w:bookmarkStart w:id="223" w:name="_Toc7623"/>
      <w:bookmarkStart w:id="224" w:name="_Toc518923081"/>
      <w:bookmarkStart w:id="225" w:name="_Toc9980"/>
      <w:r>
        <w:rPr>
          <w:rFonts w:hint="eastAsia" w:ascii="宋体" w:hAnsi="宋体" w:eastAsia="宋体" w:cs="仿宋"/>
          <w:b/>
          <w:bCs/>
          <w:szCs w:val="21"/>
          <w:highlight w:val="none"/>
        </w:rPr>
        <w:t>13. 投标文件的接收、修改与撤回</w:t>
      </w:r>
      <w:bookmarkEnd w:id="214"/>
      <w:bookmarkEnd w:id="215"/>
      <w:bookmarkEnd w:id="216"/>
      <w:bookmarkEnd w:id="217"/>
      <w:bookmarkEnd w:id="218"/>
      <w:bookmarkEnd w:id="219"/>
      <w:bookmarkEnd w:id="220"/>
      <w:bookmarkEnd w:id="221"/>
      <w:bookmarkEnd w:id="222"/>
      <w:bookmarkEnd w:id="223"/>
      <w:bookmarkEnd w:id="224"/>
      <w:bookmarkEnd w:id="225"/>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13.1 在投标截止时间后送达投标文件的或者传真、电传的投标文件，采购人和招投标所将拒绝接收。</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13.2采购人或者招投标所收到投标文件后，向供应商出具签收回执。</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13.3 递交投标文件以后，如果供应商要进行修改或撤回投标，须提出书面申请并在投标截止时间前送达开标地点。</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采购人和招投标所将予以接收，并视为投标文件的组成部分。</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13.4在投标截止时间之后，采购人和招投标所不接受供应商主动对其投标文件做任何修改。</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13.5至投标截止时间，出现下列情形之一的投标文件，将被采购人和招投标所拒绝并原封退回给投标人：</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（1）采购人和招投标所在投标邀请书中规定的截止时间以后和投标邀请书中规定的投标文件递交地点以外收到的投标文件；</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（2）至投标截止时间，投标人不足3家的，在投标截止时间前收到的所有未被开启的投标文件；</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（3）按本须知第13.3款规定提交书面撤回申请书的投标文件；</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rPr>
        <w:t>（4）未按本须知第9.5、9.6款规定密封的投标文件。</w:t>
      </w:r>
    </w:p>
    <w:p>
      <w:pPr>
        <w:spacing w:line="480" w:lineRule="exact"/>
        <w:ind w:firstLine="422" w:firstLineChars="200"/>
        <w:outlineLvl w:val="2"/>
        <w:rPr>
          <w:rFonts w:hint="eastAsia" w:ascii="宋体" w:hAnsi="宋体" w:eastAsia="宋体" w:cs="仿宋"/>
          <w:b/>
          <w:bCs/>
          <w:szCs w:val="21"/>
          <w:highlight w:val="none"/>
        </w:rPr>
      </w:pPr>
      <w:r>
        <w:rPr>
          <w:rFonts w:hint="eastAsia" w:ascii="宋体" w:hAnsi="宋体" w:eastAsia="宋体" w:cs="仿宋"/>
          <w:b/>
          <w:bCs/>
          <w:szCs w:val="21"/>
          <w:highlight w:val="none"/>
          <w:lang w:val="en-US" w:eastAsia="zh-CN"/>
        </w:rPr>
        <w:t>14</w:t>
      </w:r>
      <w:r>
        <w:rPr>
          <w:rFonts w:hint="eastAsia" w:ascii="宋体" w:hAnsi="宋体" w:eastAsia="宋体" w:cs="仿宋"/>
          <w:b/>
          <w:bCs/>
          <w:szCs w:val="21"/>
          <w:highlight w:val="none"/>
        </w:rPr>
        <w:t>.样品（演示）</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14</w:t>
      </w:r>
      <w:r>
        <w:rPr>
          <w:rFonts w:hint="eastAsia" w:ascii="宋体" w:hAnsi="宋体" w:eastAsia="宋体" w:cs="仿宋"/>
          <w:szCs w:val="21"/>
          <w:highlight w:val="none"/>
        </w:rPr>
        <w:t>.1招标文件规定投标人提交样品的，样品属于投标文件的组成部分。样品的生产、运输、安装、保全等一切费用由投标人自理。</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14</w:t>
      </w:r>
      <w:r>
        <w:rPr>
          <w:rFonts w:hint="eastAsia" w:ascii="宋体" w:hAnsi="宋体" w:eastAsia="宋体" w:cs="仿宋"/>
          <w:szCs w:val="21"/>
          <w:highlight w:val="none"/>
        </w:rPr>
        <w:t>.2投标截止时间前，投标人应将样品送达至指定地点。若需要现场演示的，投标人应提前做好演示准备（包括演示设备）。</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14</w:t>
      </w:r>
      <w:r>
        <w:rPr>
          <w:rFonts w:hint="eastAsia" w:ascii="宋体" w:hAnsi="宋体" w:eastAsia="宋体" w:cs="仿宋"/>
          <w:szCs w:val="21"/>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spacing w:line="480" w:lineRule="exact"/>
        <w:ind w:firstLine="422" w:firstLineChars="200"/>
        <w:outlineLvl w:val="2"/>
        <w:rPr>
          <w:rFonts w:hint="eastAsia" w:ascii="宋体" w:hAnsi="宋体" w:eastAsia="宋体" w:cs="仿宋"/>
          <w:b/>
          <w:bCs/>
          <w:szCs w:val="21"/>
          <w:highlight w:val="none"/>
          <w:lang w:val="en-US" w:eastAsia="zh-CN"/>
        </w:rPr>
      </w:pPr>
      <w:r>
        <w:rPr>
          <w:rFonts w:hint="eastAsia" w:ascii="宋体" w:hAnsi="宋体" w:eastAsia="宋体" w:cs="仿宋"/>
          <w:b/>
          <w:bCs/>
          <w:szCs w:val="21"/>
          <w:highlight w:val="none"/>
          <w:lang w:val="en-US" w:eastAsia="zh-CN"/>
        </w:rPr>
        <w:t>15.除招标文件另有规定外，有下列情形之一的，投标无效：</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15</w:t>
      </w:r>
      <w:r>
        <w:rPr>
          <w:rFonts w:hint="eastAsia" w:ascii="宋体" w:hAnsi="宋体" w:eastAsia="宋体" w:cs="仿宋"/>
          <w:szCs w:val="21"/>
          <w:highlight w:val="none"/>
        </w:rPr>
        <w:t>.1投标文件未按照招标文件要求签署、盖章；</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15</w:t>
      </w:r>
      <w:r>
        <w:rPr>
          <w:rFonts w:hint="eastAsia" w:ascii="宋体" w:hAnsi="宋体" w:eastAsia="宋体" w:cs="仿宋"/>
          <w:szCs w:val="21"/>
          <w:highlight w:val="none"/>
        </w:rPr>
        <w:t>.2不符合招标文件中规定的资格要求；</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15</w:t>
      </w:r>
      <w:r>
        <w:rPr>
          <w:rFonts w:hint="eastAsia" w:ascii="宋体" w:hAnsi="宋体" w:eastAsia="宋体" w:cs="仿宋"/>
          <w:szCs w:val="21"/>
          <w:highlight w:val="none"/>
        </w:rPr>
        <w:t>.3投标报价超过招标文件中规定的预算金额或最高限价；</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15</w:t>
      </w:r>
      <w:r>
        <w:rPr>
          <w:rFonts w:hint="eastAsia" w:ascii="宋体" w:hAnsi="宋体" w:eastAsia="宋体" w:cs="仿宋"/>
          <w:szCs w:val="21"/>
          <w:highlight w:val="none"/>
        </w:rPr>
        <w:t>.4投标文件含有采购人不能接受的附加条件；</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15</w:t>
      </w:r>
      <w:r>
        <w:rPr>
          <w:rFonts w:hint="eastAsia" w:ascii="宋体" w:hAnsi="宋体" w:eastAsia="宋体" w:cs="仿宋"/>
          <w:szCs w:val="21"/>
          <w:highlight w:val="none"/>
        </w:rPr>
        <w:t>.5有关法律、法规和规章及招标文件规定的其他无效情形。</w:t>
      </w:r>
    </w:p>
    <w:p>
      <w:pPr>
        <w:rPr>
          <w:highlight w:val="none"/>
        </w:rPr>
      </w:pPr>
      <w:r>
        <w:rPr>
          <w:rFonts w:hint="eastAsia"/>
          <w:b/>
          <w:sz w:val="28"/>
          <w:highlight w:val="none"/>
          <w:lang w:eastAsia="zh-CN"/>
        </w:rPr>
        <w:t>五</w:t>
      </w:r>
      <w:r>
        <w:rPr>
          <w:b/>
          <w:sz w:val="28"/>
          <w:highlight w:val="none"/>
        </w:rPr>
        <w:t>、开标、评标和定标</w:t>
      </w:r>
    </w:p>
    <w:p>
      <w:pPr>
        <w:rPr>
          <w:rFonts w:ascii="宋体" w:hAnsi="宋体" w:eastAsia="宋体" w:cs="仿宋"/>
          <w:bCs/>
          <w:szCs w:val="21"/>
          <w:highlight w:val="none"/>
        </w:rPr>
      </w:pPr>
      <w:r>
        <w:rPr>
          <w:b/>
          <w:sz w:val="24"/>
          <w:highlight w:val="none"/>
        </w:rPr>
        <w:t>1</w:t>
      </w:r>
      <w:r>
        <w:rPr>
          <w:rFonts w:hint="eastAsia"/>
          <w:b/>
          <w:sz w:val="24"/>
          <w:highlight w:val="none"/>
          <w:lang w:val="en-US" w:eastAsia="zh-CN"/>
        </w:rPr>
        <w:t>6</w:t>
      </w:r>
      <w:r>
        <w:rPr>
          <w:b/>
          <w:sz w:val="24"/>
          <w:highlight w:val="none"/>
        </w:rPr>
        <w:t>.开标</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w:t>
      </w:r>
      <w:r>
        <w:rPr>
          <w:rFonts w:hint="eastAsia" w:ascii="宋体" w:hAnsi="宋体" w:eastAsia="宋体" w:cs="仿宋"/>
          <w:szCs w:val="21"/>
          <w:highlight w:val="none"/>
          <w:lang w:val="en-US" w:eastAsia="zh-CN"/>
        </w:rPr>
        <w:t>6.1</w:t>
      </w:r>
      <w:r>
        <w:rPr>
          <w:rFonts w:hint="eastAsia" w:ascii="宋体" w:hAnsi="宋体" w:eastAsia="宋体" w:cs="仿宋"/>
          <w:szCs w:val="21"/>
          <w:highlight w:val="none"/>
        </w:rPr>
        <w:t xml:space="preserve"> 采购人和招投标所将按招标文件中规定的开标时间和地点组织公开开标并邀请所有供应商代表参加。  </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开标会由招投标所主持，供应商的法定代表人或经其正式授权代表务必携带有效身份证明准时参加开标会并签名报到，以证明其出席。供应商未参加开标的，视同认可开标结果。</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响应招标、参加投标竞争的供应商不足3家的，不得开标。</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w:t>
      </w:r>
      <w:r>
        <w:rPr>
          <w:rFonts w:hint="eastAsia" w:ascii="宋体" w:hAnsi="宋体" w:eastAsia="宋体" w:cs="仿宋"/>
          <w:szCs w:val="21"/>
          <w:highlight w:val="none"/>
          <w:lang w:val="en-US" w:eastAsia="zh-CN"/>
        </w:rPr>
        <w:t>6.2</w:t>
      </w:r>
      <w:r>
        <w:rPr>
          <w:rFonts w:hint="eastAsia" w:ascii="宋体" w:hAnsi="宋体" w:eastAsia="宋体" w:cs="仿宋"/>
          <w:szCs w:val="21"/>
          <w:highlight w:val="none"/>
        </w:rPr>
        <w:t>开标时，应当由供应商或者其推选的代表检查投标文件的密封情况。经确认无误后，由采购人或者招投标所工作人员当众拆封，宣布供应商名称、投标价格和招标文件规定的需要宣布的其他内容。</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未宣读投标价格、价格折扣等实质内容，评标时不予承认。</w:t>
      </w:r>
    </w:p>
    <w:p>
      <w:pPr>
        <w:spacing w:line="480" w:lineRule="exact"/>
        <w:ind w:firstLine="420" w:firstLineChars="200"/>
        <w:rPr>
          <w:rFonts w:ascii="宋体" w:hAnsi="宋体" w:eastAsia="宋体" w:cs="仿宋"/>
          <w:szCs w:val="21"/>
          <w:highlight w:val="none"/>
        </w:rPr>
      </w:pPr>
      <w:r>
        <w:rPr>
          <w:rFonts w:hint="eastAsia" w:ascii="宋体" w:hAnsi="宋体" w:eastAsia="宋体" w:cs="仿宋"/>
          <w:szCs w:val="21"/>
          <w:highlight w:val="none"/>
        </w:rPr>
        <w:t>1</w:t>
      </w:r>
      <w:r>
        <w:rPr>
          <w:rFonts w:hint="eastAsia" w:ascii="宋体" w:hAnsi="宋体" w:eastAsia="宋体" w:cs="仿宋"/>
          <w:szCs w:val="21"/>
          <w:highlight w:val="none"/>
          <w:lang w:val="en-US" w:eastAsia="zh-CN"/>
        </w:rPr>
        <w:t>6.3</w:t>
      </w:r>
      <w:r>
        <w:rPr>
          <w:rFonts w:hint="eastAsia" w:ascii="宋体" w:hAnsi="宋体" w:eastAsia="宋体" w:cs="仿宋"/>
          <w:szCs w:val="21"/>
          <w:highlight w:val="none"/>
        </w:rPr>
        <w:t xml:space="preserve"> 采购人或招投标所将对开标过程进行记录，由参加开标的各供应商代表和相关工作人员签字确认，并存档备查。</w:t>
      </w:r>
    </w:p>
    <w:p>
      <w:pPr>
        <w:ind w:firstLine="480"/>
        <w:rPr>
          <w:rFonts w:hint="eastAsia" w:ascii="宋体" w:hAnsi="宋体" w:eastAsia="宋体" w:cs="仿宋"/>
          <w:szCs w:val="21"/>
          <w:highlight w:val="none"/>
        </w:rPr>
      </w:pPr>
      <w:r>
        <w:rPr>
          <w:rFonts w:hint="eastAsia" w:ascii="宋体" w:hAnsi="宋体" w:eastAsia="宋体" w:cs="仿宋"/>
          <w:szCs w:val="21"/>
          <w:highlight w:val="none"/>
        </w:rPr>
        <w:t>1</w:t>
      </w:r>
      <w:r>
        <w:rPr>
          <w:rFonts w:hint="eastAsia" w:ascii="宋体" w:hAnsi="宋体" w:eastAsia="宋体" w:cs="仿宋"/>
          <w:szCs w:val="21"/>
          <w:highlight w:val="none"/>
          <w:lang w:val="en-US" w:eastAsia="zh-CN"/>
        </w:rPr>
        <w:t>6.4</w:t>
      </w:r>
      <w:r>
        <w:rPr>
          <w:rFonts w:hint="eastAsia" w:ascii="宋体" w:hAnsi="宋体" w:eastAsia="宋体" w:cs="仿宋"/>
          <w:szCs w:val="21"/>
          <w:highlight w:val="none"/>
        </w:rPr>
        <w:t xml:space="preserve"> 供应商代表对开标过程和开标记录有疑义，以及认为采购人、招投标所相关工作人员有需要回避的情形的，应当场提出询问或者回避申请。</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lang w:val="en-US" w:eastAsia="zh-CN"/>
        </w:rPr>
        <w:t>16.5</w:t>
      </w:r>
      <w:r>
        <w:rPr>
          <w:rFonts w:hint="eastAsia" w:ascii="宋体" w:hAnsi="宋体" w:eastAsia="宋体" w:cs="仿宋"/>
          <w:szCs w:val="21"/>
          <w:highlight w:val="none"/>
        </w:rPr>
        <w:t>开标异议</w:t>
      </w:r>
    </w:p>
    <w:p>
      <w:pPr>
        <w:spacing w:line="480" w:lineRule="exact"/>
        <w:ind w:firstLine="420" w:firstLineChars="200"/>
        <w:rPr>
          <w:rFonts w:hint="eastAsia" w:ascii="宋体" w:hAnsi="宋体" w:eastAsia="宋体" w:cs="仿宋"/>
          <w:szCs w:val="21"/>
          <w:highlight w:val="none"/>
        </w:rPr>
      </w:pPr>
      <w:r>
        <w:rPr>
          <w:rFonts w:hint="eastAsia" w:ascii="宋体" w:hAnsi="宋体" w:eastAsia="宋体" w:cs="仿宋"/>
          <w:szCs w:val="21"/>
          <w:highlight w:val="none"/>
        </w:rPr>
        <w:t>投标人代表对开标过程和开标记录有疑义，以及认为采购人、采购代理机构相关工作人员有需要回避的情形的，应当场提出询问或者回避申请。投标人未参加开标的，视同认可开标结果。</w:t>
      </w:r>
    </w:p>
    <w:p>
      <w:pPr>
        <w:spacing w:line="480" w:lineRule="exact"/>
        <w:ind w:firstLine="420" w:firstLineChars="200"/>
        <w:rPr>
          <w:rFonts w:hint="eastAsia" w:ascii="宋体" w:hAnsi="宋体" w:eastAsia="宋体" w:cs="仿宋"/>
          <w:szCs w:val="21"/>
          <w:highlight w:val="none"/>
          <w:lang w:val="en-US" w:eastAsia="zh-CN"/>
        </w:rPr>
      </w:pPr>
      <w:r>
        <w:rPr>
          <w:rFonts w:hint="eastAsia" w:ascii="宋体" w:hAnsi="宋体" w:eastAsia="宋体" w:cs="仿宋"/>
          <w:szCs w:val="21"/>
          <w:highlight w:val="none"/>
          <w:lang w:val="en-US" w:eastAsia="zh-CN"/>
        </w:rPr>
        <w:t>16.6投标截止时间后，投标人不足须知前附表中约定的有效供应商家数的，不得开标。同时，本次采购活动结束。</w:t>
      </w:r>
    </w:p>
    <w:p>
      <w:pPr>
        <w:ind w:firstLine="480"/>
        <w:rPr>
          <w:highlight w:val="none"/>
        </w:rPr>
      </w:pPr>
    </w:p>
    <w:p>
      <w:pPr>
        <w:rPr>
          <w:highlight w:val="none"/>
        </w:rPr>
      </w:pPr>
      <w:r>
        <w:rPr>
          <w:rFonts w:hint="eastAsia"/>
          <w:b/>
          <w:sz w:val="24"/>
          <w:highlight w:val="none"/>
          <w:lang w:val="en-US" w:eastAsia="zh-CN"/>
        </w:rPr>
        <w:t>17</w:t>
      </w:r>
      <w:r>
        <w:rPr>
          <w:b/>
          <w:sz w:val="24"/>
          <w:highlight w:val="none"/>
        </w:rPr>
        <w:t>.评审（详见第四章）</w:t>
      </w:r>
    </w:p>
    <w:p>
      <w:pPr>
        <w:rPr>
          <w:highlight w:val="none"/>
        </w:rPr>
      </w:pPr>
      <w:r>
        <w:rPr>
          <w:rFonts w:hint="eastAsia"/>
          <w:b/>
          <w:sz w:val="24"/>
          <w:highlight w:val="none"/>
          <w:lang w:val="en-US" w:eastAsia="zh-CN"/>
        </w:rPr>
        <w:t>18</w:t>
      </w:r>
      <w:r>
        <w:rPr>
          <w:b/>
          <w:sz w:val="24"/>
          <w:highlight w:val="none"/>
        </w:rPr>
        <w:t>.定标</w:t>
      </w:r>
    </w:p>
    <w:p>
      <w:pPr>
        <w:ind w:firstLine="480"/>
        <w:rPr>
          <w:highlight w:val="none"/>
        </w:rPr>
      </w:pPr>
      <w:r>
        <w:rPr>
          <w:rFonts w:hint="eastAsia"/>
          <w:highlight w:val="none"/>
          <w:lang w:val="en-US" w:eastAsia="zh-CN"/>
        </w:rPr>
        <w:t>18</w:t>
      </w:r>
      <w:r>
        <w:rPr>
          <w:highlight w:val="none"/>
        </w:rPr>
        <w:t>.1中标公告：</w:t>
      </w:r>
    </w:p>
    <w:p>
      <w:pPr>
        <w:ind w:firstLine="480"/>
        <w:rPr>
          <w:highlight w:val="none"/>
        </w:rPr>
      </w:pPr>
      <w:r>
        <w:rPr>
          <w:highlight w:val="none"/>
        </w:rPr>
        <w:t>中标供应商确定之日起2个工作日内， 采购人或采购代理机构将在</w:t>
      </w:r>
      <w:r>
        <w:rPr>
          <w:rFonts w:hint="eastAsia"/>
          <w:highlight w:val="none"/>
          <w:lang w:eastAsia="zh-CN"/>
        </w:rPr>
        <w:t>中国东莞万江街道栏目</w:t>
      </w:r>
      <w:r>
        <w:rPr>
          <w:highlight w:val="none"/>
        </w:rPr>
        <w:t>上以</w:t>
      </w:r>
      <w:r>
        <w:rPr>
          <w:rFonts w:hint="eastAsia"/>
          <w:highlight w:val="none"/>
          <w:lang w:eastAsia="zh-CN"/>
        </w:rPr>
        <w:t>公告</w:t>
      </w:r>
      <w:r>
        <w:rPr>
          <w:highlight w:val="none"/>
        </w:rPr>
        <w:t>的形式发布中标结果，中标公告的公告期限为 1 个工作日。中标公告同时作为采购代理机构通知除中标供应商外的其他投标人没有中标的书面形式，采购代理机构不再以其它方式另行通知。</w:t>
      </w:r>
    </w:p>
    <w:p>
      <w:pPr>
        <w:ind w:firstLine="480"/>
        <w:rPr>
          <w:highlight w:val="none"/>
        </w:rPr>
      </w:pPr>
      <w:r>
        <w:rPr>
          <w:rFonts w:hint="eastAsia"/>
          <w:highlight w:val="none"/>
          <w:lang w:val="en-US" w:eastAsia="zh-CN"/>
        </w:rPr>
        <w:t>18</w:t>
      </w:r>
      <w:r>
        <w:rPr>
          <w:highlight w:val="none"/>
        </w:rPr>
        <w:t>.2中标通知书：</w:t>
      </w:r>
    </w:p>
    <w:p>
      <w:pPr>
        <w:ind w:firstLine="480"/>
        <w:rPr>
          <w:rFonts w:hint="eastAsia"/>
          <w:highlight w:val="none"/>
        </w:rPr>
      </w:pPr>
      <w:r>
        <w:rPr>
          <w:rFonts w:hint="eastAsia"/>
          <w:highlight w:val="none"/>
        </w:rPr>
        <w:t>《中标通知书》是合同的一个组成部分，《中标通知书》对采购人和中标人均具有同等法律效力；《中标通知书》发出后，采购人改变中标结果，或者中标人放弃中标，应当承担相应的法律责任。</w:t>
      </w:r>
    </w:p>
    <w:p>
      <w:pPr>
        <w:ind w:firstLine="480"/>
        <w:rPr>
          <w:highlight w:val="none"/>
        </w:rPr>
      </w:pPr>
      <w:r>
        <w:rPr>
          <w:rFonts w:hint="eastAsia"/>
          <w:highlight w:val="none"/>
          <w:lang w:val="en-US" w:eastAsia="zh-CN"/>
        </w:rPr>
        <w:t>18</w:t>
      </w:r>
      <w:r>
        <w:rPr>
          <w:highlight w:val="none"/>
        </w:rPr>
        <w:t>.3终止公告：</w:t>
      </w:r>
    </w:p>
    <w:p>
      <w:pPr>
        <w:ind w:firstLine="480"/>
        <w:rPr>
          <w:highlight w:val="none"/>
        </w:rPr>
      </w:pPr>
      <w:r>
        <w:rPr>
          <w:highlight w:val="none"/>
        </w:rPr>
        <w:t>项目废标后，采购人或采购代理机构将在</w:t>
      </w:r>
      <w:r>
        <w:rPr>
          <w:rFonts w:hint="eastAsia"/>
          <w:highlight w:val="none"/>
        </w:rPr>
        <w:t>中国东莞万江街道栏目</w:t>
      </w:r>
      <w:r>
        <w:rPr>
          <w:highlight w:val="none"/>
        </w:rPr>
        <w:t>上发布终止公告，终止公告的公告期限为1个工作日。</w:t>
      </w:r>
    </w:p>
    <w:p>
      <w:pPr>
        <w:rPr>
          <w:highlight w:val="none"/>
        </w:rPr>
      </w:pPr>
      <w:r>
        <w:rPr>
          <w:b/>
          <w:sz w:val="28"/>
          <w:highlight w:val="none"/>
        </w:rPr>
        <w:t>七、询问、质疑与投诉</w:t>
      </w:r>
    </w:p>
    <w:p>
      <w:pPr>
        <w:rPr>
          <w:highlight w:val="none"/>
        </w:rPr>
      </w:pPr>
      <w:r>
        <w:rPr>
          <w:rFonts w:hint="eastAsia"/>
          <w:b/>
          <w:sz w:val="24"/>
          <w:highlight w:val="none"/>
          <w:lang w:val="en-US" w:eastAsia="zh-CN"/>
        </w:rPr>
        <w:t>19</w:t>
      </w:r>
      <w:r>
        <w:rPr>
          <w:b/>
          <w:sz w:val="24"/>
          <w:highlight w:val="none"/>
        </w:rPr>
        <w:t>.询问</w:t>
      </w:r>
    </w:p>
    <w:p>
      <w:pPr>
        <w:ind w:firstLine="480"/>
        <w:rPr>
          <w:highlight w:val="none"/>
        </w:rPr>
      </w:pPr>
      <w:r>
        <w:rPr>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highlight w:val="none"/>
        </w:rPr>
      </w:pPr>
      <w:r>
        <w:rPr>
          <w:b/>
          <w:sz w:val="24"/>
          <w:highlight w:val="none"/>
        </w:rPr>
        <w:t>2</w:t>
      </w:r>
      <w:r>
        <w:rPr>
          <w:rFonts w:hint="eastAsia"/>
          <w:b/>
          <w:sz w:val="24"/>
          <w:highlight w:val="none"/>
          <w:lang w:val="en-US" w:eastAsia="zh-CN"/>
        </w:rPr>
        <w:t>0</w:t>
      </w:r>
      <w:r>
        <w:rPr>
          <w:b/>
          <w:sz w:val="24"/>
          <w:highlight w:val="none"/>
        </w:rPr>
        <w:t>.质疑</w:t>
      </w:r>
    </w:p>
    <w:p>
      <w:pPr>
        <w:ind w:firstLine="480"/>
        <w:rPr>
          <w:highlight w:val="none"/>
        </w:rPr>
      </w:pPr>
      <w:r>
        <w:rPr>
          <w:highlight w:val="none"/>
        </w:rPr>
        <w:t>2</w:t>
      </w:r>
      <w:r>
        <w:rPr>
          <w:rFonts w:hint="eastAsia"/>
          <w:highlight w:val="none"/>
          <w:lang w:val="en-US" w:eastAsia="zh-CN"/>
        </w:rPr>
        <w:t>1</w:t>
      </w:r>
      <w:r>
        <w:rPr>
          <w:highlight w:val="none"/>
        </w:rPr>
        <w:t>.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highlight w:val="none"/>
        </w:rPr>
      </w:pPr>
      <w:r>
        <w:rPr>
          <w:highlight w:val="none"/>
        </w:rPr>
        <w:t>(1)对招标文件提出质疑的，为获取招标文件之日或者招标文件公告期限届满之日；</w:t>
      </w:r>
    </w:p>
    <w:p>
      <w:pPr>
        <w:ind w:firstLine="480"/>
        <w:rPr>
          <w:highlight w:val="none"/>
        </w:rPr>
      </w:pPr>
      <w:r>
        <w:rPr>
          <w:highlight w:val="none"/>
        </w:rPr>
        <w:t>(2)对采购过程提出质疑的，为各采购程序环节结束之日；</w:t>
      </w:r>
    </w:p>
    <w:p>
      <w:pPr>
        <w:ind w:firstLine="480"/>
        <w:rPr>
          <w:highlight w:val="none"/>
        </w:rPr>
      </w:pPr>
      <w:r>
        <w:rPr>
          <w:highlight w:val="none"/>
        </w:rPr>
        <w:t>(3)对中标结果提出质疑的，为中标结果公告期限届满之日。</w:t>
      </w:r>
    </w:p>
    <w:p>
      <w:pPr>
        <w:ind w:firstLine="480"/>
        <w:rPr>
          <w:highlight w:val="none"/>
        </w:rPr>
      </w:pPr>
      <w:r>
        <w:rPr>
          <w:highlight w:val="none"/>
        </w:rPr>
        <w:t>2</w:t>
      </w:r>
      <w:r>
        <w:rPr>
          <w:rFonts w:hint="eastAsia"/>
          <w:highlight w:val="none"/>
          <w:lang w:val="en-US" w:eastAsia="zh-CN"/>
        </w:rPr>
        <w:t>1</w:t>
      </w:r>
      <w:r>
        <w:rPr>
          <w:highlight w:val="none"/>
        </w:rPr>
        <w:t>.2质疑函应当包括下列主要内容：</w:t>
      </w:r>
    </w:p>
    <w:p>
      <w:pPr>
        <w:ind w:firstLine="480"/>
        <w:rPr>
          <w:highlight w:val="none"/>
        </w:rPr>
      </w:pPr>
      <w:r>
        <w:rPr>
          <w:highlight w:val="none"/>
        </w:rPr>
        <w:t>(1)质疑供应商和相关供应商的名称、地址、邮编、联系人及联系电话等；</w:t>
      </w:r>
    </w:p>
    <w:p>
      <w:pPr>
        <w:ind w:firstLine="480"/>
        <w:rPr>
          <w:highlight w:val="none"/>
        </w:rPr>
      </w:pPr>
      <w:r>
        <w:rPr>
          <w:highlight w:val="none"/>
        </w:rPr>
        <w:t>(2)质疑项目名称及编号、具体明确的质疑事项和与质疑事项相关的请求；</w:t>
      </w:r>
    </w:p>
    <w:p>
      <w:pPr>
        <w:ind w:firstLine="480"/>
        <w:rPr>
          <w:highlight w:val="none"/>
        </w:rPr>
      </w:pPr>
      <w:r>
        <w:rPr>
          <w:highlight w:val="none"/>
        </w:rPr>
        <w:t>(3)认为采购文件、采购过程、中标和成交结果使自己的合法权益受到损害的法律依据、事实依据、相关证明材料及证据来源；</w:t>
      </w:r>
    </w:p>
    <w:p>
      <w:pPr>
        <w:ind w:firstLine="480"/>
        <w:rPr>
          <w:highlight w:val="none"/>
        </w:rPr>
      </w:pPr>
      <w:r>
        <w:rPr>
          <w:highlight w:val="none"/>
        </w:rPr>
        <w:t>(4)提出质疑的日期。</w:t>
      </w:r>
    </w:p>
    <w:p>
      <w:pPr>
        <w:ind w:firstLine="480"/>
        <w:rPr>
          <w:highlight w:val="none"/>
        </w:rPr>
      </w:pPr>
      <w:r>
        <w:rPr>
          <w:highlight w:val="none"/>
        </w:rPr>
        <w:t>2</w:t>
      </w:r>
      <w:r>
        <w:rPr>
          <w:rFonts w:hint="eastAsia"/>
          <w:highlight w:val="none"/>
          <w:lang w:val="en-US" w:eastAsia="zh-CN"/>
        </w:rPr>
        <w:t>1</w:t>
      </w:r>
      <w:r>
        <w:rPr>
          <w:highlight w:val="none"/>
        </w:rPr>
        <w:t>.3 质疑函应当署名。质疑供应商为自然人的，应当由本人签字；质疑供应商为法人或者其他组织的，应当由法定代表人、主要负责人，或者其授权代表签字或者盖章，并加盖公章。</w:t>
      </w:r>
    </w:p>
    <w:p>
      <w:pPr>
        <w:ind w:firstLine="480"/>
        <w:rPr>
          <w:highlight w:val="none"/>
        </w:rPr>
      </w:pPr>
      <w:r>
        <w:rPr>
          <w:highlight w:val="none"/>
        </w:rPr>
        <w:t>2</w:t>
      </w:r>
      <w:r>
        <w:rPr>
          <w:rFonts w:hint="eastAsia"/>
          <w:highlight w:val="none"/>
          <w:lang w:val="en-US" w:eastAsia="zh-CN"/>
        </w:rPr>
        <w:t>1</w:t>
      </w:r>
      <w:r>
        <w:rPr>
          <w:highlight w:val="none"/>
        </w:rPr>
        <w:t>.4以联合体形式参加政府采购活动的，其质疑应当由联合体成员委托主体提出。</w:t>
      </w:r>
    </w:p>
    <w:p>
      <w:pPr>
        <w:ind w:firstLine="480"/>
        <w:rPr>
          <w:highlight w:val="none"/>
        </w:rPr>
      </w:pPr>
      <w:r>
        <w:rPr>
          <w:highlight w:val="none"/>
        </w:rPr>
        <w:t>2</w:t>
      </w:r>
      <w:r>
        <w:rPr>
          <w:rFonts w:hint="eastAsia"/>
          <w:highlight w:val="none"/>
          <w:lang w:val="en-US" w:eastAsia="zh-CN"/>
        </w:rPr>
        <w:t>1</w:t>
      </w:r>
      <w:r>
        <w:rPr>
          <w:highlight w:val="none"/>
        </w:rPr>
        <w:t>.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highlight w:val="none"/>
        </w:rPr>
      </w:pPr>
      <w:r>
        <w:rPr>
          <w:highlight w:val="none"/>
        </w:rPr>
        <w:t>2</w:t>
      </w:r>
      <w:r>
        <w:rPr>
          <w:rFonts w:hint="eastAsia"/>
          <w:highlight w:val="none"/>
          <w:lang w:val="en-US" w:eastAsia="zh-CN"/>
        </w:rPr>
        <w:t>1</w:t>
      </w:r>
      <w:r>
        <w:rPr>
          <w:highlight w:val="none"/>
        </w:rPr>
        <w:t>.6质疑联系方式如下：</w:t>
      </w:r>
    </w:p>
    <w:p>
      <w:pPr>
        <w:ind w:firstLine="480"/>
        <w:rPr>
          <w:highlight w:val="none"/>
        </w:rPr>
      </w:pPr>
      <w:r>
        <w:rPr>
          <w:highlight w:val="none"/>
        </w:rPr>
        <w:t>质疑联系人：叶先生</w:t>
      </w:r>
    </w:p>
    <w:p>
      <w:pPr>
        <w:ind w:firstLine="480"/>
        <w:rPr>
          <w:highlight w:val="none"/>
        </w:rPr>
      </w:pPr>
      <w:r>
        <w:rPr>
          <w:highlight w:val="none"/>
        </w:rPr>
        <w:t>电话：0769-21661806</w:t>
      </w:r>
    </w:p>
    <w:p>
      <w:pPr>
        <w:ind w:firstLine="480"/>
        <w:rPr>
          <w:highlight w:val="none"/>
        </w:rPr>
      </w:pPr>
      <w:r>
        <w:rPr>
          <w:highlight w:val="none"/>
        </w:rPr>
        <w:t>传真：0769-21661806</w:t>
      </w:r>
    </w:p>
    <w:p>
      <w:pPr>
        <w:ind w:firstLine="480"/>
        <w:rPr>
          <w:highlight w:val="none"/>
        </w:rPr>
      </w:pPr>
      <w:r>
        <w:rPr>
          <w:highlight w:val="none"/>
        </w:rPr>
        <w:t>邮箱：wjzbs@foxmail.com</w:t>
      </w:r>
    </w:p>
    <w:p>
      <w:pPr>
        <w:ind w:firstLine="480"/>
        <w:rPr>
          <w:highlight w:val="none"/>
        </w:rPr>
      </w:pPr>
      <w:r>
        <w:rPr>
          <w:highlight w:val="none"/>
        </w:rPr>
        <w:t>地址：广东省东莞市万江街道行政办事中心3号楼2楼办公室</w:t>
      </w:r>
    </w:p>
    <w:p>
      <w:pPr>
        <w:ind w:firstLine="480"/>
        <w:rPr>
          <w:highlight w:val="none"/>
        </w:rPr>
      </w:pPr>
      <w:r>
        <w:rPr>
          <w:highlight w:val="none"/>
        </w:rPr>
        <w:t>邮编：523000</w:t>
      </w:r>
    </w:p>
    <w:p>
      <w:pPr>
        <w:rPr>
          <w:highlight w:val="none"/>
        </w:rPr>
      </w:pPr>
      <w:r>
        <w:rPr>
          <w:rFonts w:hint="eastAsia"/>
          <w:b/>
          <w:sz w:val="24"/>
          <w:highlight w:val="none"/>
          <w:lang w:val="en-US" w:eastAsia="zh-CN"/>
        </w:rPr>
        <w:t>22</w:t>
      </w:r>
      <w:r>
        <w:rPr>
          <w:b/>
          <w:sz w:val="24"/>
          <w:highlight w:val="none"/>
        </w:rPr>
        <w:t>.投诉</w:t>
      </w:r>
    </w:p>
    <w:p>
      <w:pPr>
        <w:ind w:firstLine="480"/>
        <w:rPr>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pPr>
        <w:rPr>
          <w:rFonts w:hint="eastAsia"/>
          <w:highlight w:val="none"/>
        </w:rPr>
      </w:pPr>
      <w:r>
        <w:rPr>
          <w:rFonts w:hint="eastAsia"/>
          <w:highlight w:val="none"/>
        </w:rPr>
        <w:t>政府采购监督管理部门名称：东莞市财政局万江分局</w:t>
      </w:r>
    </w:p>
    <w:p>
      <w:pPr>
        <w:rPr>
          <w:rFonts w:hint="eastAsia"/>
          <w:highlight w:val="none"/>
        </w:rPr>
      </w:pPr>
      <w:r>
        <w:rPr>
          <w:rFonts w:hint="eastAsia"/>
          <w:highlight w:val="none"/>
        </w:rPr>
        <w:t>地  址：东莞市万江街道行政办事中心2号楼4楼办公室</w:t>
      </w:r>
    </w:p>
    <w:p>
      <w:pPr>
        <w:rPr>
          <w:rFonts w:hint="eastAsia"/>
          <w:highlight w:val="none"/>
        </w:rPr>
      </w:pPr>
      <w:r>
        <w:rPr>
          <w:rFonts w:hint="eastAsia"/>
          <w:highlight w:val="none"/>
        </w:rPr>
        <w:t>电  话：0769-22709778</w:t>
      </w:r>
    </w:p>
    <w:p>
      <w:pPr>
        <w:rPr>
          <w:rFonts w:hint="eastAsia"/>
          <w:highlight w:val="none"/>
        </w:rPr>
      </w:pPr>
      <w:r>
        <w:rPr>
          <w:rFonts w:hint="eastAsia"/>
          <w:highlight w:val="none"/>
        </w:rPr>
        <w:t>邮  编：523000</w:t>
      </w:r>
    </w:p>
    <w:p>
      <w:pPr>
        <w:rPr>
          <w:highlight w:val="none"/>
        </w:rPr>
      </w:pPr>
      <w:r>
        <w:rPr>
          <w:rFonts w:hint="eastAsia"/>
          <w:highlight w:val="none"/>
        </w:rPr>
        <w:t>传  真：-</w:t>
      </w:r>
    </w:p>
    <w:p>
      <w:pPr>
        <w:rPr>
          <w:highlight w:val="none"/>
        </w:rPr>
      </w:pPr>
      <w:r>
        <w:rPr>
          <w:b/>
          <w:sz w:val="28"/>
          <w:highlight w:val="none"/>
        </w:rPr>
        <w:t>八、合同签订和履行</w:t>
      </w:r>
    </w:p>
    <w:p>
      <w:pPr>
        <w:rPr>
          <w:highlight w:val="none"/>
        </w:rPr>
      </w:pPr>
      <w:r>
        <w:rPr>
          <w:rFonts w:hint="eastAsia"/>
          <w:b/>
          <w:sz w:val="24"/>
          <w:highlight w:val="none"/>
          <w:lang w:val="en-US" w:eastAsia="zh-CN"/>
        </w:rPr>
        <w:t>23</w:t>
      </w:r>
      <w:r>
        <w:rPr>
          <w:b/>
          <w:sz w:val="24"/>
          <w:highlight w:val="none"/>
        </w:rPr>
        <w:t>.合同签订</w:t>
      </w:r>
    </w:p>
    <w:p>
      <w:pPr>
        <w:ind w:firstLine="480"/>
        <w:rPr>
          <w:rFonts w:hint="eastAsia"/>
          <w:highlight w:val="none"/>
        </w:rPr>
      </w:pPr>
      <w:r>
        <w:rPr>
          <w:rFonts w:hint="eastAsia"/>
          <w:highlight w:val="none"/>
          <w:lang w:val="en-US" w:eastAsia="zh-CN"/>
        </w:rPr>
        <w:t>23.1</w:t>
      </w:r>
      <w:r>
        <w:rPr>
          <w:rFonts w:hint="eastAsia"/>
          <w:highlight w:val="none"/>
        </w:rPr>
        <w:t>采购人应当自中标通知书发出之日起30日内，按照招标文件和中标人投标文件的规定，与中标人签订书面合同。所签订的合同不得对招标文件确定的事项和中标人投标文件作实质性修改。</w:t>
      </w:r>
    </w:p>
    <w:p>
      <w:pPr>
        <w:ind w:firstLine="480"/>
        <w:rPr>
          <w:rFonts w:hint="eastAsia"/>
          <w:highlight w:val="none"/>
        </w:rPr>
      </w:pPr>
      <w:r>
        <w:rPr>
          <w:rFonts w:hint="eastAsia"/>
          <w:highlight w:val="none"/>
        </w:rPr>
        <w:t>采购人不得向中标人提出任何不合理的要求作为签订合同的条件。</w:t>
      </w:r>
    </w:p>
    <w:p>
      <w:pPr>
        <w:ind w:firstLine="480"/>
        <w:rPr>
          <w:rFonts w:hint="eastAsia"/>
          <w:highlight w:val="none"/>
        </w:rPr>
      </w:pPr>
      <w:r>
        <w:rPr>
          <w:rFonts w:hint="eastAsia"/>
          <w:highlight w:val="none"/>
          <w:lang w:val="en-US" w:eastAsia="zh-CN"/>
        </w:rPr>
        <w:t>23.</w:t>
      </w:r>
      <w:r>
        <w:rPr>
          <w:rFonts w:hint="eastAsia"/>
          <w:highlight w:val="none"/>
        </w:rPr>
        <w:t>2 采购人与中标人应当根据合同的约定依法履行合同义务。</w:t>
      </w:r>
    </w:p>
    <w:p>
      <w:pPr>
        <w:ind w:firstLine="480"/>
        <w:rPr>
          <w:highlight w:val="none"/>
        </w:rPr>
      </w:pPr>
      <w:r>
        <w:rPr>
          <w:rFonts w:hint="eastAsia"/>
          <w:highlight w:val="none"/>
        </w:rPr>
        <w:t>政府采购合同的履行、违约责任和解决争议的方法等适用《中华人民共和国合同法》。</w:t>
      </w:r>
    </w:p>
    <w:p>
      <w:pPr>
        <w:rPr>
          <w:highlight w:val="none"/>
        </w:rPr>
      </w:pPr>
      <w:r>
        <w:rPr>
          <w:b/>
          <w:sz w:val="24"/>
          <w:highlight w:val="none"/>
        </w:rPr>
        <w:t>2</w:t>
      </w:r>
      <w:r>
        <w:rPr>
          <w:rFonts w:hint="eastAsia"/>
          <w:b/>
          <w:sz w:val="24"/>
          <w:highlight w:val="none"/>
          <w:lang w:val="en-US" w:eastAsia="zh-CN"/>
        </w:rPr>
        <w:t>4</w:t>
      </w:r>
      <w:r>
        <w:rPr>
          <w:b/>
          <w:sz w:val="24"/>
          <w:highlight w:val="none"/>
        </w:rPr>
        <w:t>.合同的履行</w:t>
      </w:r>
    </w:p>
    <w:p>
      <w:pPr>
        <w:ind w:firstLine="480"/>
        <w:rPr>
          <w:highlight w:val="none"/>
        </w:rPr>
      </w:pPr>
      <w:r>
        <w:rPr>
          <w:highlight w:val="none"/>
        </w:rPr>
        <w:t>2</w:t>
      </w:r>
      <w:r>
        <w:rPr>
          <w:rFonts w:hint="eastAsia"/>
          <w:highlight w:val="none"/>
          <w:lang w:val="en-US" w:eastAsia="zh-CN"/>
        </w:rPr>
        <w:t>4</w:t>
      </w:r>
      <w:r>
        <w:rPr>
          <w:highlight w:val="none"/>
        </w:rPr>
        <w:t>.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highlight w:val="none"/>
        </w:rPr>
      </w:pPr>
      <w:r>
        <w:rPr>
          <w:highlight w:val="none"/>
        </w:rPr>
        <w:t>2</w:t>
      </w:r>
      <w:r>
        <w:rPr>
          <w:rFonts w:hint="eastAsia"/>
          <w:highlight w:val="none"/>
          <w:lang w:val="en-US" w:eastAsia="zh-CN"/>
        </w:rPr>
        <w:t>4</w:t>
      </w:r>
      <w:r>
        <w:rPr>
          <w:highlight w:val="none"/>
        </w:rPr>
        <w:t>.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rPr>
          <w:highlight w:val="none"/>
        </w:rPr>
      </w:pPr>
      <w:r>
        <w:rPr>
          <w:rFonts w:hint="eastAsia" w:ascii="仿宋" w:hAnsi="仿宋" w:eastAsia="仿宋" w:cs="仿宋"/>
          <w:b/>
          <w:bCs/>
          <w:sz w:val="24"/>
          <w:highlight w:val="none"/>
        </w:rPr>
        <w:t>附件：</w:t>
      </w:r>
      <w:r>
        <w:rPr>
          <w:highlight w:val="none"/>
        </w:rPr>
        <w:t>（以下格式文件由供应商根据需要选用）</w:t>
      </w:r>
    </w:p>
    <w:p>
      <w:pPr>
        <w:ind w:firstLine="480"/>
        <w:rPr>
          <w:highlight w:val="none"/>
        </w:rPr>
      </w:pPr>
    </w:p>
    <w:p>
      <w:pPr>
        <w:rPr>
          <w:highlight w:val="none"/>
        </w:rPr>
      </w:pPr>
      <w:r>
        <w:rPr>
          <w:rFonts w:hint="eastAsia" w:ascii="仿宋" w:hAnsi="仿宋" w:eastAsia="仿宋" w:cs="仿宋"/>
          <w:b/>
          <w:bCs/>
          <w:sz w:val="24"/>
          <w:highlight w:val="none"/>
        </w:rPr>
        <w:t>附件：</w:t>
      </w:r>
      <w:r>
        <w:rPr>
          <w:highlight w:val="none"/>
        </w:rPr>
        <w:t>（以下格式文件由供应商根据需要选用）</w:t>
      </w:r>
    </w:p>
    <w:p>
      <w:pPr>
        <w:ind w:firstLine="480"/>
        <w:rPr>
          <w:highlight w:val="none"/>
        </w:rPr>
      </w:pPr>
    </w:p>
    <w:p>
      <w:pPr>
        <w:jc w:val="center"/>
        <w:rPr>
          <w:highlight w:val="none"/>
        </w:rPr>
      </w:pPr>
      <w:r>
        <w:rPr>
          <w:b/>
          <w:sz w:val="24"/>
          <w:highlight w:val="none"/>
        </w:rPr>
        <w:t>政府采购投标（响应）担保函</w:t>
      </w:r>
    </w:p>
    <w:p>
      <w:pPr>
        <w:rPr>
          <w:highlight w:val="none"/>
        </w:rPr>
      </w:pPr>
      <w:r>
        <w:rPr>
          <w:highlight w:val="none"/>
        </w:rPr>
        <w:t>编号：【 】号</w:t>
      </w:r>
    </w:p>
    <w:p>
      <w:pPr>
        <w:ind w:firstLine="480"/>
        <w:rPr>
          <w:highlight w:val="none"/>
        </w:rPr>
      </w:pPr>
      <w:r>
        <w:rPr>
          <w:highlight w:val="none"/>
        </w:rPr>
        <w:t>（采购人）：</w:t>
      </w:r>
    </w:p>
    <w:p>
      <w:pPr>
        <w:ind w:firstLine="480"/>
        <w:rPr>
          <w:highlight w:val="none"/>
        </w:rPr>
      </w:pPr>
      <w:r>
        <w:rPr>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highlight w:val="none"/>
        </w:rPr>
      </w:pPr>
      <w:r>
        <w:rPr>
          <w:highlight w:val="none"/>
        </w:rPr>
        <w:t>一、保险责任的情形及保证金额</w:t>
      </w:r>
    </w:p>
    <w:p>
      <w:pPr>
        <w:ind w:firstLine="480"/>
        <w:rPr>
          <w:highlight w:val="none"/>
        </w:rPr>
      </w:pPr>
      <w:r>
        <w:rPr>
          <w:highlight w:val="none"/>
        </w:rPr>
        <w:t>（一）在投标（响应）人出现下列情形之一时，我方承担保险责任：</w:t>
      </w:r>
    </w:p>
    <w:p>
      <w:pPr>
        <w:ind w:firstLine="480"/>
        <w:rPr>
          <w:highlight w:val="none"/>
        </w:rPr>
      </w:pPr>
      <w:r>
        <w:rPr>
          <w:highlight w:val="none"/>
        </w:rPr>
        <w:t>1.中标（成交）后投标（响应）人无正当理由不与采购人签订《政府采购合同》；</w:t>
      </w:r>
    </w:p>
    <w:p>
      <w:pPr>
        <w:ind w:firstLine="480"/>
        <w:rPr>
          <w:highlight w:val="none"/>
        </w:rPr>
      </w:pPr>
      <w:r>
        <w:rPr>
          <w:highlight w:val="none"/>
        </w:rPr>
        <w:t>2.采购文件规定的投标（响应）人应当缴纳保证金的其他情形。</w:t>
      </w:r>
    </w:p>
    <w:p>
      <w:pPr>
        <w:ind w:firstLine="480"/>
        <w:rPr>
          <w:highlight w:val="none"/>
        </w:rPr>
      </w:pPr>
      <w:r>
        <w:rPr>
          <w:highlight w:val="none"/>
        </w:rPr>
        <w:t>（二）我方承担保险责任的最高金额为人民币__________元（大写）即本项目的投标（响应）保证金金额。</w:t>
      </w:r>
    </w:p>
    <w:p>
      <w:pPr>
        <w:ind w:firstLine="480"/>
        <w:rPr>
          <w:highlight w:val="none"/>
        </w:rPr>
      </w:pPr>
      <w:r>
        <w:rPr>
          <w:highlight w:val="none"/>
        </w:rPr>
        <w:t>二、保证的方式及保证期间</w:t>
      </w:r>
    </w:p>
    <w:p>
      <w:pPr>
        <w:ind w:firstLine="480"/>
        <w:rPr>
          <w:highlight w:val="none"/>
        </w:rPr>
      </w:pPr>
      <w:r>
        <w:rPr>
          <w:highlight w:val="none"/>
        </w:rPr>
        <w:t>我方保证的方式为：连带责任保证。</w:t>
      </w:r>
    </w:p>
    <w:p>
      <w:pPr>
        <w:ind w:firstLine="480"/>
        <w:rPr>
          <w:highlight w:val="none"/>
        </w:rPr>
      </w:pPr>
      <w:r>
        <w:rPr>
          <w:highlight w:val="none"/>
        </w:rPr>
        <w:t>我方的保证期间为：本保险凭证自__年__月__日起生效，有效期至开标日后的90天内。</w:t>
      </w:r>
    </w:p>
    <w:p>
      <w:pPr>
        <w:ind w:firstLine="480"/>
        <w:rPr>
          <w:highlight w:val="none"/>
        </w:rPr>
      </w:pPr>
      <w:r>
        <w:rPr>
          <w:highlight w:val="none"/>
        </w:rPr>
        <w:t>三、承担保证责任的程序</w:t>
      </w:r>
    </w:p>
    <w:p>
      <w:pPr>
        <w:ind w:firstLine="480"/>
        <w:rPr>
          <w:highlight w:val="none"/>
        </w:rPr>
      </w:pPr>
      <w:r>
        <w:rPr>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highlight w:val="none"/>
        </w:rPr>
      </w:pPr>
      <w:r>
        <w:rPr>
          <w:highlight w:val="none"/>
        </w:rPr>
        <w:t>2.我方在收到索赔通知及相关证明材料后，在15个工作日内进行审查，符合应承担保证责任情形的，我方按照你方的要求代投标（响应）人向你方支付相应的索赔款项。</w:t>
      </w:r>
    </w:p>
    <w:p>
      <w:pPr>
        <w:ind w:firstLine="480"/>
        <w:rPr>
          <w:highlight w:val="none"/>
        </w:rPr>
      </w:pPr>
      <w:r>
        <w:rPr>
          <w:highlight w:val="none"/>
        </w:rPr>
        <w:t>四、保证责任的终止</w:t>
      </w:r>
    </w:p>
    <w:p>
      <w:pPr>
        <w:ind w:firstLine="480"/>
        <w:rPr>
          <w:highlight w:val="none"/>
        </w:rPr>
      </w:pPr>
      <w:r>
        <w:rPr>
          <w:highlight w:val="none"/>
        </w:rPr>
        <w:t>1.保证期间届满，你方未向我方书面主张保证责任的，自保证期间届满次日起，我方保证责任自动终止。</w:t>
      </w:r>
    </w:p>
    <w:p>
      <w:pPr>
        <w:ind w:firstLine="480"/>
        <w:rPr>
          <w:highlight w:val="none"/>
        </w:rPr>
      </w:pPr>
      <w:r>
        <w:rPr>
          <w:highlight w:val="none"/>
        </w:rPr>
        <w:t>2.我方按照本保函向你方履行了保证责任后，自我方向你方支付款项（支付款项从我方账户划出）之日起，保证责任终止。</w:t>
      </w:r>
    </w:p>
    <w:p>
      <w:pPr>
        <w:ind w:firstLine="480"/>
        <w:rPr>
          <w:highlight w:val="none"/>
        </w:rPr>
      </w:pPr>
      <w:r>
        <w:rPr>
          <w:highlight w:val="none"/>
        </w:rPr>
        <w:t>3.按照法律法规的规定或出现我方保证责任终止的其它情形的，我方在本保函项下的保证责任终止。</w:t>
      </w:r>
    </w:p>
    <w:p>
      <w:pPr>
        <w:ind w:firstLine="480"/>
        <w:rPr>
          <w:highlight w:val="none"/>
        </w:rPr>
      </w:pPr>
      <w:r>
        <w:rPr>
          <w:highlight w:val="none"/>
        </w:rPr>
        <w:t>五、免责条款</w:t>
      </w:r>
    </w:p>
    <w:p>
      <w:pPr>
        <w:ind w:firstLine="480"/>
        <w:rPr>
          <w:highlight w:val="none"/>
        </w:rPr>
      </w:pPr>
      <w:r>
        <w:rPr>
          <w:highlight w:val="none"/>
        </w:rPr>
        <w:t>1.依照法律规定或你方与投标（响应）人的另行约定，全部或者部分免除投标（响应）人投标（响应）保证金义务时，我方亦免除相应的保证责任。</w:t>
      </w:r>
    </w:p>
    <w:p>
      <w:pPr>
        <w:ind w:firstLine="480"/>
        <w:rPr>
          <w:highlight w:val="none"/>
        </w:rPr>
      </w:pPr>
      <w:r>
        <w:rPr>
          <w:highlight w:val="none"/>
        </w:rPr>
        <w:t>2.因你方原因致使投标（响应）人发生本保函第一条第（一）款约定情形的，我方不承担保证责任。</w:t>
      </w:r>
    </w:p>
    <w:p>
      <w:pPr>
        <w:ind w:firstLine="480"/>
        <w:rPr>
          <w:highlight w:val="none"/>
        </w:rPr>
      </w:pPr>
      <w:r>
        <w:rPr>
          <w:highlight w:val="none"/>
        </w:rPr>
        <w:t>3.因不可抗力造成投标（响应）人发生本保函第一条约定情形的，我方不承担保证责任。</w:t>
      </w:r>
    </w:p>
    <w:p>
      <w:pPr>
        <w:ind w:firstLine="480"/>
        <w:rPr>
          <w:highlight w:val="none"/>
        </w:rPr>
      </w:pPr>
      <w:r>
        <w:rPr>
          <w:highlight w:val="none"/>
        </w:rPr>
        <w:t>4.你方或其他有权机关对采购文件进行任何澄清或修改，加重我方保证责任的，我方对加重部分不承担保证责任，但该澄清或修改经我方事先书面同意的除外。</w:t>
      </w:r>
    </w:p>
    <w:p>
      <w:pPr>
        <w:ind w:firstLine="480"/>
        <w:rPr>
          <w:highlight w:val="none"/>
        </w:rPr>
      </w:pPr>
      <w:r>
        <w:rPr>
          <w:highlight w:val="none"/>
        </w:rPr>
        <w:t>六、争议的解决</w:t>
      </w:r>
    </w:p>
    <w:p>
      <w:pPr>
        <w:ind w:firstLine="480"/>
        <w:rPr>
          <w:highlight w:val="none"/>
        </w:rPr>
      </w:pPr>
      <w:r>
        <w:rPr>
          <w:highlight w:val="none"/>
        </w:rPr>
        <w:t>因本保函发生的纠纷，由你我双方协商解决，协商不成的，通过诉讼程序解决，诉讼管辖地法院为 法院。</w:t>
      </w:r>
    </w:p>
    <w:p>
      <w:pPr>
        <w:ind w:firstLine="480"/>
        <w:rPr>
          <w:highlight w:val="none"/>
        </w:rPr>
      </w:pPr>
      <w:r>
        <w:rPr>
          <w:highlight w:val="none"/>
        </w:rPr>
        <w:t>七、保函的生效</w:t>
      </w:r>
    </w:p>
    <w:p>
      <w:pPr>
        <w:ind w:firstLine="480"/>
        <w:rPr>
          <w:highlight w:val="none"/>
        </w:rPr>
      </w:pPr>
      <w:r>
        <w:rPr>
          <w:highlight w:val="none"/>
        </w:rPr>
        <w:t>本保函自我方加盖公章之日起生效。</w:t>
      </w:r>
    </w:p>
    <w:p>
      <w:pPr>
        <w:ind w:firstLine="480"/>
        <w:rPr>
          <w:highlight w:val="none"/>
        </w:rPr>
      </w:pPr>
    </w:p>
    <w:p>
      <w:pPr>
        <w:rPr>
          <w:highlight w:val="none"/>
        </w:rPr>
      </w:pPr>
      <w:r>
        <w:rPr>
          <w:highlight w:val="none"/>
        </w:rPr>
        <w:t>保证人：_______（公章）_______</w:t>
      </w:r>
    </w:p>
    <w:p>
      <w:pPr>
        <w:rPr>
          <w:highlight w:val="none"/>
        </w:rPr>
      </w:pPr>
      <w:r>
        <w:rPr>
          <w:highlight w:val="none"/>
        </w:rPr>
        <w:t>联系人：____________________</w:t>
      </w:r>
    </w:p>
    <w:p>
      <w:pPr>
        <w:rPr>
          <w:highlight w:val="none"/>
        </w:rPr>
      </w:pPr>
      <w:r>
        <w:rPr>
          <w:highlight w:val="none"/>
        </w:rPr>
        <w:t>联系电话：____________________</w:t>
      </w:r>
    </w:p>
    <w:p>
      <w:pPr>
        <w:rPr>
          <w:highlight w:val="none"/>
        </w:rPr>
      </w:pPr>
      <w:r>
        <w:rPr>
          <w:highlight w:val="none"/>
        </w:rPr>
        <w:t>___年___月___日</w:t>
      </w:r>
    </w:p>
    <w:p>
      <w:pPr>
        <w:ind w:firstLine="480"/>
        <w:rPr>
          <w:highlight w:val="none"/>
        </w:rPr>
      </w:pPr>
    </w:p>
    <w:p>
      <w:pPr>
        <w:rPr>
          <w:highlight w:val="none"/>
        </w:rPr>
      </w:pPr>
      <w:r>
        <w:rPr>
          <w:highlight w:val="none"/>
        </w:rPr>
        <w:t xml:space="preserve"> </w:t>
      </w: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第四章 评标</w:t>
      </w:r>
    </w:p>
    <w:p>
      <w:pPr>
        <w:rPr>
          <w:highlight w:val="none"/>
        </w:rPr>
      </w:pPr>
      <w:r>
        <w:rPr>
          <w:b/>
          <w:sz w:val="28"/>
          <w:highlight w:val="none"/>
        </w:rPr>
        <w:t>一、评标要求</w:t>
      </w:r>
    </w:p>
    <w:p>
      <w:pPr>
        <w:rPr>
          <w:highlight w:val="none"/>
        </w:rPr>
      </w:pPr>
      <w:r>
        <w:rPr>
          <w:b/>
          <w:sz w:val="24"/>
          <w:highlight w:val="none"/>
        </w:rPr>
        <w:t>1.评标方法</w:t>
      </w:r>
    </w:p>
    <w:p>
      <w:pPr>
        <w:rPr>
          <w:highlight w:val="none"/>
        </w:rPr>
      </w:pPr>
      <w:r>
        <w:rPr>
          <w:highlight w:val="none"/>
        </w:rPr>
        <w:t>采购包1：综合评分法,是指投标文件满足招标文件全部实质性要求，且按照评审因素的量化指标评审得分最高的投标人为中标候选人的评标方法。（最低报价不是中标的唯一依据。）</w:t>
      </w:r>
    </w:p>
    <w:p>
      <w:pPr>
        <w:rPr>
          <w:highlight w:val="none"/>
        </w:rPr>
      </w:pPr>
    </w:p>
    <w:p>
      <w:pPr>
        <w:rPr>
          <w:highlight w:val="none"/>
        </w:rPr>
      </w:pPr>
      <w:r>
        <w:rPr>
          <w:b/>
          <w:sz w:val="24"/>
          <w:highlight w:val="none"/>
        </w:rPr>
        <w:t>2.评标原则</w:t>
      </w:r>
    </w:p>
    <w:p>
      <w:pPr>
        <w:ind w:firstLine="480"/>
        <w:rPr>
          <w:highlight w:val="none"/>
        </w:rPr>
      </w:pPr>
      <w:r>
        <w:rPr>
          <w:highlight w:val="none"/>
        </w:rPr>
        <w:t>2.1评标活动遵循公平、公正、科学和择优的原则，以招标文件和投标文件为评标的基本依据，并按照招标文件规定的评标方法和评标标准进行评标。</w:t>
      </w:r>
    </w:p>
    <w:p>
      <w:pPr>
        <w:ind w:firstLine="480"/>
        <w:rPr>
          <w:highlight w:val="none"/>
        </w:rPr>
      </w:pPr>
      <w:r>
        <w:rPr>
          <w:highlight w:val="none"/>
        </w:rPr>
        <w:t>2.2具体评标事项由评标委员会负责，并按招标文件的规定办法进行评审。</w:t>
      </w:r>
    </w:p>
    <w:p>
      <w:pPr>
        <w:ind w:firstLine="480"/>
        <w:rPr>
          <w:highlight w:val="none"/>
        </w:rPr>
      </w:pPr>
      <w:r>
        <w:rPr>
          <w:highlight w:val="none"/>
        </w:rPr>
        <w:t>2.3合格投标人不足须知前附表中约定的有效供应商家数的，不得评标。</w:t>
      </w:r>
    </w:p>
    <w:p>
      <w:pPr>
        <w:rPr>
          <w:highlight w:val="none"/>
        </w:rPr>
      </w:pPr>
      <w:r>
        <w:rPr>
          <w:b/>
          <w:sz w:val="24"/>
          <w:highlight w:val="none"/>
        </w:rPr>
        <w:t>3.评标委员会</w:t>
      </w:r>
    </w:p>
    <w:p>
      <w:pPr>
        <w:ind w:firstLine="480"/>
        <w:rPr>
          <w:highlight w:val="none"/>
        </w:rPr>
      </w:pPr>
      <w:r>
        <w:rPr>
          <w:highlight w:val="none"/>
        </w:rPr>
        <w:t>3.1评标委员会由采购人代表和评审专家组成，成员人数应当为5人及以上单数，其中评审专家不得少于成员总数的三分之二。</w:t>
      </w:r>
    </w:p>
    <w:p>
      <w:pPr>
        <w:ind w:firstLine="480"/>
        <w:rPr>
          <w:highlight w:val="none"/>
        </w:rPr>
      </w:pPr>
      <w:r>
        <w:rPr>
          <w:highlight w:val="none"/>
        </w:rPr>
        <w:t>3.2评标应遵守下列评标纪律：</w:t>
      </w:r>
    </w:p>
    <w:p>
      <w:pPr>
        <w:ind w:firstLine="480"/>
        <w:rPr>
          <w:highlight w:val="none"/>
        </w:rPr>
      </w:pPr>
      <w:r>
        <w:rPr>
          <w:highlight w:val="none"/>
        </w:rPr>
        <w:t>（1）评标情况不得私自外泄，有关信息由东莞市万江招投标服务所统一对外发布。</w:t>
      </w:r>
    </w:p>
    <w:p>
      <w:pPr>
        <w:ind w:firstLine="480"/>
        <w:rPr>
          <w:highlight w:val="none"/>
        </w:rPr>
      </w:pPr>
      <w:r>
        <w:rPr>
          <w:highlight w:val="none"/>
        </w:rPr>
        <w:t>（2）对东莞市万江招投标服务所或投标人提供的要求保密的资料，不得摘记翻印和外传。</w:t>
      </w:r>
    </w:p>
    <w:p>
      <w:pPr>
        <w:ind w:firstLine="480"/>
        <w:rPr>
          <w:highlight w:val="none"/>
        </w:rPr>
      </w:pPr>
      <w:r>
        <w:rPr>
          <w:highlight w:val="none"/>
        </w:rPr>
        <w:t>（3）不得收受投标供应商或有关人员的任何礼物，不得串联鼓动其他人袒护某投标人。若与投标人存在利害关系，则应主动声明并回避。</w:t>
      </w:r>
    </w:p>
    <w:p>
      <w:pPr>
        <w:ind w:firstLine="480"/>
        <w:rPr>
          <w:highlight w:val="none"/>
        </w:rPr>
      </w:pPr>
      <w:r>
        <w:rPr>
          <w:highlight w:val="none"/>
        </w:rPr>
        <w:t>（4）全体评委应按照招标文件规定进行评标，一切认定事项应查有实据且不得弄虚作假。</w:t>
      </w:r>
    </w:p>
    <w:p>
      <w:pPr>
        <w:ind w:firstLine="480"/>
        <w:rPr>
          <w:highlight w:val="none"/>
        </w:rPr>
      </w:pPr>
      <w:r>
        <w:rPr>
          <w:highlight w:val="none"/>
        </w:rPr>
        <w:t>（5）评标委员会各成员应当独立对每个投标人的投标文件进行评价，并对评价意见承担个人责任。评审过程中，不得发表倾向性言论。</w:t>
      </w:r>
    </w:p>
    <w:p>
      <w:pPr>
        <w:ind w:firstLine="480"/>
        <w:rPr>
          <w:highlight w:val="none"/>
        </w:rPr>
      </w:pPr>
      <w:r>
        <w:rPr>
          <w:highlight w:val="none"/>
        </w:rPr>
        <w:t>※对违反评标纪律的评委，将取消其评委资格，对评标工作造成严重损失者将予以通报批评乃至追究法律责任。</w:t>
      </w:r>
    </w:p>
    <w:p>
      <w:pPr>
        <w:rPr>
          <w:highlight w:val="none"/>
        </w:rPr>
      </w:pPr>
      <w:r>
        <w:rPr>
          <w:b/>
          <w:sz w:val="24"/>
          <w:highlight w:val="none"/>
        </w:rPr>
        <w:t>4.有下列情形之一的，视为投标人串通投标，其投标无效；</w:t>
      </w:r>
    </w:p>
    <w:p>
      <w:pPr>
        <w:ind w:firstLine="480"/>
        <w:rPr>
          <w:highlight w:val="none"/>
        </w:rPr>
      </w:pPr>
      <w:r>
        <w:rPr>
          <w:highlight w:val="none"/>
        </w:rPr>
        <w:t>4.1不同投标人的投标文件由同一单位或者个人编制；</w:t>
      </w:r>
    </w:p>
    <w:p>
      <w:pPr>
        <w:ind w:firstLine="480"/>
        <w:rPr>
          <w:highlight w:val="none"/>
        </w:rPr>
      </w:pPr>
      <w:r>
        <w:rPr>
          <w:highlight w:val="none"/>
        </w:rPr>
        <w:t>4.2不同投标人委托同一单位或者个人办理投标事宜；</w:t>
      </w:r>
    </w:p>
    <w:p>
      <w:pPr>
        <w:ind w:firstLine="480"/>
        <w:rPr>
          <w:highlight w:val="none"/>
        </w:rPr>
      </w:pPr>
      <w:r>
        <w:rPr>
          <w:highlight w:val="none"/>
        </w:rPr>
        <w:t>4.3不同投标人的投标文件载明的项目管理成员或者联系人员为同一人；</w:t>
      </w:r>
    </w:p>
    <w:p>
      <w:pPr>
        <w:ind w:firstLine="480"/>
        <w:rPr>
          <w:highlight w:val="none"/>
        </w:rPr>
      </w:pPr>
      <w:r>
        <w:rPr>
          <w:highlight w:val="none"/>
        </w:rPr>
        <w:t>4.4不同投标人的投标文件异常一致或者投标报价呈规律性差异；</w:t>
      </w:r>
    </w:p>
    <w:p>
      <w:pPr>
        <w:ind w:firstLine="480"/>
        <w:rPr>
          <w:highlight w:val="none"/>
        </w:rPr>
      </w:pPr>
      <w:r>
        <w:rPr>
          <w:highlight w:val="none"/>
        </w:rPr>
        <w:t>4.5不同投标人的投标文件相互混装；</w:t>
      </w:r>
    </w:p>
    <w:p>
      <w:pPr>
        <w:ind w:firstLine="480"/>
        <w:rPr>
          <w:highlight w:val="none"/>
        </w:rPr>
      </w:pPr>
      <w:r>
        <w:rPr>
          <w:highlight w:val="none"/>
        </w:rPr>
        <w:t>4.6不同投标人的投标保证金或购买电子保函支付款为从同一单位或个人的账户转出。</w:t>
      </w:r>
    </w:p>
    <w:p>
      <w:pPr>
        <w:ind w:firstLine="480"/>
        <w:rPr>
          <w:highlight w:val="none"/>
        </w:rPr>
      </w:pPr>
      <w:r>
        <w:rPr>
          <w:highlight w:val="none"/>
        </w:rPr>
        <w:t xml:space="preserve"> 说明：在评标过程中发现投标人有上述情形的，评标委员会应当认定其投标无效。同时，项目评审时被认定为串通投标的投标人不得参加该合同项下的采购活动。</w:t>
      </w:r>
    </w:p>
    <w:p>
      <w:pPr>
        <w:rPr>
          <w:highlight w:val="none"/>
        </w:rPr>
      </w:pPr>
      <w:r>
        <w:rPr>
          <w:b/>
          <w:sz w:val="24"/>
          <w:highlight w:val="none"/>
        </w:rPr>
        <w:t>5.投标无效的情形</w:t>
      </w:r>
    </w:p>
    <w:p>
      <w:pPr>
        <w:ind w:firstLine="480"/>
        <w:rPr>
          <w:highlight w:val="none"/>
        </w:rPr>
      </w:pPr>
      <w:r>
        <w:rPr>
          <w:highlight w:val="none"/>
        </w:rPr>
        <w:t>详见资格性审查、符合性审查和招标文件其他投标无效条款。</w:t>
      </w:r>
    </w:p>
    <w:p>
      <w:pPr>
        <w:rPr>
          <w:highlight w:val="none"/>
        </w:rPr>
      </w:pPr>
      <w:r>
        <w:rPr>
          <w:b/>
          <w:sz w:val="24"/>
          <w:highlight w:val="none"/>
        </w:rPr>
        <w:t>6.定标</w:t>
      </w:r>
    </w:p>
    <w:p>
      <w:pPr>
        <w:ind w:firstLine="480"/>
        <w:rPr>
          <w:highlight w:val="none"/>
        </w:rPr>
      </w:pPr>
      <w:r>
        <w:rPr>
          <w:highlight w:val="none"/>
        </w:rPr>
        <w:t>评标委员会按照招标文件确定的评标方法、步骤、标准，对投标文件进行评审。评标结束后，对投标人的评审名次进行排序，确定中标供应商或者推荐中标候选人。</w:t>
      </w:r>
    </w:p>
    <w:p>
      <w:pPr>
        <w:rPr>
          <w:highlight w:val="none"/>
        </w:rPr>
      </w:pPr>
      <w:r>
        <w:rPr>
          <w:b/>
          <w:sz w:val="24"/>
          <w:highlight w:val="none"/>
        </w:rPr>
        <w:t>7.价格修正</w:t>
      </w:r>
    </w:p>
    <w:p>
      <w:pPr>
        <w:ind w:firstLine="480"/>
        <w:rPr>
          <w:highlight w:val="none"/>
        </w:rPr>
      </w:pPr>
      <w:r>
        <w:rPr>
          <w:highlight w:val="none"/>
        </w:rPr>
        <w:t>对报价的计算错误按以下原则修正：</w:t>
      </w:r>
    </w:p>
    <w:p>
      <w:pPr>
        <w:ind w:firstLine="480"/>
        <w:rPr>
          <w:highlight w:val="none"/>
        </w:rPr>
      </w:pPr>
      <w:r>
        <w:rPr>
          <w:highlight w:val="none"/>
        </w:rPr>
        <w:t>（1）投标文件中开标一览表内容与投标文件中相应内容不一致的，以开标一览表为准；</w:t>
      </w:r>
    </w:p>
    <w:p>
      <w:pPr>
        <w:ind w:firstLine="480"/>
        <w:rPr>
          <w:highlight w:val="none"/>
        </w:rPr>
      </w:pPr>
      <w:r>
        <w:rPr>
          <w:highlight w:val="none"/>
        </w:rPr>
        <w:t>（2）大写金额和小写金额不一致的，以大写金额为准；</w:t>
      </w:r>
    </w:p>
    <w:p>
      <w:pPr>
        <w:ind w:firstLine="480"/>
        <w:rPr>
          <w:highlight w:val="none"/>
        </w:rPr>
      </w:pPr>
      <w:r>
        <w:rPr>
          <w:highlight w:val="none"/>
        </w:rPr>
        <w:t>（3）单价金额小数点或者百分比有明显错位的，以开标一览表的总价为准，并修改单价。</w:t>
      </w:r>
    </w:p>
    <w:p>
      <w:pPr>
        <w:ind w:firstLine="480"/>
        <w:rPr>
          <w:highlight w:val="none"/>
        </w:rPr>
      </w:pPr>
      <w:r>
        <w:rPr>
          <w:highlight w:val="none"/>
        </w:rPr>
        <w:t>（4）总价金额与按单价汇总金额不一致的，以单价金额计算结果为准。但是单价金额计算结果超过预算价的，对其按无效投标处理。</w:t>
      </w:r>
    </w:p>
    <w:p>
      <w:pPr>
        <w:ind w:firstLine="480"/>
        <w:rPr>
          <w:highlight w:val="none"/>
        </w:rPr>
      </w:pPr>
      <w:r>
        <w:rPr>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highlight w:val="none"/>
        </w:rPr>
      </w:pPr>
      <w:r>
        <w:rPr>
          <w:b/>
          <w:sz w:val="28"/>
          <w:highlight w:val="none"/>
        </w:rPr>
        <w:t>二.政府采购政策落实</w:t>
      </w:r>
    </w:p>
    <w:p>
      <w:pPr>
        <w:rPr>
          <w:highlight w:val="none"/>
        </w:rPr>
      </w:pPr>
      <w:r>
        <w:rPr>
          <w:b/>
          <w:sz w:val="24"/>
          <w:highlight w:val="none"/>
        </w:rPr>
        <w:t>1.节能、环保要求</w:t>
      </w:r>
    </w:p>
    <w:p>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highlight w:val="none"/>
        </w:rPr>
      </w:pPr>
      <w:r>
        <w:rPr>
          <w:highlight w:val="none"/>
        </w:rPr>
        <w:t>相关认证机构和获证产品信息以市场监管总局组织建立的节能产品、环境标志产品认证结果信息发布平台公布为准。</w:t>
      </w:r>
    </w:p>
    <w:p>
      <w:pPr>
        <w:rPr>
          <w:highlight w:val="none"/>
        </w:rPr>
      </w:pPr>
      <w:r>
        <w:rPr>
          <w:b/>
          <w:sz w:val="24"/>
          <w:highlight w:val="none"/>
        </w:rPr>
        <w:t>2.对小型、微型企业、监狱企业或残疾人福利性单位给予价格扣除</w:t>
      </w:r>
    </w:p>
    <w:p>
      <w:pPr>
        <w:ind w:firstLine="480"/>
        <w:rPr>
          <w:highlight w:val="none"/>
        </w:rPr>
      </w:pPr>
      <w:r>
        <w:rPr>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rFonts w:hint="eastAsia" w:eastAsiaTheme="minorEastAsia"/>
          <w:highlight w:val="none"/>
          <w:lang w:eastAsia="zh-CN"/>
        </w:rPr>
      </w:pPr>
      <w:r>
        <w:rPr>
          <w:b/>
          <w:sz w:val="24"/>
          <w:highlight w:val="none"/>
        </w:rPr>
        <w:t>3.价格扣除相关要求</w:t>
      </w:r>
    </w:p>
    <w:p>
      <w:pPr>
        <w:rPr>
          <w:highlight w:val="none"/>
        </w:rPr>
      </w:pPr>
      <w:r>
        <w:rPr>
          <w:highlight w:val="none"/>
        </w:rPr>
        <w:t>采购包1：</w:t>
      </w:r>
    </w:p>
    <w:tbl>
      <w:tblPr>
        <w:tblStyle w:val="14"/>
        <w:tblpPr w:leftFromText="180" w:rightFromText="180" w:vertAnchor="text" w:horzAnchor="page" w:tblpX="1782" w:tblpY="308"/>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rPr>
                <w:highlight w:val="none"/>
              </w:rPr>
            </w:pPr>
            <w:r>
              <w:rPr>
                <w:highlight w:val="none"/>
              </w:rPr>
              <w:t>序号</w:t>
            </w:r>
          </w:p>
        </w:tc>
        <w:tc>
          <w:tcPr>
            <w:tcW w:w="2160" w:type="dxa"/>
          </w:tcPr>
          <w:p>
            <w:pPr>
              <w:rPr>
                <w:highlight w:val="none"/>
              </w:rPr>
            </w:pPr>
            <w:r>
              <w:rPr>
                <w:highlight w:val="none"/>
              </w:rPr>
              <w:t>情形</w:t>
            </w:r>
          </w:p>
        </w:tc>
        <w:tc>
          <w:tcPr>
            <w:tcW w:w="2160" w:type="dxa"/>
          </w:tcPr>
          <w:p>
            <w:pPr>
              <w:rPr>
                <w:highlight w:val="none"/>
              </w:rPr>
            </w:pPr>
            <w:r>
              <w:rPr>
                <w:highlight w:val="none"/>
              </w:rPr>
              <w:t>适用对象</w:t>
            </w:r>
          </w:p>
        </w:tc>
        <w:tc>
          <w:tcPr>
            <w:tcW w:w="1246" w:type="dxa"/>
          </w:tcPr>
          <w:p>
            <w:pPr>
              <w:rPr>
                <w:highlight w:val="none"/>
              </w:rPr>
            </w:pPr>
            <w:r>
              <w:rPr>
                <w:highlight w:val="none"/>
              </w:rPr>
              <w:t>价格扣除比例</w:t>
            </w:r>
          </w:p>
        </w:tc>
        <w:tc>
          <w:tcPr>
            <w:tcW w:w="2160" w:type="dxa"/>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rPr>
                <w:highlight w:val="none"/>
              </w:rPr>
            </w:pPr>
            <w:r>
              <w:rPr>
                <w:highlight w:val="none"/>
              </w:rPr>
              <w:t>1</w:t>
            </w:r>
          </w:p>
        </w:tc>
        <w:tc>
          <w:tcPr>
            <w:tcW w:w="2160" w:type="dxa"/>
          </w:tcPr>
          <w:p>
            <w:pPr>
              <w:jc w:val="left"/>
              <w:rPr>
                <w:highlight w:val="none"/>
              </w:rPr>
            </w:pPr>
            <w:r>
              <w:rPr>
                <w:highlight w:val="none"/>
              </w:rPr>
              <w:t>小型、微型企业，监狱企业，残疾人福利性单位</w:t>
            </w:r>
          </w:p>
        </w:tc>
        <w:tc>
          <w:tcPr>
            <w:tcW w:w="2160" w:type="dxa"/>
          </w:tcPr>
          <w:p>
            <w:pPr>
              <w:rPr>
                <w:highlight w:val="none"/>
              </w:rPr>
            </w:pPr>
            <w:r>
              <w:rPr>
                <w:highlight w:val="none"/>
              </w:rPr>
              <w:t>投标（响应）产品均由小微企业生产且使用该小微企业商号或者注册商标</w:t>
            </w:r>
          </w:p>
        </w:tc>
        <w:tc>
          <w:tcPr>
            <w:tcW w:w="1246" w:type="dxa"/>
          </w:tcPr>
          <w:p>
            <w:pPr>
              <w:rPr>
                <w:highlight w:val="none"/>
              </w:rPr>
            </w:pPr>
            <w:r>
              <w:rPr>
                <w:rFonts w:hint="eastAsia"/>
                <w:highlight w:val="none"/>
              </w:rPr>
              <w:t>20</w:t>
            </w:r>
            <w:r>
              <w:rPr>
                <w:highlight w:val="none"/>
              </w:rPr>
              <w:t>%</w:t>
            </w:r>
          </w:p>
        </w:tc>
        <w:tc>
          <w:tcPr>
            <w:tcW w:w="2160" w:type="dxa"/>
          </w:tcPr>
          <w:p>
            <w:pPr>
              <w:jc w:val="left"/>
              <w:rPr>
                <w:highlight w:val="none"/>
              </w:rPr>
            </w:pPr>
            <w:r>
              <w:rPr>
                <w:highlight w:val="none"/>
              </w:rPr>
              <w:t>货物由小微企业制造，即货物由小微企业生产且使用该小微企业商号或者注册商标时，给予</w:t>
            </w:r>
            <w:r>
              <w:rPr>
                <w:rFonts w:hint="eastAsia"/>
                <w:highlight w:val="none"/>
              </w:rPr>
              <w:t>20</w:t>
            </w:r>
            <w:r>
              <w:rPr>
                <w:highlight w:val="none"/>
              </w:rPr>
              <w:t>%的价格扣除C1，即：评标价=核实价×（1-C1）;监狱企业与残疾人福利性单位视同小型、微型企业，享受同等价格扣除，当企业属性重复时，不重复价格扣除。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jc w:val="left"/>
              <w:rPr>
                <w:highlight w:val="none"/>
              </w:rPr>
            </w:pPr>
            <w:r>
              <w:rPr>
                <w:highlight w:val="none"/>
              </w:rPr>
              <w:t>注：（1）上述评标价仅用于计算价格评分，成交金额以实际投标（响应）价为准。</w:t>
            </w:r>
            <w:r>
              <w:rPr>
                <w:highlight w:val="none"/>
              </w:rPr>
              <w:tab/>
            </w:r>
            <w:r>
              <w:rPr>
                <w:highlight w:val="none"/>
              </w:rPr>
              <w:t>（2）组成联合体或者接受分包的小微企业与联合体内其他企业、分包企业之间存在直接控股、管理关系的，不享受价格扣除优惠政策。</w:t>
            </w:r>
          </w:p>
        </w:tc>
      </w:tr>
    </w:tbl>
    <w:p>
      <w:pPr>
        <w:ind w:firstLine="480"/>
        <w:rPr>
          <w:highlight w:val="none"/>
        </w:rPr>
      </w:pPr>
      <w:r>
        <w:rPr>
          <w:highlight w:val="none"/>
        </w:rPr>
        <w:t>（1）所称小型和微型企业应当符合以下条件：</w:t>
      </w:r>
    </w:p>
    <w:p>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highlight w:val="none"/>
        </w:rPr>
      </w:pPr>
      <w:r>
        <w:rPr>
          <w:highlight w:val="none"/>
        </w:rPr>
        <w:t>符合中小企业划分标准的个体工商户，在政府采购活动中视同中小企业。</w:t>
      </w:r>
    </w:p>
    <w:p>
      <w:pPr>
        <w:ind w:firstLine="480"/>
        <w:rPr>
          <w:highlight w:val="none"/>
        </w:rPr>
      </w:pPr>
      <w:r>
        <w:rPr>
          <w:highlight w:val="none"/>
        </w:rPr>
        <w:t>提供本企业（属于小微企业）制造的货物或者提供其他小型或微型企业制造的货物/提供本企业（属于小微企业）承接的服务。</w:t>
      </w:r>
    </w:p>
    <w:p>
      <w:pPr>
        <w:ind w:firstLine="480"/>
        <w:rPr>
          <w:highlight w:val="none"/>
        </w:rPr>
      </w:pPr>
      <w:r>
        <w:rPr>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highlight w:val="none"/>
        </w:rPr>
      </w:pPr>
      <w:r>
        <w:rPr>
          <w:highlight w:val="none"/>
        </w:rPr>
        <w:t>说明：投标人应当对其出具的《中小企业声明函》真实性负责，投标人出具的《中小企业声明函》内容不实的，属于提供虚假材料谋取中标。</w:t>
      </w:r>
    </w:p>
    <w:p>
      <w:pPr>
        <w:numPr>
          <w:ilvl w:val="0"/>
          <w:numId w:val="5"/>
        </w:numPr>
        <w:ind w:left="0" w:leftChars="0" w:firstLine="420" w:firstLineChars="200"/>
        <w:rPr>
          <w:highlight w:val="none"/>
        </w:rPr>
      </w:pPr>
      <w:r>
        <w:rPr>
          <w:highlight w:val="none"/>
        </w:rP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b/>
          <w:sz w:val="24"/>
          <w:highlight w:val="none"/>
        </w:rPr>
      </w:pPr>
      <w:r>
        <w:rPr>
          <w:rFonts w:hint="eastAsia"/>
          <w:b/>
          <w:sz w:val="24"/>
          <w:highlight w:val="none"/>
          <w:lang w:val="en-US" w:eastAsia="zh-CN"/>
        </w:rPr>
        <w:t>4.</w:t>
      </w:r>
      <w:r>
        <w:rPr>
          <w:rFonts w:hint="eastAsia"/>
          <w:b/>
          <w:sz w:val="24"/>
          <w:highlight w:val="none"/>
        </w:rPr>
        <w:t>专门面向中小企业的项目不再执行价格评审优惠的扶持政策。</w:t>
      </w:r>
    </w:p>
    <w:p>
      <w:pPr>
        <w:rPr>
          <w:highlight w:val="none"/>
        </w:rPr>
      </w:pPr>
      <w:r>
        <w:rPr>
          <w:b/>
          <w:sz w:val="28"/>
          <w:highlight w:val="none"/>
        </w:rPr>
        <w:t>三、评审程序</w:t>
      </w:r>
    </w:p>
    <w:p>
      <w:pPr>
        <w:rPr>
          <w:highlight w:val="none"/>
        </w:rPr>
      </w:pPr>
      <w:r>
        <w:rPr>
          <w:b/>
          <w:sz w:val="24"/>
          <w:highlight w:val="none"/>
        </w:rPr>
        <w:t>1.资格性审查和符合性审查</w:t>
      </w:r>
    </w:p>
    <w:p>
      <w:pPr>
        <w:ind w:firstLine="480"/>
        <w:rPr>
          <w:highlight w:val="none"/>
        </w:rPr>
      </w:pPr>
      <w:r>
        <w:rPr>
          <w:highlight w:val="none"/>
        </w:rPr>
        <w:t>资格性审查。公开招标采购项目开标结束后，采购人或采购代理机构应当依法对投标人的资格进行审查，以确定投标人是否具备投标资格。（详见后附表一资格性审查表）</w:t>
      </w:r>
    </w:p>
    <w:p>
      <w:pPr>
        <w:ind w:firstLine="480"/>
        <w:rPr>
          <w:highlight w:val="none"/>
        </w:rPr>
      </w:pPr>
      <w:r>
        <w:rPr>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highlight w:val="none"/>
        </w:rPr>
      </w:pPr>
      <w:r>
        <w:rPr>
          <w:highlight w:val="none"/>
        </w:rPr>
        <w:t>资格性审查和符合性审查中凡有其中任意一项未通过的，评审结果为未通过，未通过资格性审查、符合性审查的投标人按无效投标处理。</w:t>
      </w:r>
    </w:p>
    <w:p>
      <w:pPr>
        <w:ind w:firstLine="480"/>
        <w:rPr>
          <w:highlight w:val="none"/>
        </w:rPr>
      </w:pPr>
      <w:r>
        <w:rPr>
          <w:highlight w:val="none"/>
        </w:rPr>
        <w:t>对各投标人进行资格审查和符合性审查过程中，对初步被认定为无效投标者，由评标委员会组长或采购人代表将集体意见及时告知投标当事人。</w:t>
      </w:r>
    </w:p>
    <w:p>
      <w:pPr>
        <w:ind w:firstLine="480"/>
        <w:rPr>
          <w:highlight w:val="none"/>
        </w:rPr>
      </w:pPr>
      <w:r>
        <w:rPr>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highlight w:val="none"/>
        </w:rPr>
      </w:pPr>
      <w:r>
        <w:rPr>
          <w:highlight w:val="none"/>
        </w:rPr>
        <w:t>合格投标人不足3家的，不得评标。</w:t>
      </w:r>
    </w:p>
    <w:p>
      <w:pPr>
        <w:ind w:firstLine="480"/>
        <w:rPr>
          <w:highlight w:val="none"/>
        </w:rPr>
      </w:pPr>
      <w:r>
        <w:rPr>
          <w:highlight w:val="none"/>
        </w:rPr>
        <w:t>表一资格性审查表：</w:t>
      </w:r>
    </w:p>
    <w:p>
      <w:pPr>
        <w:rPr>
          <w:highlight w:val="none"/>
        </w:rPr>
      </w:pPr>
      <w:r>
        <w:rPr>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序号</w:t>
            </w:r>
          </w:p>
        </w:tc>
        <w:tc>
          <w:tcPr>
            <w:tcW w:w="7416" w:type="dxa"/>
            <w:gridSpan w:val="2"/>
          </w:tcPr>
          <w:p>
            <w:pPr>
              <w:rPr>
                <w:highlight w:val="none"/>
              </w:rPr>
            </w:pPr>
            <w:r>
              <w:rPr>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rPr>
                <w:highlight w:val="none"/>
              </w:rPr>
            </w:pPr>
            <w:r>
              <w:rPr>
                <w:highlight w:val="none"/>
              </w:rPr>
              <w:t>1</w:t>
            </w:r>
          </w:p>
        </w:tc>
        <w:tc>
          <w:tcPr>
            <w:tcW w:w="3178" w:type="dxa"/>
          </w:tcPr>
          <w:p>
            <w:pPr>
              <w:rPr>
                <w:highlight w:val="none"/>
              </w:rPr>
            </w:pPr>
            <w:r>
              <w:rPr>
                <w:highlight w:val="none"/>
              </w:rPr>
              <w:t>具有独立承担民事责任的能力</w:t>
            </w:r>
          </w:p>
        </w:tc>
        <w:tc>
          <w:tcPr>
            <w:tcW w:w="4238" w:type="dxa"/>
          </w:tcPr>
          <w:p>
            <w:pPr>
              <w:rPr>
                <w:highlight w:val="none"/>
              </w:rPr>
            </w:pPr>
            <w:r>
              <w:rPr>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2</w:t>
            </w:r>
          </w:p>
        </w:tc>
        <w:tc>
          <w:tcPr>
            <w:tcW w:w="3178" w:type="dxa"/>
          </w:tcPr>
          <w:p>
            <w:pPr>
              <w:rPr>
                <w:highlight w:val="none"/>
              </w:rPr>
            </w:pPr>
            <w:r>
              <w:rPr>
                <w:highlight w:val="none"/>
              </w:rPr>
              <w:t>有依法缴纳税收和社会保障资金的良好记录</w:t>
            </w:r>
          </w:p>
        </w:tc>
        <w:tc>
          <w:tcPr>
            <w:tcW w:w="4238" w:type="dxa"/>
          </w:tcPr>
          <w:p>
            <w:pPr>
              <w:rPr>
                <w:highlight w:val="none"/>
              </w:rPr>
            </w:pPr>
            <w:r>
              <w:rPr>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3</w:t>
            </w:r>
          </w:p>
        </w:tc>
        <w:tc>
          <w:tcPr>
            <w:tcW w:w="3178" w:type="dxa"/>
          </w:tcPr>
          <w:p>
            <w:pPr>
              <w:rPr>
                <w:highlight w:val="none"/>
              </w:rPr>
            </w:pPr>
            <w:r>
              <w:rPr>
                <w:highlight w:val="none"/>
              </w:rPr>
              <w:t>具有良好的商业信誉和健全的财务会计制度</w:t>
            </w:r>
          </w:p>
        </w:tc>
        <w:tc>
          <w:tcPr>
            <w:tcW w:w="4238" w:type="dxa"/>
          </w:tcPr>
          <w:p>
            <w:pPr>
              <w:rPr>
                <w:highlight w:val="none"/>
              </w:rPr>
            </w:pPr>
            <w:r>
              <w:rPr>
                <w:highlight w:val="none"/>
              </w:rPr>
              <w:t>供应商必须具有良好的商业信誉和健全的财务会计制度（提供2021年度财务状况报告或基本开户行出具的资信证明或专业担保机构出具的投标担保函）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4</w:t>
            </w:r>
          </w:p>
        </w:tc>
        <w:tc>
          <w:tcPr>
            <w:tcW w:w="3178" w:type="dxa"/>
          </w:tcPr>
          <w:p>
            <w:pPr>
              <w:rPr>
                <w:highlight w:val="none"/>
              </w:rPr>
            </w:pPr>
            <w:r>
              <w:rPr>
                <w:highlight w:val="none"/>
              </w:rPr>
              <w:t>履行合同所必需的设备和专业技术能力</w:t>
            </w:r>
          </w:p>
        </w:tc>
        <w:tc>
          <w:tcPr>
            <w:tcW w:w="4238" w:type="dxa"/>
          </w:tcPr>
          <w:p>
            <w:pPr>
              <w:rPr>
                <w:highlight w:val="none"/>
              </w:rPr>
            </w:pPr>
            <w:r>
              <w:rPr>
                <w:highlight w:val="none"/>
              </w:rPr>
              <w:t>按投标（响应）文件格式填报设备及专业技术能力情况，否则视为不符合。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5</w:t>
            </w:r>
          </w:p>
        </w:tc>
        <w:tc>
          <w:tcPr>
            <w:tcW w:w="3178" w:type="dxa"/>
          </w:tcPr>
          <w:p>
            <w:pPr>
              <w:rPr>
                <w:highlight w:val="none"/>
              </w:rPr>
            </w:pPr>
            <w:r>
              <w:rPr>
                <w:highlight w:val="none"/>
              </w:rPr>
              <w:t>参加采购活动前3年内，在经营活动中没有重大违法记录</w:t>
            </w:r>
          </w:p>
        </w:tc>
        <w:tc>
          <w:tcPr>
            <w:tcW w:w="4238" w:type="dxa"/>
          </w:tcPr>
          <w:p>
            <w:pPr>
              <w:rPr>
                <w:highlight w:val="none"/>
              </w:rPr>
            </w:pPr>
            <w:r>
              <w:rPr>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6</w:t>
            </w:r>
          </w:p>
        </w:tc>
        <w:tc>
          <w:tcPr>
            <w:tcW w:w="3178" w:type="dxa"/>
          </w:tcPr>
          <w:p>
            <w:pPr>
              <w:rPr>
                <w:highlight w:val="none"/>
              </w:rPr>
            </w:pPr>
            <w:r>
              <w:rPr>
                <w:highlight w:val="none"/>
              </w:rPr>
              <w:t>信用记录</w:t>
            </w:r>
          </w:p>
        </w:tc>
        <w:tc>
          <w:tcPr>
            <w:tcW w:w="4238" w:type="dxa"/>
          </w:tcPr>
          <w:p>
            <w:pPr>
              <w:rPr>
                <w:highlight w:val="none"/>
              </w:rPr>
            </w:pPr>
            <w:r>
              <w:rPr>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7</w:t>
            </w:r>
          </w:p>
        </w:tc>
        <w:tc>
          <w:tcPr>
            <w:tcW w:w="3178" w:type="dxa"/>
          </w:tcPr>
          <w:p>
            <w:pPr>
              <w:rPr>
                <w:highlight w:val="none"/>
              </w:rPr>
            </w:pPr>
            <w:r>
              <w:rPr>
                <w:highlight w:val="none"/>
              </w:rPr>
              <w:t>供应商必须符合法律、行政法规规定的其他条件</w:t>
            </w:r>
          </w:p>
        </w:tc>
        <w:tc>
          <w:tcPr>
            <w:tcW w:w="4238" w:type="dxa"/>
          </w:tcPr>
          <w:p>
            <w:pPr>
              <w:rPr>
                <w:highlight w:val="none"/>
              </w:rPr>
            </w:pPr>
            <w:r>
              <w:rPr>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8</w:t>
            </w:r>
          </w:p>
        </w:tc>
        <w:tc>
          <w:tcPr>
            <w:tcW w:w="3178" w:type="dxa"/>
            <w:vAlign w:val="top"/>
          </w:tcPr>
          <w:p>
            <w:pPr>
              <w:rPr>
                <w:rFonts w:hint="eastAsia" w:eastAsiaTheme="minorEastAsia"/>
                <w:highlight w:val="none"/>
                <w:lang w:eastAsia="zh-CN"/>
              </w:rPr>
            </w:pPr>
            <w:r>
              <w:rPr>
                <w:rFonts w:hint="eastAsia"/>
                <w:highlight w:val="none"/>
              </w:rPr>
              <w:t>促进中小企业发展</w:t>
            </w:r>
            <w:r>
              <w:rPr>
                <w:rFonts w:hint="eastAsia"/>
                <w:highlight w:val="none"/>
              </w:rPr>
              <w:tab/>
            </w:r>
          </w:p>
        </w:tc>
        <w:tc>
          <w:tcPr>
            <w:tcW w:w="4238" w:type="dxa"/>
            <w:vAlign w:val="top"/>
          </w:tcPr>
          <w:p>
            <w:pPr>
              <w:autoSpaceDE w:val="0"/>
              <w:autoSpaceDN w:val="0"/>
              <w:adjustRightInd w:val="0"/>
              <w:jc w:val="left"/>
              <w:rPr>
                <w:highlight w:val="none"/>
              </w:rPr>
            </w:pPr>
            <w:r>
              <w:rPr>
                <w:rFonts w:hint="eastAsia"/>
                <w:highlight w:val="none"/>
              </w:rPr>
              <w:t>采购包</w:t>
            </w:r>
            <w:r>
              <w:rPr>
                <w:rFonts w:hint="eastAsia"/>
                <w:highlight w:val="none"/>
                <w:lang w:eastAsia="zh-CN"/>
              </w:rPr>
              <w:t>不</w:t>
            </w:r>
            <w:r>
              <w:rPr>
                <w:rFonts w:hint="eastAsia"/>
                <w:highlight w:val="none"/>
              </w:rPr>
              <w:t>专门面向中小企业</w:t>
            </w:r>
          </w:p>
        </w:tc>
      </w:tr>
    </w:tbl>
    <w:p>
      <w:pPr>
        <w:rPr>
          <w:highlight w:val="none"/>
        </w:rPr>
      </w:pPr>
    </w:p>
    <w:p>
      <w:pPr>
        <w:ind w:firstLine="480"/>
        <w:rPr>
          <w:highlight w:val="none"/>
        </w:rPr>
      </w:pPr>
      <w:r>
        <w:rPr>
          <w:highlight w:val="none"/>
        </w:rPr>
        <w:t>表二符合性审查表：</w:t>
      </w:r>
    </w:p>
    <w:p>
      <w:pPr>
        <w:ind w:firstLine="480"/>
        <w:rPr>
          <w:highlight w:val="none"/>
        </w:rPr>
      </w:pPr>
    </w:p>
    <w:p>
      <w:pPr>
        <w:rPr>
          <w:highlight w:val="none"/>
        </w:rPr>
      </w:pPr>
    </w:p>
    <w:p>
      <w:pPr>
        <w:rPr>
          <w:highlight w:val="none"/>
        </w:rPr>
      </w:pPr>
      <w:r>
        <w:rPr>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序号</w:t>
            </w:r>
          </w:p>
        </w:tc>
        <w:tc>
          <w:tcPr>
            <w:tcW w:w="3178" w:type="dxa"/>
          </w:tcPr>
          <w:p>
            <w:pPr>
              <w:rPr>
                <w:highlight w:val="none"/>
              </w:rPr>
            </w:pPr>
            <w:r>
              <w:rPr>
                <w:highlight w:val="none"/>
              </w:rPr>
              <w:t>评审点要求概况</w:t>
            </w:r>
          </w:p>
        </w:tc>
        <w:tc>
          <w:tcPr>
            <w:tcW w:w="4238" w:type="dxa"/>
          </w:tcPr>
          <w:p>
            <w:pPr>
              <w:rPr>
                <w:highlight w:val="none"/>
              </w:rPr>
            </w:pPr>
            <w:r>
              <w:rPr>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1</w:t>
            </w:r>
          </w:p>
        </w:tc>
        <w:tc>
          <w:tcPr>
            <w:tcW w:w="3178" w:type="dxa"/>
          </w:tcPr>
          <w:p>
            <w:pPr>
              <w:rPr>
                <w:highlight w:val="none"/>
              </w:rPr>
            </w:pPr>
            <w:r>
              <w:rPr>
                <w:highlight w:val="none"/>
              </w:rPr>
              <w:t>未按照招标文件规定要求签署和盖章的</w:t>
            </w:r>
          </w:p>
        </w:tc>
        <w:tc>
          <w:tcPr>
            <w:tcW w:w="4238" w:type="dxa"/>
          </w:tcPr>
          <w:p>
            <w:pPr>
              <w:rPr>
                <w:highlight w:val="none"/>
              </w:rPr>
            </w:pPr>
            <w:r>
              <w:rPr>
                <w:highlight w:val="none"/>
              </w:rPr>
              <w:t>未按照招标文件规定要求签署和盖章的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2</w:t>
            </w:r>
          </w:p>
        </w:tc>
        <w:tc>
          <w:tcPr>
            <w:tcW w:w="3178" w:type="dxa"/>
          </w:tcPr>
          <w:p>
            <w:pPr>
              <w:rPr>
                <w:highlight w:val="none"/>
              </w:rPr>
            </w:pPr>
            <w:r>
              <w:rPr>
                <w:highlight w:val="none"/>
              </w:rPr>
              <w:t>报价不是固定价或者投标方案是可选择的</w:t>
            </w:r>
          </w:p>
        </w:tc>
        <w:tc>
          <w:tcPr>
            <w:tcW w:w="4238" w:type="dxa"/>
          </w:tcPr>
          <w:p>
            <w:pPr>
              <w:rPr>
                <w:highlight w:val="none"/>
              </w:rPr>
            </w:pPr>
            <w:r>
              <w:rPr>
                <w:highlight w:val="none"/>
              </w:rPr>
              <w:t>报价不是固定价或者投标方案是可选择的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3</w:t>
            </w:r>
          </w:p>
        </w:tc>
        <w:tc>
          <w:tcPr>
            <w:tcW w:w="3178" w:type="dxa"/>
          </w:tcPr>
          <w:p>
            <w:pPr>
              <w:rPr>
                <w:highlight w:val="none"/>
              </w:rPr>
            </w:pPr>
            <w:r>
              <w:rPr>
                <w:highlight w:val="none"/>
              </w:rPr>
              <w:t>报价超过招标文件中规定的预算金额的，或者分项、分包最高限价的</w:t>
            </w:r>
          </w:p>
        </w:tc>
        <w:tc>
          <w:tcPr>
            <w:tcW w:w="4238" w:type="dxa"/>
          </w:tcPr>
          <w:p>
            <w:pPr>
              <w:rPr>
                <w:highlight w:val="none"/>
              </w:rPr>
            </w:pPr>
            <w:r>
              <w:rPr>
                <w:highlight w:val="none"/>
              </w:rPr>
              <w:t>报价超过招标文件中规定的预算金额的，或者分项、分包最高限价的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4</w:t>
            </w:r>
          </w:p>
        </w:tc>
        <w:tc>
          <w:tcPr>
            <w:tcW w:w="3178" w:type="dxa"/>
          </w:tcPr>
          <w:p>
            <w:pPr>
              <w:rPr>
                <w:highlight w:val="none"/>
              </w:rPr>
            </w:pPr>
            <w:r>
              <w:rPr>
                <w:highlight w:val="none"/>
              </w:rPr>
              <w:t>不满足招标文件用户需求中的带“★”要求的</w:t>
            </w:r>
          </w:p>
        </w:tc>
        <w:tc>
          <w:tcPr>
            <w:tcW w:w="4238" w:type="dxa"/>
          </w:tcPr>
          <w:p>
            <w:pPr>
              <w:rPr>
                <w:highlight w:val="none"/>
              </w:rPr>
            </w:pPr>
            <w:r>
              <w:rPr>
                <w:highlight w:val="none"/>
              </w:rPr>
              <w:t>不满足招标文件用户需求中的带“★”要求的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5</w:t>
            </w:r>
          </w:p>
        </w:tc>
        <w:tc>
          <w:tcPr>
            <w:tcW w:w="3178" w:type="dxa"/>
          </w:tcPr>
          <w:p>
            <w:pPr>
              <w:rPr>
                <w:highlight w:val="none"/>
              </w:rPr>
            </w:pPr>
            <w:r>
              <w:rPr>
                <w:highlight w:val="none"/>
              </w:rPr>
              <w:t>投标文件含有采购人不能接受的附加条件的</w:t>
            </w:r>
          </w:p>
        </w:tc>
        <w:tc>
          <w:tcPr>
            <w:tcW w:w="4238" w:type="dxa"/>
          </w:tcPr>
          <w:p>
            <w:pPr>
              <w:rPr>
                <w:highlight w:val="none"/>
              </w:rPr>
            </w:pPr>
            <w:r>
              <w:rPr>
                <w:highlight w:val="none"/>
              </w:rPr>
              <w:t>投标文件含有采购人不能接受的附加条件的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highlight w:val="none"/>
              </w:rPr>
              <w:t>6</w:t>
            </w:r>
          </w:p>
        </w:tc>
        <w:tc>
          <w:tcPr>
            <w:tcW w:w="3178" w:type="dxa"/>
          </w:tcPr>
          <w:p>
            <w:pPr>
              <w:rPr>
                <w:highlight w:val="none"/>
              </w:rPr>
            </w:pPr>
            <w:r>
              <w:rPr>
                <w:highlight w:val="none"/>
              </w:rPr>
              <w:t>属于法律、法规及招标文件规定的其他无效情形的</w:t>
            </w:r>
          </w:p>
        </w:tc>
        <w:tc>
          <w:tcPr>
            <w:tcW w:w="4238" w:type="dxa"/>
          </w:tcPr>
          <w:p>
            <w:pPr>
              <w:rPr>
                <w:highlight w:val="none"/>
              </w:rPr>
            </w:pPr>
            <w:r>
              <w:rPr>
                <w:highlight w:val="none"/>
              </w:rPr>
              <w:t>属于法律、法规及招标文件规定的其他无效情形的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rFonts w:hint="eastAsia"/>
                <w:highlight w:val="none"/>
              </w:rPr>
              <w:t>7</w:t>
            </w:r>
          </w:p>
        </w:tc>
        <w:tc>
          <w:tcPr>
            <w:tcW w:w="3178" w:type="dxa"/>
          </w:tcPr>
          <w:p>
            <w:pPr>
              <w:spacing w:line="480" w:lineRule="exact"/>
              <w:rPr>
                <w:highlight w:val="none"/>
              </w:rPr>
            </w:pPr>
            <w:r>
              <w:rPr>
                <w:rFonts w:hint="eastAsia"/>
                <w:highlight w:val="none"/>
              </w:rPr>
              <w:t>提交投标文件数量不足的</w:t>
            </w:r>
          </w:p>
        </w:tc>
        <w:tc>
          <w:tcPr>
            <w:tcW w:w="4238" w:type="dxa"/>
          </w:tcPr>
          <w:p>
            <w:pPr>
              <w:spacing w:line="480" w:lineRule="exact"/>
              <w:rPr>
                <w:highlight w:val="none"/>
              </w:rPr>
            </w:pPr>
            <w:r>
              <w:rPr>
                <w:rFonts w:hint="eastAsia"/>
                <w:highlight w:val="none"/>
              </w:rPr>
              <w:t>提交投标文件数量不足的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highlight w:val="none"/>
              </w:rPr>
            </w:pPr>
            <w:r>
              <w:rPr>
                <w:rFonts w:hint="eastAsia"/>
                <w:highlight w:val="none"/>
              </w:rPr>
              <w:t>8</w:t>
            </w:r>
          </w:p>
        </w:tc>
        <w:tc>
          <w:tcPr>
            <w:tcW w:w="3178" w:type="dxa"/>
          </w:tcPr>
          <w:p>
            <w:pPr>
              <w:spacing w:line="480" w:lineRule="exact"/>
              <w:rPr>
                <w:highlight w:val="none"/>
              </w:rPr>
            </w:pPr>
            <w:r>
              <w:rPr>
                <w:rFonts w:hint="eastAsia"/>
                <w:highlight w:val="none"/>
              </w:rPr>
              <w:t>投标有效期不足的</w:t>
            </w:r>
          </w:p>
        </w:tc>
        <w:tc>
          <w:tcPr>
            <w:tcW w:w="4238" w:type="dxa"/>
          </w:tcPr>
          <w:p>
            <w:pPr>
              <w:spacing w:line="480" w:lineRule="exact"/>
              <w:rPr>
                <w:highlight w:val="none"/>
              </w:rPr>
            </w:pPr>
            <w:r>
              <w:rPr>
                <w:rFonts w:hint="eastAsia"/>
                <w:highlight w:val="none"/>
              </w:rPr>
              <w:t>投标有效期不足的</w:t>
            </w:r>
          </w:p>
        </w:tc>
      </w:tr>
    </w:tbl>
    <w:p>
      <w:pPr>
        <w:rPr>
          <w:highlight w:val="none"/>
        </w:rPr>
      </w:pPr>
    </w:p>
    <w:p>
      <w:pPr>
        <w:rPr>
          <w:highlight w:val="none"/>
        </w:rPr>
      </w:pPr>
      <w:r>
        <w:rPr>
          <w:b/>
          <w:sz w:val="24"/>
          <w:highlight w:val="none"/>
        </w:rPr>
        <w:t>2.投标文件澄清</w:t>
      </w:r>
    </w:p>
    <w:p>
      <w:pPr>
        <w:ind w:firstLine="480"/>
        <w:rPr>
          <w:highlight w:val="none"/>
        </w:rPr>
      </w:pPr>
      <w:r>
        <w:rPr>
          <w:highlight w:val="none"/>
        </w:rPr>
        <w:t>2.1对于投标文件中含义不明确、同类问题表述不一致或者有明显文字和计算错误的内容，评标委员会可在评审过程中要求投标人针对价格或内容做出必要的澄清、说明或补正。代理机构可根据开标环节记录的授权代表人联系方式发送短信提醒或电话告知。</w:t>
      </w:r>
    </w:p>
    <w:p>
      <w:pPr>
        <w:ind w:firstLine="480"/>
        <w:rPr>
          <w:highlight w:val="none"/>
        </w:rPr>
      </w:pPr>
      <w:r>
        <w:rPr>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highlight w:val="none"/>
        </w:rPr>
      </w:pPr>
      <w:r>
        <w:rPr>
          <w:highlight w:val="none"/>
        </w:rPr>
        <w:t>2.2评标委员会不接受投标人主动提出的澄清、说明或补正。</w:t>
      </w:r>
    </w:p>
    <w:p>
      <w:pPr>
        <w:ind w:firstLine="480"/>
        <w:rPr>
          <w:highlight w:val="none"/>
        </w:rPr>
      </w:pPr>
      <w:r>
        <w:rPr>
          <w:highlight w:val="none"/>
        </w:rPr>
        <w:t>2.3评标委员会对投标人提交的澄清、说明或补正有疑问的，可以要求投标人进一步澄清、说明或补正。</w:t>
      </w:r>
    </w:p>
    <w:p>
      <w:pPr>
        <w:rPr>
          <w:highlight w:val="none"/>
        </w:rPr>
      </w:pPr>
      <w:r>
        <w:rPr>
          <w:b/>
          <w:sz w:val="24"/>
          <w:highlight w:val="none"/>
        </w:rPr>
        <w:t>3.详细评审</w:t>
      </w:r>
    </w:p>
    <w:p>
      <w:pPr>
        <w:rPr>
          <w:highlight w:val="none"/>
        </w:rPr>
      </w:pPr>
      <w:r>
        <w:rPr>
          <w:highlight w:val="none"/>
        </w:rPr>
        <w:t>采购包1</w:t>
      </w:r>
    </w:p>
    <w:tbl>
      <w:tblPr>
        <w:tblStyle w:val="33"/>
        <w:tblW w:w="8322" w:type="dxa"/>
        <w:jc w:val="center"/>
        <w:tblBorders>
          <w:top w:val="single" w:color="7D7D7D" w:sz="12" w:space="0"/>
          <w:left w:val="single" w:color="7D7D7D" w:sz="12" w:space="0"/>
          <w:bottom w:val="single" w:color="7D7D7D" w:sz="12" w:space="0"/>
          <w:right w:val="single" w:color="7D7D7D" w:sz="12" w:space="0"/>
          <w:insideH w:val="single" w:color="7D7D7D" w:sz="12" w:space="0"/>
          <w:insideV w:val="single" w:color="7D7D7D" w:sz="12" w:space="0"/>
        </w:tblBorders>
        <w:tblLayout w:type="fixed"/>
        <w:tblCellMar>
          <w:top w:w="0" w:type="dxa"/>
          <w:left w:w="0" w:type="dxa"/>
          <w:bottom w:w="0" w:type="dxa"/>
          <w:right w:w="0" w:type="dxa"/>
        </w:tblCellMar>
      </w:tblPr>
      <w:tblGrid>
        <w:gridCol w:w="1036"/>
        <w:gridCol w:w="1809"/>
        <w:gridCol w:w="5477"/>
      </w:tblGrid>
      <w:tr>
        <w:tblPrEx>
          <w:tblBorders>
            <w:top w:val="single" w:color="7D7D7D" w:sz="12" w:space="0"/>
            <w:left w:val="single" w:color="7D7D7D" w:sz="12" w:space="0"/>
            <w:bottom w:val="single" w:color="7D7D7D" w:sz="12" w:space="0"/>
            <w:right w:val="single" w:color="7D7D7D" w:sz="12" w:space="0"/>
            <w:insideH w:val="single" w:color="7D7D7D" w:sz="12" w:space="0"/>
            <w:insideV w:val="single" w:color="7D7D7D" w:sz="12" w:space="0"/>
          </w:tblBorders>
          <w:tblCellMar>
            <w:top w:w="0" w:type="dxa"/>
            <w:left w:w="0" w:type="dxa"/>
            <w:bottom w:w="0" w:type="dxa"/>
            <w:right w:w="0" w:type="dxa"/>
          </w:tblCellMar>
        </w:tblPrEx>
        <w:trPr>
          <w:trHeight w:val="596" w:hRule="atLeast"/>
          <w:jc w:val="center"/>
        </w:trPr>
        <w:tc>
          <w:tcPr>
            <w:tcW w:w="2845" w:type="dxa"/>
            <w:gridSpan w:val="2"/>
            <w:tcBorders>
              <w:left w:val="single" w:color="D1D1D1" w:sz="6" w:space="0"/>
              <w:bottom w:val="single" w:color="D1D1D1" w:sz="6" w:space="0"/>
              <w:right w:val="single" w:color="D1D1D1" w:sz="6" w:space="0"/>
            </w:tcBorders>
            <w:shd w:val="clear" w:color="auto" w:fill="ECEFF2"/>
            <w:vAlign w:val="center"/>
          </w:tcPr>
          <w:p>
            <w:pPr>
              <w:pStyle w:val="23"/>
              <w:spacing w:before="5"/>
              <w:rPr>
                <w:b/>
                <w:sz w:val="13"/>
                <w:szCs w:val="24"/>
                <w:highlight w:val="none"/>
              </w:rPr>
            </w:pPr>
          </w:p>
          <w:p>
            <w:pPr>
              <w:pStyle w:val="23"/>
              <w:ind w:left="1551" w:right="1559"/>
              <w:jc w:val="both"/>
              <w:rPr>
                <w:b/>
                <w:sz w:val="16"/>
                <w:szCs w:val="24"/>
                <w:highlight w:val="none"/>
              </w:rPr>
            </w:pPr>
            <w:r>
              <w:rPr>
                <w:b/>
                <w:color w:val="212121"/>
                <w:w w:val="105"/>
                <w:sz w:val="16"/>
                <w:szCs w:val="24"/>
                <w:highlight w:val="none"/>
              </w:rPr>
              <w:t>评审因</w:t>
            </w:r>
            <w:r>
              <w:rPr>
                <w:rFonts w:hint="eastAsia"/>
                <w:b/>
                <w:color w:val="212121"/>
                <w:w w:val="105"/>
                <w:sz w:val="16"/>
                <w:szCs w:val="24"/>
                <w:highlight w:val="none"/>
              </w:rPr>
              <w:t>素</w:t>
            </w:r>
          </w:p>
        </w:tc>
        <w:tc>
          <w:tcPr>
            <w:tcW w:w="5477" w:type="dxa"/>
            <w:tcBorders>
              <w:top w:val="single" w:color="D1D1D1" w:sz="12" w:space="0"/>
              <w:left w:val="single" w:color="D1D1D1" w:sz="6" w:space="0"/>
              <w:bottom w:val="single" w:color="D1D1D1" w:sz="6" w:space="0"/>
              <w:right w:val="single" w:color="D1D1D1" w:sz="6" w:space="0"/>
            </w:tcBorders>
            <w:shd w:val="clear" w:color="auto" w:fill="ECEFF2"/>
            <w:vAlign w:val="center"/>
          </w:tcPr>
          <w:p>
            <w:pPr>
              <w:pStyle w:val="23"/>
              <w:spacing w:before="5"/>
              <w:rPr>
                <w:b/>
                <w:sz w:val="13"/>
                <w:szCs w:val="24"/>
                <w:highlight w:val="none"/>
              </w:rPr>
            </w:pPr>
          </w:p>
          <w:p>
            <w:pPr>
              <w:pStyle w:val="23"/>
              <w:ind w:left="3080" w:right="3087"/>
              <w:jc w:val="center"/>
              <w:rPr>
                <w:b/>
                <w:sz w:val="16"/>
                <w:szCs w:val="24"/>
                <w:highlight w:val="none"/>
              </w:rPr>
            </w:pPr>
            <w:r>
              <w:rPr>
                <w:b/>
                <w:color w:val="212121"/>
                <w:w w:val="105"/>
                <w:sz w:val="16"/>
                <w:szCs w:val="24"/>
                <w:highlight w:val="none"/>
              </w:rPr>
              <w:t>评分标准</w:t>
            </w:r>
          </w:p>
        </w:tc>
      </w:tr>
      <w:tr>
        <w:tblPrEx>
          <w:tblBorders>
            <w:top w:val="single" w:color="7D7D7D" w:sz="12" w:space="0"/>
            <w:left w:val="single" w:color="7D7D7D" w:sz="12" w:space="0"/>
            <w:bottom w:val="single" w:color="7D7D7D" w:sz="12" w:space="0"/>
            <w:right w:val="single" w:color="7D7D7D" w:sz="12" w:space="0"/>
            <w:insideH w:val="single" w:color="7D7D7D" w:sz="12" w:space="0"/>
            <w:insideV w:val="single" w:color="7D7D7D" w:sz="12" w:space="0"/>
          </w:tblBorders>
          <w:tblCellMar>
            <w:top w:w="0" w:type="dxa"/>
            <w:left w:w="0" w:type="dxa"/>
            <w:bottom w:w="0" w:type="dxa"/>
            <w:right w:w="0" w:type="dxa"/>
          </w:tblCellMar>
        </w:tblPrEx>
        <w:trPr>
          <w:trHeight w:val="1368" w:hRule="atLeast"/>
          <w:jc w:val="center"/>
        </w:trPr>
        <w:tc>
          <w:tcPr>
            <w:tcW w:w="2845" w:type="dxa"/>
            <w:gridSpan w:val="2"/>
            <w:tcBorders>
              <w:top w:val="single" w:color="D1D1D1" w:sz="6" w:space="0"/>
              <w:left w:val="single" w:color="D1D1D1" w:sz="6" w:space="0"/>
              <w:bottom w:val="single" w:color="D1D1D1" w:sz="6" w:space="0"/>
              <w:right w:val="single" w:color="D1D1D1" w:sz="6" w:space="0"/>
            </w:tcBorders>
            <w:shd w:val="clear" w:color="auto" w:fill="ECEFF2"/>
          </w:tcPr>
          <w:p>
            <w:pPr>
              <w:pStyle w:val="23"/>
              <w:spacing w:before="10"/>
              <w:rPr>
                <w:b/>
                <w:sz w:val="18"/>
                <w:szCs w:val="24"/>
                <w:highlight w:val="none"/>
              </w:rPr>
            </w:pPr>
          </w:p>
          <w:p>
            <w:pPr>
              <w:pStyle w:val="23"/>
              <w:ind w:left="1551" w:right="1559"/>
              <w:jc w:val="center"/>
              <w:rPr>
                <w:b/>
                <w:sz w:val="16"/>
                <w:szCs w:val="24"/>
                <w:highlight w:val="none"/>
              </w:rPr>
            </w:pPr>
            <w:r>
              <w:rPr>
                <w:b/>
                <w:color w:val="212121"/>
                <w:w w:val="105"/>
                <w:sz w:val="16"/>
                <w:szCs w:val="24"/>
                <w:highlight w:val="none"/>
              </w:rPr>
              <w:t>分值构成</w:t>
            </w:r>
          </w:p>
        </w:tc>
        <w:tc>
          <w:tcPr>
            <w:tcW w:w="5477" w:type="dxa"/>
            <w:tcBorders>
              <w:top w:val="single" w:color="D1D1D1" w:sz="6" w:space="0"/>
              <w:left w:val="single" w:color="D1D1D1" w:sz="6" w:space="0"/>
              <w:bottom w:val="single" w:color="D1D1D1" w:sz="6" w:space="0"/>
              <w:right w:val="single" w:color="D1D1D1" w:sz="6" w:space="0"/>
            </w:tcBorders>
          </w:tcPr>
          <w:p>
            <w:pPr>
              <w:pStyle w:val="23"/>
              <w:ind w:left="126"/>
              <w:rPr>
                <w:color w:val="212121"/>
                <w:spacing w:val="1"/>
                <w:w w:val="131"/>
                <w:sz w:val="16"/>
                <w:szCs w:val="24"/>
                <w:highlight w:val="none"/>
              </w:rPr>
            </w:pPr>
          </w:p>
          <w:p>
            <w:pPr>
              <w:pStyle w:val="23"/>
              <w:ind w:left="126"/>
              <w:rPr>
                <w:b/>
                <w:sz w:val="18"/>
                <w:szCs w:val="24"/>
                <w:highlight w:val="none"/>
              </w:rPr>
            </w:pPr>
            <w:r>
              <w:rPr>
                <w:color w:val="212121"/>
                <w:spacing w:val="1"/>
                <w:w w:val="131"/>
                <w:sz w:val="16"/>
                <w:szCs w:val="24"/>
                <w:highlight w:val="none"/>
              </w:rPr>
              <w:t>1</w:t>
            </w:r>
            <w:r>
              <w:rPr>
                <w:color w:val="212121"/>
                <w:w w:val="103"/>
                <w:sz w:val="16"/>
                <w:szCs w:val="24"/>
                <w:highlight w:val="none"/>
              </w:rPr>
              <w:t>、报价得分</w:t>
            </w:r>
            <w:r>
              <w:rPr>
                <w:rFonts w:hint="eastAsia"/>
                <w:color w:val="212121"/>
                <w:w w:val="103"/>
                <w:sz w:val="16"/>
                <w:szCs w:val="24"/>
                <w:highlight w:val="none"/>
                <w:u w:val="single"/>
              </w:rPr>
              <w:t xml:space="preserve">  30   </w:t>
            </w:r>
            <w:r>
              <w:rPr>
                <w:color w:val="212121"/>
                <w:w w:val="103"/>
                <w:sz w:val="16"/>
                <w:szCs w:val="24"/>
                <w:highlight w:val="none"/>
              </w:rPr>
              <w:t>分</w:t>
            </w:r>
            <w:r>
              <w:rPr>
                <w:rFonts w:hint="eastAsia"/>
                <w:color w:val="212121"/>
                <w:w w:val="103"/>
                <w:sz w:val="16"/>
                <w:szCs w:val="24"/>
                <w:highlight w:val="none"/>
              </w:rPr>
              <w:t>（服务类≥</w:t>
            </w:r>
            <w:r>
              <w:rPr>
                <w:color w:val="212121"/>
                <w:w w:val="103"/>
                <w:sz w:val="16"/>
                <w:szCs w:val="24"/>
                <w:highlight w:val="none"/>
              </w:rPr>
              <w:t>10分、</w:t>
            </w:r>
            <w:r>
              <w:rPr>
                <w:rFonts w:hint="eastAsia"/>
                <w:color w:val="212121"/>
                <w:w w:val="103"/>
                <w:sz w:val="16"/>
                <w:szCs w:val="24"/>
                <w:highlight w:val="none"/>
              </w:rPr>
              <w:t>货物类≥</w:t>
            </w:r>
            <w:r>
              <w:rPr>
                <w:color w:val="212121"/>
                <w:w w:val="103"/>
                <w:sz w:val="16"/>
                <w:szCs w:val="24"/>
                <w:highlight w:val="none"/>
              </w:rPr>
              <w:t>30分</w:t>
            </w:r>
            <w:r>
              <w:rPr>
                <w:rFonts w:hint="eastAsia"/>
                <w:color w:val="212121"/>
                <w:w w:val="103"/>
                <w:sz w:val="16"/>
                <w:szCs w:val="24"/>
                <w:highlight w:val="none"/>
              </w:rPr>
              <w:t>）</w:t>
            </w:r>
          </w:p>
          <w:p>
            <w:pPr>
              <w:pStyle w:val="23"/>
              <w:ind w:left="126"/>
              <w:rPr>
                <w:b/>
                <w:sz w:val="18"/>
                <w:szCs w:val="24"/>
                <w:highlight w:val="none"/>
              </w:rPr>
            </w:pPr>
            <w:r>
              <w:rPr>
                <w:color w:val="212121"/>
                <w:spacing w:val="1"/>
                <w:w w:val="131"/>
                <w:sz w:val="16"/>
                <w:szCs w:val="24"/>
                <w:highlight w:val="none"/>
              </w:rPr>
              <w:t>2</w:t>
            </w:r>
            <w:r>
              <w:rPr>
                <w:color w:val="212121"/>
                <w:w w:val="103"/>
                <w:sz w:val="16"/>
                <w:szCs w:val="24"/>
                <w:highlight w:val="none"/>
              </w:rPr>
              <w:t>、商务部分</w:t>
            </w:r>
            <w:r>
              <w:rPr>
                <w:rFonts w:hint="eastAsia"/>
                <w:color w:val="212121"/>
                <w:w w:val="103"/>
                <w:sz w:val="16"/>
                <w:szCs w:val="24"/>
                <w:highlight w:val="none"/>
                <w:u w:val="single"/>
              </w:rPr>
              <w:t xml:space="preserve">  18   </w:t>
            </w:r>
            <w:r>
              <w:rPr>
                <w:color w:val="212121"/>
                <w:w w:val="103"/>
                <w:sz w:val="16"/>
                <w:szCs w:val="24"/>
                <w:highlight w:val="none"/>
              </w:rPr>
              <w:t>分</w:t>
            </w:r>
          </w:p>
          <w:p>
            <w:pPr>
              <w:pStyle w:val="23"/>
              <w:spacing w:before="1"/>
              <w:ind w:left="126"/>
              <w:rPr>
                <w:sz w:val="16"/>
                <w:szCs w:val="24"/>
                <w:highlight w:val="none"/>
              </w:rPr>
            </w:pPr>
            <w:r>
              <w:rPr>
                <w:color w:val="212121"/>
                <w:spacing w:val="1"/>
                <w:w w:val="131"/>
                <w:sz w:val="16"/>
                <w:szCs w:val="24"/>
                <w:highlight w:val="none"/>
              </w:rPr>
              <w:t>3</w:t>
            </w:r>
            <w:r>
              <w:rPr>
                <w:color w:val="212121"/>
                <w:w w:val="103"/>
                <w:sz w:val="16"/>
                <w:szCs w:val="24"/>
                <w:highlight w:val="none"/>
              </w:rPr>
              <w:t>、技术部分</w:t>
            </w:r>
            <w:r>
              <w:rPr>
                <w:rFonts w:hint="eastAsia"/>
                <w:color w:val="212121"/>
                <w:w w:val="103"/>
                <w:sz w:val="16"/>
                <w:szCs w:val="24"/>
                <w:highlight w:val="none"/>
                <w:u w:val="single"/>
              </w:rPr>
              <w:t xml:space="preserve">  52  </w:t>
            </w:r>
            <w:r>
              <w:rPr>
                <w:color w:val="212121"/>
                <w:w w:val="103"/>
                <w:sz w:val="16"/>
                <w:szCs w:val="24"/>
                <w:highlight w:val="none"/>
              </w:rPr>
              <w:t>分</w:t>
            </w:r>
          </w:p>
        </w:tc>
      </w:tr>
      <w:tr>
        <w:tblPrEx>
          <w:tblBorders>
            <w:top w:val="single" w:color="7D7D7D" w:sz="12" w:space="0"/>
            <w:left w:val="single" w:color="7D7D7D" w:sz="12" w:space="0"/>
            <w:bottom w:val="single" w:color="7D7D7D" w:sz="12" w:space="0"/>
            <w:right w:val="single" w:color="7D7D7D" w:sz="12" w:space="0"/>
            <w:insideH w:val="single" w:color="7D7D7D" w:sz="12" w:space="0"/>
            <w:insideV w:val="single" w:color="7D7D7D" w:sz="12" w:space="0"/>
          </w:tblBorders>
          <w:tblCellMar>
            <w:top w:w="0" w:type="dxa"/>
            <w:left w:w="0" w:type="dxa"/>
            <w:bottom w:w="0" w:type="dxa"/>
            <w:right w:w="0" w:type="dxa"/>
          </w:tblCellMar>
        </w:tblPrEx>
        <w:trPr>
          <w:trHeight w:val="584" w:hRule="atLeast"/>
          <w:jc w:val="center"/>
        </w:trPr>
        <w:tc>
          <w:tcPr>
            <w:tcW w:w="1036" w:type="dxa"/>
            <w:tcBorders>
              <w:top w:val="single" w:color="D1D1D1" w:sz="6" w:space="0"/>
              <w:left w:val="single" w:color="D1D1D1" w:sz="6" w:space="0"/>
              <w:bottom w:val="single" w:color="D1D1D1" w:sz="6" w:space="0"/>
              <w:right w:val="single" w:color="D1D1D1" w:sz="6" w:space="0"/>
            </w:tcBorders>
            <w:shd w:val="clear" w:color="auto" w:fill="ECEFF2"/>
          </w:tcPr>
          <w:p>
            <w:pPr>
              <w:pStyle w:val="23"/>
              <w:spacing w:before="11"/>
              <w:rPr>
                <w:b/>
                <w:sz w:val="16"/>
                <w:szCs w:val="24"/>
                <w:highlight w:val="none"/>
              </w:rPr>
            </w:pPr>
          </w:p>
          <w:p>
            <w:pPr>
              <w:pStyle w:val="23"/>
              <w:ind w:left="331"/>
              <w:rPr>
                <w:b/>
                <w:sz w:val="16"/>
                <w:szCs w:val="24"/>
                <w:highlight w:val="none"/>
              </w:rPr>
            </w:pPr>
            <w:r>
              <w:rPr>
                <w:b/>
                <w:color w:val="212121"/>
                <w:w w:val="105"/>
                <w:sz w:val="16"/>
                <w:szCs w:val="24"/>
                <w:highlight w:val="none"/>
              </w:rPr>
              <w:t>报价得分</w:t>
            </w:r>
          </w:p>
        </w:tc>
        <w:tc>
          <w:tcPr>
            <w:tcW w:w="1809" w:type="dxa"/>
            <w:tcBorders>
              <w:top w:val="single" w:color="D1D1D1" w:sz="6" w:space="0"/>
              <w:left w:val="single" w:color="D1D1D1" w:sz="6" w:space="0"/>
              <w:bottom w:val="single" w:color="D1D1D1" w:sz="6" w:space="0"/>
              <w:right w:val="single" w:color="D1D1D1" w:sz="6" w:space="0"/>
            </w:tcBorders>
            <w:shd w:val="clear" w:color="auto" w:fill="F7F8F9"/>
          </w:tcPr>
          <w:p>
            <w:pPr>
              <w:pStyle w:val="23"/>
              <w:spacing w:before="11"/>
              <w:rPr>
                <w:b/>
                <w:sz w:val="16"/>
                <w:szCs w:val="24"/>
                <w:highlight w:val="none"/>
              </w:rPr>
            </w:pPr>
          </w:p>
          <w:p>
            <w:pPr>
              <w:pStyle w:val="23"/>
              <w:ind w:left="137"/>
              <w:rPr>
                <w:sz w:val="16"/>
                <w:szCs w:val="24"/>
                <w:highlight w:val="none"/>
              </w:rPr>
            </w:pPr>
            <w:r>
              <w:rPr>
                <w:color w:val="212121"/>
                <w:w w:val="103"/>
                <w:sz w:val="16"/>
                <w:szCs w:val="24"/>
                <w:highlight w:val="none"/>
              </w:rPr>
              <w:t>投标报价得分（</w:t>
            </w:r>
            <w:r>
              <w:rPr>
                <w:rFonts w:hint="eastAsia"/>
                <w:color w:val="212121"/>
                <w:w w:val="103"/>
                <w:sz w:val="16"/>
                <w:szCs w:val="24"/>
                <w:highlight w:val="none"/>
                <w:u w:val="single"/>
              </w:rPr>
              <w:t>30</w:t>
            </w:r>
            <w:r>
              <w:rPr>
                <w:color w:val="212121"/>
                <w:w w:val="103"/>
                <w:sz w:val="16"/>
                <w:szCs w:val="24"/>
                <w:highlight w:val="none"/>
              </w:rPr>
              <w:t>分）</w:t>
            </w:r>
          </w:p>
        </w:tc>
        <w:tc>
          <w:tcPr>
            <w:tcW w:w="5477" w:type="dxa"/>
            <w:tcBorders>
              <w:top w:val="single" w:color="D1D1D1" w:sz="6" w:space="0"/>
              <w:left w:val="single" w:color="D1D1D1" w:sz="6" w:space="0"/>
              <w:bottom w:val="single" w:color="D1D1D1" w:sz="6" w:space="0"/>
              <w:right w:val="single" w:color="D1D1D1" w:sz="6" w:space="0"/>
            </w:tcBorders>
          </w:tcPr>
          <w:p>
            <w:pPr>
              <w:pStyle w:val="23"/>
              <w:spacing w:before="7" w:line="266" w:lineRule="exact"/>
              <w:ind w:left="159" w:right="145"/>
              <w:rPr>
                <w:sz w:val="16"/>
                <w:szCs w:val="24"/>
                <w:highlight w:val="none"/>
              </w:rPr>
            </w:pPr>
            <w:r>
              <w:rPr>
                <w:color w:val="212121"/>
                <w:spacing w:val="-1"/>
                <w:sz w:val="16"/>
                <w:szCs w:val="24"/>
                <w:highlight w:val="none"/>
              </w:rPr>
              <w:t>投标报价得分＝（</w:t>
            </w:r>
            <w:r>
              <w:rPr>
                <w:color w:val="212121"/>
                <w:sz w:val="16"/>
                <w:szCs w:val="24"/>
                <w:highlight w:val="none"/>
              </w:rPr>
              <w:t>评标基准价/投标报价）×价格权值×100（</w:t>
            </w:r>
            <w:r>
              <w:rPr>
                <w:color w:val="212121"/>
                <w:spacing w:val="-2"/>
                <w:sz w:val="16"/>
                <w:szCs w:val="24"/>
                <w:highlight w:val="none"/>
              </w:rPr>
              <w:t xml:space="preserve">注：满足招标文件要求且投标价格  </w:t>
            </w:r>
            <w:r>
              <w:rPr>
                <w:color w:val="212121"/>
                <w:w w:val="105"/>
                <w:sz w:val="16"/>
                <w:szCs w:val="24"/>
                <w:highlight w:val="none"/>
              </w:rPr>
              <w:t>最低的投标报价为评标基准价。）最低报价不是中标的唯一依据。</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529" w:hRule="atLeast"/>
          <w:jc w:val="center"/>
        </w:trPr>
        <w:tc>
          <w:tcPr>
            <w:tcW w:w="1036" w:type="dxa"/>
            <w:vMerge w:val="restart"/>
            <w:shd w:val="clear" w:color="auto" w:fill="ECEFF2"/>
            <w:vAlign w:val="center"/>
          </w:tcPr>
          <w:p>
            <w:pPr>
              <w:pStyle w:val="23"/>
              <w:spacing w:before="6"/>
              <w:jc w:val="center"/>
              <w:rPr>
                <w:b/>
                <w:sz w:val="13"/>
                <w:szCs w:val="24"/>
                <w:highlight w:val="none"/>
              </w:rPr>
            </w:pPr>
          </w:p>
          <w:p>
            <w:pPr>
              <w:pStyle w:val="23"/>
              <w:ind w:left="324" w:right="332"/>
              <w:jc w:val="center"/>
              <w:rPr>
                <w:b/>
                <w:sz w:val="16"/>
                <w:szCs w:val="24"/>
                <w:highlight w:val="none"/>
              </w:rPr>
            </w:pPr>
            <w:r>
              <w:rPr>
                <w:b/>
                <w:color w:val="212121"/>
                <w:w w:val="105"/>
                <w:sz w:val="16"/>
                <w:szCs w:val="24"/>
                <w:highlight w:val="none"/>
              </w:rPr>
              <w:t>商务部分</w:t>
            </w:r>
          </w:p>
        </w:tc>
        <w:tc>
          <w:tcPr>
            <w:tcW w:w="1809" w:type="dxa"/>
            <w:shd w:val="clear" w:color="auto" w:fill="F7F8F9"/>
          </w:tcPr>
          <w:p>
            <w:pPr>
              <w:pStyle w:val="23"/>
              <w:spacing w:before="7" w:line="266" w:lineRule="exact"/>
              <w:ind w:left="159" w:right="145"/>
              <w:rPr>
                <w:color w:val="212121"/>
                <w:sz w:val="16"/>
                <w:szCs w:val="24"/>
                <w:highlight w:val="none"/>
              </w:rPr>
            </w:pPr>
            <w:r>
              <w:rPr>
                <w:rFonts w:hint="eastAsia"/>
                <w:color w:val="212121"/>
                <w:sz w:val="16"/>
                <w:szCs w:val="24"/>
                <w:highlight w:val="none"/>
              </w:rPr>
              <w:t xml:space="preserve"> </w:t>
            </w:r>
            <w:r>
              <w:rPr>
                <w:rFonts w:hint="eastAsia"/>
                <w:color w:val="212121"/>
                <w:w w:val="103"/>
                <w:sz w:val="16"/>
                <w:szCs w:val="24"/>
                <w:highlight w:val="none"/>
              </w:rPr>
              <w:t xml:space="preserve"> 综合实力  </w:t>
            </w:r>
            <w:r>
              <w:rPr>
                <w:rFonts w:hint="eastAsia"/>
                <w:color w:val="212121"/>
                <w:sz w:val="16"/>
                <w:szCs w:val="24"/>
                <w:highlight w:val="none"/>
              </w:rPr>
              <w:t>（</w:t>
            </w:r>
            <w:r>
              <w:rPr>
                <w:rFonts w:hint="eastAsia"/>
                <w:color w:val="212121"/>
                <w:w w:val="103"/>
                <w:sz w:val="16"/>
                <w:szCs w:val="24"/>
                <w:highlight w:val="none"/>
                <w:u w:val="single"/>
              </w:rPr>
              <w:t>6</w:t>
            </w:r>
            <w:r>
              <w:rPr>
                <w:rFonts w:hint="eastAsia"/>
                <w:color w:val="212121"/>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1、投标人具有由国家认证认可监督管理部门批准设立的认证机构颁发并在有效期内下列证书，每提供一个得1分，本项最高得3分。</w:t>
            </w:r>
          </w:p>
          <w:p>
            <w:pPr>
              <w:pStyle w:val="23"/>
              <w:spacing w:before="7" w:line="266" w:lineRule="exact"/>
              <w:ind w:left="159" w:right="145"/>
              <w:rPr>
                <w:color w:val="212121"/>
                <w:sz w:val="16"/>
                <w:szCs w:val="24"/>
                <w:highlight w:val="none"/>
              </w:rPr>
            </w:pPr>
            <w:r>
              <w:rPr>
                <w:rFonts w:hint="eastAsia"/>
                <w:color w:val="212121"/>
                <w:sz w:val="16"/>
                <w:szCs w:val="24"/>
                <w:highlight w:val="none"/>
              </w:rPr>
              <w:t>①质量管理体系认证证书；</w:t>
            </w:r>
          </w:p>
          <w:p>
            <w:pPr>
              <w:pStyle w:val="23"/>
              <w:spacing w:before="7" w:line="266" w:lineRule="exact"/>
              <w:ind w:left="159" w:right="145"/>
              <w:rPr>
                <w:color w:val="212121"/>
                <w:sz w:val="16"/>
                <w:szCs w:val="24"/>
                <w:highlight w:val="none"/>
              </w:rPr>
            </w:pPr>
            <w:r>
              <w:rPr>
                <w:rFonts w:hint="eastAsia"/>
                <w:color w:val="212121"/>
                <w:sz w:val="16"/>
                <w:szCs w:val="24"/>
                <w:highlight w:val="none"/>
              </w:rPr>
              <w:t>②环境管理体系认证证书；</w:t>
            </w:r>
          </w:p>
          <w:p>
            <w:pPr>
              <w:pStyle w:val="23"/>
              <w:spacing w:before="7" w:line="266" w:lineRule="exact"/>
              <w:ind w:left="159" w:right="145"/>
              <w:rPr>
                <w:color w:val="212121"/>
                <w:sz w:val="16"/>
                <w:szCs w:val="24"/>
                <w:highlight w:val="none"/>
              </w:rPr>
            </w:pPr>
            <w:r>
              <w:rPr>
                <w:rFonts w:hint="eastAsia"/>
                <w:color w:val="212121"/>
                <w:sz w:val="16"/>
                <w:szCs w:val="24"/>
                <w:highlight w:val="none"/>
              </w:rPr>
              <w:t>③职业健康安全管理体系认证证书；</w:t>
            </w:r>
          </w:p>
          <w:p>
            <w:pPr>
              <w:pStyle w:val="23"/>
              <w:spacing w:before="7" w:line="266" w:lineRule="exact"/>
              <w:ind w:left="159" w:right="145"/>
              <w:rPr>
                <w:color w:val="212121"/>
                <w:sz w:val="16"/>
                <w:szCs w:val="24"/>
                <w:highlight w:val="none"/>
              </w:rPr>
            </w:pPr>
            <w:r>
              <w:rPr>
                <w:rFonts w:hint="eastAsia"/>
                <w:color w:val="212121"/>
                <w:sz w:val="16"/>
                <w:szCs w:val="24"/>
                <w:highlight w:val="none"/>
              </w:rPr>
              <w:t>2、投标人具有市级以上国家保密局颁发的涉密信息系统集成资质证书的，得3分。</w:t>
            </w:r>
          </w:p>
          <w:p>
            <w:pPr>
              <w:pStyle w:val="23"/>
              <w:spacing w:before="7" w:line="266" w:lineRule="exact"/>
              <w:ind w:left="159" w:right="145"/>
              <w:rPr>
                <w:color w:val="212121"/>
                <w:sz w:val="16"/>
                <w:szCs w:val="24"/>
                <w:highlight w:val="none"/>
              </w:rPr>
            </w:pPr>
            <w:r>
              <w:rPr>
                <w:rFonts w:hint="eastAsia"/>
                <w:b/>
                <w:bCs/>
                <w:color w:val="212121"/>
                <w:sz w:val="16"/>
                <w:szCs w:val="24"/>
                <w:highlight w:val="none"/>
              </w:rPr>
              <w:t>注：须提供证书复印件加盖投标人公章。</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PrEx>
        <w:trPr>
          <w:trHeight w:val="511" w:hRule="atLeast"/>
          <w:jc w:val="center"/>
        </w:trPr>
        <w:tc>
          <w:tcPr>
            <w:tcW w:w="1036" w:type="dxa"/>
            <w:vMerge w:val="continue"/>
            <w:shd w:val="clear" w:color="auto" w:fill="ECEFF2"/>
          </w:tcPr>
          <w:p>
            <w:pPr>
              <w:pStyle w:val="23"/>
              <w:ind w:left="324" w:right="332"/>
              <w:jc w:val="center"/>
              <w:rPr>
                <w:b/>
                <w:color w:val="212121"/>
                <w:w w:val="105"/>
                <w:sz w:val="16"/>
                <w:szCs w:val="24"/>
                <w:highlight w:val="none"/>
              </w:rPr>
            </w:pPr>
          </w:p>
        </w:tc>
        <w:tc>
          <w:tcPr>
            <w:tcW w:w="1809" w:type="dxa"/>
            <w:shd w:val="clear" w:color="auto" w:fill="F7F8F9"/>
          </w:tcPr>
          <w:p>
            <w:pPr>
              <w:pStyle w:val="23"/>
              <w:spacing w:before="160"/>
              <w:ind w:left="137"/>
              <w:jc w:val="center"/>
              <w:rPr>
                <w:color w:val="212121"/>
                <w:w w:val="103"/>
                <w:sz w:val="16"/>
                <w:szCs w:val="24"/>
                <w:highlight w:val="none"/>
                <w:u w:val="single"/>
              </w:rPr>
            </w:pPr>
            <w:r>
              <w:rPr>
                <w:rFonts w:hint="eastAsia"/>
                <w:color w:val="212121"/>
                <w:w w:val="103"/>
                <w:sz w:val="16"/>
                <w:szCs w:val="24"/>
                <w:highlight w:val="none"/>
              </w:rPr>
              <w:t>信息安全认证</w:t>
            </w:r>
            <w:r>
              <w:rPr>
                <w:color w:val="212121"/>
                <w:w w:val="103"/>
                <w:sz w:val="16"/>
                <w:szCs w:val="24"/>
                <w:highlight w:val="none"/>
              </w:rPr>
              <w:t>（</w:t>
            </w:r>
            <w:r>
              <w:rPr>
                <w:rFonts w:hint="eastAsia"/>
                <w:color w:val="212121"/>
                <w:w w:val="103"/>
                <w:sz w:val="16"/>
                <w:szCs w:val="24"/>
                <w:highlight w:val="none"/>
                <w:u w:val="single"/>
              </w:rPr>
              <w:t>4</w:t>
            </w:r>
            <w:r>
              <w:rPr>
                <w:color w:val="212121"/>
                <w:w w:val="103"/>
                <w:sz w:val="16"/>
                <w:szCs w:val="24"/>
                <w:highlight w:val="none"/>
              </w:rPr>
              <w:t>分）</w:t>
            </w:r>
          </w:p>
          <w:p>
            <w:pPr>
              <w:pStyle w:val="23"/>
              <w:spacing w:before="160"/>
              <w:ind w:left="137"/>
              <w:jc w:val="center"/>
              <w:rPr>
                <w:color w:val="212121"/>
                <w:w w:val="103"/>
                <w:sz w:val="16"/>
                <w:szCs w:val="24"/>
                <w:highlight w:val="none"/>
                <w:u w:val="single"/>
              </w:rPr>
            </w:pP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投标人具有由国家认证认可监督管理部门批准设立的认证机构颁发并在有效期内的信息安全管理体系认证、信息技术服务管理体系认证证书，每提供一个得2分，本项最高得4分。</w:t>
            </w:r>
          </w:p>
          <w:p>
            <w:pPr>
              <w:pStyle w:val="23"/>
              <w:spacing w:before="7" w:line="266" w:lineRule="exact"/>
              <w:ind w:left="159" w:right="145"/>
              <w:rPr>
                <w:sz w:val="16"/>
                <w:szCs w:val="24"/>
                <w:highlight w:val="none"/>
              </w:rPr>
            </w:pPr>
            <w:r>
              <w:rPr>
                <w:rFonts w:hint="eastAsia"/>
                <w:b/>
                <w:bCs/>
                <w:color w:val="212121"/>
                <w:sz w:val="16"/>
                <w:szCs w:val="24"/>
                <w:highlight w:val="none"/>
              </w:rPr>
              <w:t>注：须提供证书复印件加盖投标人公章。</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529" w:hRule="atLeast"/>
          <w:jc w:val="center"/>
        </w:trPr>
        <w:tc>
          <w:tcPr>
            <w:tcW w:w="1036" w:type="dxa"/>
            <w:vMerge w:val="continue"/>
            <w:shd w:val="clear" w:color="auto" w:fill="ECEFF2"/>
          </w:tcPr>
          <w:p>
            <w:pPr>
              <w:pStyle w:val="23"/>
              <w:ind w:left="324" w:right="332"/>
              <w:jc w:val="center"/>
              <w:rPr>
                <w:b/>
                <w:color w:val="212121"/>
                <w:w w:val="105"/>
                <w:sz w:val="16"/>
                <w:szCs w:val="24"/>
                <w:highlight w:val="none"/>
              </w:rPr>
            </w:pPr>
          </w:p>
        </w:tc>
        <w:tc>
          <w:tcPr>
            <w:tcW w:w="1809" w:type="dxa"/>
            <w:shd w:val="clear" w:color="auto" w:fill="F7F8F9"/>
          </w:tcPr>
          <w:p>
            <w:pPr>
              <w:pStyle w:val="23"/>
              <w:spacing w:before="7" w:line="266" w:lineRule="exact"/>
              <w:ind w:left="159" w:right="145"/>
              <w:jc w:val="center"/>
              <w:rPr>
                <w:color w:val="212121"/>
                <w:sz w:val="16"/>
                <w:szCs w:val="24"/>
                <w:highlight w:val="none"/>
              </w:rPr>
            </w:pPr>
            <w:r>
              <w:rPr>
                <w:rFonts w:hint="eastAsia"/>
                <w:color w:val="212121"/>
                <w:w w:val="103"/>
                <w:sz w:val="16"/>
                <w:szCs w:val="24"/>
                <w:highlight w:val="none"/>
              </w:rPr>
              <w:t>项目业绩（</w:t>
            </w:r>
            <w:r>
              <w:rPr>
                <w:rFonts w:hint="eastAsia"/>
                <w:color w:val="212121"/>
                <w:w w:val="103"/>
                <w:sz w:val="16"/>
                <w:szCs w:val="24"/>
                <w:highlight w:val="none"/>
                <w:u w:val="single"/>
              </w:rPr>
              <w:t>8</w:t>
            </w:r>
            <w:r>
              <w:rPr>
                <w:color w:val="212121"/>
                <w:w w:val="103"/>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根据投标人自2020年1月1日（以合同签订时间为准）以来完成的网络安全设备相关的同类项目业绩进行评审，每提供一个得2分，本项最高得8分。</w:t>
            </w:r>
          </w:p>
          <w:p>
            <w:pPr>
              <w:pStyle w:val="23"/>
              <w:spacing w:before="7" w:line="266" w:lineRule="exact"/>
              <w:ind w:left="159" w:right="145"/>
              <w:rPr>
                <w:color w:val="212121"/>
                <w:sz w:val="16"/>
                <w:szCs w:val="24"/>
                <w:highlight w:val="none"/>
              </w:rPr>
            </w:pPr>
            <w:r>
              <w:rPr>
                <w:rFonts w:hint="eastAsia"/>
                <w:b/>
                <w:bCs/>
                <w:color w:val="212121"/>
                <w:sz w:val="16"/>
                <w:szCs w:val="24"/>
                <w:highlight w:val="none"/>
              </w:rPr>
              <w:t>注：须提供合同复印件并加盖投标人公章。</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529" w:hRule="atLeast"/>
          <w:jc w:val="center"/>
        </w:trPr>
        <w:tc>
          <w:tcPr>
            <w:tcW w:w="1036" w:type="dxa"/>
            <w:vMerge w:val="restart"/>
            <w:shd w:val="clear" w:color="auto" w:fill="ECEFF2"/>
            <w:vAlign w:val="center"/>
          </w:tcPr>
          <w:p>
            <w:pPr>
              <w:pStyle w:val="23"/>
              <w:spacing w:before="6"/>
              <w:jc w:val="center"/>
              <w:rPr>
                <w:b/>
                <w:sz w:val="13"/>
                <w:szCs w:val="24"/>
                <w:highlight w:val="none"/>
              </w:rPr>
            </w:pPr>
          </w:p>
          <w:p>
            <w:pPr>
              <w:pStyle w:val="23"/>
              <w:ind w:left="324" w:right="332"/>
              <w:jc w:val="center"/>
              <w:rPr>
                <w:b/>
                <w:sz w:val="16"/>
                <w:szCs w:val="24"/>
                <w:highlight w:val="none"/>
              </w:rPr>
            </w:pPr>
            <w:r>
              <w:rPr>
                <w:b/>
                <w:color w:val="212121"/>
                <w:w w:val="105"/>
                <w:sz w:val="16"/>
                <w:szCs w:val="24"/>
                <w:highlight w:val="none"/>
              </w:rPr>
              <w:t>技术部分</w:t>
            </w:r>
          </w:p>
        </w:tc>
        <w:tc>
          <w:tcPr>
            <w:tcW w:w="1809" w:type="dxa"/>
            <w:shd w:val="clear" w:color="auto" w:fill="F7F8F9"/>
          </w:tcPr>
          <w:p>
            <w:pPr>
              <w:pStyle w:val="23"/>
              <w:spacing w:before="160"/>
              <w:ind w:left="137"/>
              <w:jc w:val="center"/>
              <w:rPr>
                <w:color w:val="212121"/>
                <w:w w:val="103"/>
                <w:sz w:val="16"/>
                <w:szCs w:val="24"/>
                <w:highlight w:val="none"/>
                <w:u w:val="single"/>
              </w:rPr>
            </w:pPr>
            <w:r>
              <w:rPr>
                <w:rFonts w:hint="eastAsia"/>
                <w:color w:val="212121"/>
                <w:w w:val="103"/>
                <w:sz w:val="16"/>
                <w:szCs w:val="24"/>
                <w:highlight w:val="none"/>
              </w:rPr>
              <w:t>产品对技术参数要求响应情况</w:t>
            </w:r>
            <w:r>
              <w:rPr>
                <w:color w:val="212121"/>
                <w:w w:val="103"/>
                <w:sz w:val="16"/>
                <w:szCs w:val="24"/>
                <w:highlight w:val="none"/>
              </w:rPr>
              <w:t>（</w:t>
            </w:r>
            <w:r>
              <w:rPr>
                <w:rFonts w:hint="eastAsia"/>
                <w:color w:val="212121"/>
                <w:w w:val="103"/>
                <w:sz w:val="16"/>
                <w:szCs w:val="24"/>
                <w:highlight w:val="none"/>
                <w:u w:val="single"/>
              </w:rPr>
              <w:t>30</w:t>
            </w:r>
            <w:r>
              <w:rPr>
                <w:color w:val="212121"/>
                <w:w w:val="103"/>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根据投标人对本项目用户需求中的带“▲”技术指标条款全部响应为满足或优于的得30分。其中，用户需求“▲”参数指标负偏离或者不响应的每一项扣</w:t>
            </w:r>
            <w:r>
              <w:rPr>
                <w:rFonts w:hint="eastAsia"/>
                <w:color w:val="212121"/>
                <w:sz w:val="16"/>
                <w:szCs w:val="24"/>
                <w:highlight w:val="none"/>
                <w:lang w:val="en-US" w:eastAsia="zh-CN"/>
              </w:rPr>
              <w:t>5</w:t>
            </w:r>
            <w:r>
              <w:rPr>
                <w:rFonts w:hint="eastAsia"/>
                <w:color w:val="212121"/>
                <w:sz w:val="16"/>
                <w:szCs w:val="24"/>
                <w:highlight w:val="none"/>
              </w:rPr>
              <w:t>分，扣完为止，本项满分为30分。</w:t>
            </w:r>
          </w:p>
          <w:p>
            <w:pPr>
              <w:pStyle w:val="23"/>
              <w:spacing w:before="7" w:line="266" w:lineRule="exact"/>
              <w:ind w:left="159" w:right="145"/>
              <w:rPr>
                <w:sz w:val="16"/>
                <w:szCs w:val="24"/>
                <w:highlight w:val="none"/>
              </w:rPr>
            </w:pPr>
            <w:r>
              <w:rPr>
                <w:rFonts w:hint="eastAsia"/>
                <w:b/>
                <w:bCs/>
                <w:color w:val="212121"/>
                <w:sz w:val="16"/>
                <w:szCs w:val="24"/>
                <w:highlight w:val="none"/>
              </w:rPr>
              <w:t>注：用户需求中有要求提供证明材料的，以用户需求要求提供的材料为准；用户需求中未要求提供证明材料的，需提供其他用以证明的资料复印件，加盖投标人公章</w:t>
            </w:r>
            <w:r>
              <w:rPr>
                <w:rFonts w:hint="eastAsia"/>
                <w:color w:val="212121"/>
                <w:sz w:val="16"/>
                <w:szCs w:val="24"/>
                <w:highlight w:val="none"/>
              </w:rPr>
              <w:t>。</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529" w:hRule="atLeast"/>
          <w:jc w:val="center"/>
        </w:trPr>
        <w:tc>
          <w:tcPr>
            <w:tcW w:w="1036" w:type="dxa"/>
            <w:vMerge w:val="continue"/>
            <w:shd w:val="clear" w:color="auto" w:fill="ECEFF2"/>
            <w:vAlign w:val="center"/>
          </w:tcPr>
          <w:p>
            <w:pPr>
              <w:pStyle w:val="23"/>
              <w:ind w:left="324" w:right="332"/>
              <w:jc w:val="center"/>
              <w:rPr>
                <w:b/>
                <w:sz w:val="16"/>
                <w:szCs w:val="24"/>
                <w:highlight w:val="none"/>
              </w:rPr>
            </w:pPr>
          </w:p>
        </w:tc>
        <w:tc>
          <w:tcPr>
            <w:tcW w:w="1809" w:type="dxa"/>
            <w:shd w:val="clear" w:color="auto" w:fill="F7F8F9"/>
          </w:tcPr>
          <w:p>
            <w:pPr>
              <w:pStyle w:val="23"/>
              <w:spacing w:before="160"/>
              <w:ind w:left="137"/>
              <w:jc w:val="center"/>
              <w:rPr>
                <w:color w:val="212121"/>
                <w:w w:val="103"/>
                <w:sz w:val="16"/>
                <w:szCs w:val="24"/>
                <w:highlight w:val="none"/>
                <w:u w:val="single"/>
              </w:rPr>
            </w:pPr>
            <w:r>
              <w:rPr>
                <w:rFonts w:hint="eastAsia"/>
                <w:color w:val="212121"/>
                <w:w w:val="103"/>
                <w:sz w:val="16"/>
                <w:szCs w:val="24"/>
                <w:highlight w:val="none"/>
              </w:rPr>
              <w:t>技术方案</w:t>
            </w:r>
            <w:r>
              <w:rPr>
                <w:color w:val="212121"/>
                <w:w w:val="103"/>
                <w:sz w:val="16"/>
                <w:szCs w:val="24"/>
                <w:highlight w:val="none"/>
              </w:rPr>
              <w:t>（</w:t>
            </w:r>
            <w:r>
              <w:rPr>
                <w:rFonts w:hint="eastAsia"/>
                <w:color w:val="212121"/>
                <w:w w:val="103"/>
                <w:sz w:val="16"/>
                <w:szCs w:val="24"/>
                <w:highlight w:val="none"/>
                <w:u w:val="single"/>
              </w:rPr>
              <w:t>6</w:t>
            </w:r>
            <w:r>
              <w:rPr>
                <w:color w:val="212121"/>
                <w:w w:val="103"/>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根据投标人提供的技术方案（包括：所投产品实施方案、项目组织架构、项目实施计划、保密管理及信息安全管理）等进行综合评分：</w:t>
            </w:r>
          </w:p>
          <w:p>
            <w:pPr>
              <w:pStyle w:val="23"/>
              <w:spacing w:before="7" w:line="266" w:lineRule="exact"/>
              <w:ind w:left="159" w:right="145"/>
              <w:rPr>
                <w:color w:val="212121"/>
                <w:sz w:val="16"/>
                <w:szCs w:val="24"/>
                <w:highlight w:val="none"/>
              </w:rPr>
            </w:pPr>
            <w:r>
              <w:rPr>
                <w:rFonts w:hint="eastAsia"/>
                <w:color w:val="212121"/>
                <w:sz w:val="16"/>
                <w:szCs w:val="24"/>
                <w:highlight w:val="none"/>
              </w:rPr>
              <w:t>1.优：方案详细全面，可行性、科学性及可靠性强,完全满足或优于用户需求的得6分；</w:t>
            </w:r>
          </w:p>
          <w:p>
            <w:pPr>
              <w:pStyle w:val="23"/>
              <w:spacing w:before="7" w:line="266" w:lineRule="exact"/>
              <w:ind w:left="159" w:right="145"/>
              <w:rPr>
                <w:color w:val="212121"/>
                <w:sz w:val="16"/>
                <w:szCs w:val="24"/>
                <w:highlight w:val="none"/>
              </w:rPr>
            </w:pPr>
            <w:r>
              <w:rPr>
                <w:rFonts w:hint="eastAsia"/>
                <w:color w:val="212121"/>
                <w:sz w:val="16"/>
                <w:szCs w:val="24"/>
                <w:highlight w:val="none"/>
              </w:rPr>
              <w:t>2.良：方案（包括：所投产品实施方案、项目组织架构、项目实施计划、保密管理及信息安全管理等）具体</w:t>
            </w:r>
            <w:r>
              <w:rPr>
                <w:rFonts w:hint="eastAsia"/>
                <w:color w:val="212121"/>
                <w:sz w:val="16"/>
                <w:szCs w:val="24"/>
                <w:highlight w:val="none"/>
                <w:lang w:eastAsia="zh-CN"/>
              </w:rPr>
              <w:t>、</w:t>
            </w:r>
            <w:r>
              <w:rPr>
                <w:rFonts w:hint="eastAsia"/>
                <w:color w:val="212121"/>
                <w:sz w:val="16"/>
                <w:szCs w:val="24"/>
                <w:highlight w:val="none"/>
              </w:rPr>
              <w:t>可行性</w:t>
            </w:r>
            <w:r>
              <w:rPr>
                <w:rFonts w:hint="eastAsia"/>
                <w:color w:val="212121"/>
                <w:sz w:val="16"/>
                <w:szCs w:val="24"/>
                <w:highlight w:val="none"/>
                <w:lang w:eastAsia="zh-CN"/>
              </w:rPr>
              <w:t>一般，基本满足用户需求的</w:t>
            </w:r>
            <w:r>
              <w:rPr>
                <w:rFonts w:hint="eastAsia"/>
                <w:color w:val="212121"/>
                <w:sz w:val="16"/>
                <w:szCs w:val="24"/>
                <w:highlight w:val="none"/>
              </w:rPr>
              <w:t>得4分；</w:t>
            </w:r>
          </w:p>
          <w:p>
            <w:pPr>
              <w:pStyle w:val="23"/>
              <w:spacing w:before="7" w:line="266" w:lineRule="exact"/>
              <w:ind w:left="159" w:right="145"/>
              <w:rPr>
                <w:color w:val="212121"/>
                <w:sz w:val="16"/>
                <w:szCs w:val="24"/>
                <w:highlight w:val="none"/>
              </w:rPr>
            </w:pPr>
            <w:r>
              <w:rPr>
                <w:rFonts w:hint="eastAsia"/>
                <w:color w:val="212121"/>
                <w:sz w:val="16"/>
                <w:szCs w:val="24"/>
                <w:highlight w:val="none"/>
              </w:rPr>
              <w:t>3.差：方案（包括：所投产品实施方案、项目组织架构、项目实施计划、保密管理及信息安全管理等）不具体</w:t>
            </w:r>
            <w:r>
              <w:rPr>
                <w:rFonts w:hint="eastAsia"/>
                <w:color w:val="212121"/>
                <w:sz w:val="16"/>
                <w:szCs w:val="24"/>
                <w:highlight w:val="none"/>
                <w:lang w:eastAsia="zh-CN"/>
              </w:rPr>
              <w:t>、</w:t>
            </w:r>
            <w:r>
              <w:rPr>
                <w:rFonts w:hint="eastAsia"/>
                <w:color w:val="212121"/>
                <w:sz w:val="16"/>
                <w:szCs w:val="24"/>
                <w:highlight w:val="none"/>
              </w:rPr>
              <w:t>可行性</w:t>
            </w:r>
            <w:r>
              <w:rPr>
                <w:rFonts w:hint="eastAsia"/>
                <w:color w:val="212121"/>
                <w:sz w:val="16"/>
                <w:szCs w:val="24"/>
                <w:highlight w:val="none"/>
                <w:lang w:eastAsia="zh-CN"/>
              </w:rPr>
              <w:t>低、勉强满足用户需求的</w:t>
            </w:r>
            <w:r>
              <w:rPr>
                <w:rFonts w:hint="eastAsia"/>
                <w:color w:val="212121"/>
                <w:sz w:val="16"/>
                <w:szCs w:val="24"/>
                <w:highlight w:val="none"/>
              </w:rPr>
              <w:t>得2分；</w:t>
            </w:r>
          </w:p>
          <w:p>
            <w:pPr>
              <w:pStyle w:val="23"/>
              <w:spacing w:before="7" w:line="266" w:lineRule="exact"/>
              <w:ind w:left="159" w:right="145"/>
              <w:rPr>
                <w:rFonts w:hint="eastAsia"/>
                <w:color w:val="212121"/>
                <w:sz w:val="16"/>
                <w:szCs w:val="24"/>
                <w:highlight w:val="none"/>
              </w:rPr>
            </w:pPr>
            <w:r>
              <w:rPr>
                <w:rFonts w:hint="eastAsia"/>
                <w:color w:val="212121"/>
                <w:sz w:val="16"/>
                <w:szCs w:val="24"/>
                <w:highlight w:val="none"/>
              </w:rPr>
              <w:t>4.未提供方案得0分。</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529" w:hRule="atLeast"/>
          <w:jc w:val="center"/>
        </w:trPr>
        <w:tc>
          <w:tcPr>
            <w:tcW w:w="1036" w:type="dxa"/>
            <w:vMerge w:val="continue"/>
            <w:shd w:val="clear" w:color="auto" w:fill="ECEFF2"/>
          </w:tcPr>
          <w:p>
            <w:pPr>
              <w:pStyle w:val="23"/>
              <w:spacing w:before="6"/>
              <w:rPr>
                <w:b/>
                <w:sz w:val="13"/>
                <w:szCs w:val="24"/>
                <w:highlight w:val="none"/>
              </w:rPr>
            </w:pPr>
          </w:p>
        </w:tc>
        <w:tc>
          <w:tcPr>
            <w:tcW w:w="1809" w:type="dxa"/>
            <w:shd w:val="clear" w:color="auto" w:fill="F7F8F9"/>
          </w:tcPr>
          <w:p>
            <w:pPr>
              <w:pStyle w:val="23"/>
              <w:spacing w:before="160"/>
              <w:ind w:left="137"/>
              <w:jc w:val="center"/>
              <w:rPr>
                <w:color w:val="212121"/>
                <w:w w:val="103"/>
                <w:sz w:val="16"/>
                <w:szCs w:val="24"/>
                <w:highlight w:val="none"/>
              </w:rPr>
            </w:pPr>
            <w:r>
              <w:rPr>
                <w:rFonts w:hint="eastAsia"/>
                <w:color w:val="212121"/>
                <w:w w:val="103"/>
                <w:sz w:val="16"/>
                <w:szCs w:val="24"/>
                <w:highlight w:val="none"/>
              </w:rPr>
              <w:t>售后服务</w:t>
            </w:r>
            <w:r>
              <w:rPr>
                <w:color w:val="212121"/>
                <w:w w:val="103"/>
                <w:sz w:val="16"/>
                <w:szCs w:val="24"/>
                <w:highlight w:val="none"/>
              </w:rPr>
              <w:t>（</w:t>
            </w:r>
            <w:r>
              <w:rPr>
                <w:rFonts w:hint="eastAsia"/>
                <w:color w:val="212121"/>
                <w:w w:val="103"/>
                <w:sz w:val="16"/>
                <w:szCs w:val="24"/>
                <w:highlight w:val="none"/>
                <w:u w:val="single"/>
              </w:rPr>
              <w:t>3</w:t>
            </w:r>
            <w:r>
              <w:rPr>
                <w:color w:val="212121"/>
                <w:w w:val="103"/>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根据投标人提供的售后服务方案，包括但不限于服务流程、质保期、培训方案、服务体系等进行评分：</w:t>
            </w:r>
          </w:p>
          <w:p>
            <w:pPr>
              <w:pStyle w:val="23"/>
              <w:spacing w:before="7" w:line="266" w:lineRule="exact"/>
              <w:ind w:left="159" w:right="145"/>
              <w:rPr>
                <w:color w:val="212121"/>
                <w:sz w:val="16"/>
                <w:szCs w:val="24"/>
                <w:highlight w:val="none"/>
              </w:rPr>
            </w:pPr>
            <w:r>
              <w:rPr>
                <w:rFonts w:hint="eastAsia"/>
                <w:color w:val="212121"/>
                <w:sz w:val="16"/>
                <w:szCs w:val="24"/>
                <w:highlight w:val="none"/>
              </w:rPr>
              <w:t>1.服务计划详尽完备、服务流程、质保期、培训方案、服务体系健全合理</w:t>
            </w:r>
            <w:r>
              <w:rPr>
                <w:rFonts w:hint="eastAsia"/>
                <w:color w:val="212121"/>
                <w:sz w:val="16"/>
                <w:szCs w:val="24"/>
                <w:highlight w:val="none"/>
                <w:lang w:eastAsia="zh-CN"/>
              </w:rPr>
              <w:t>、</w:t>
            </w:r>
            <w:r>
              <w:rPr>
                <w:rFonts w:hint="eastAsia"/>
                <w:color w:val="212121"/>
                <w:sz w:val="16"/>
                <w:szCs w:val="24"/>
                <w:highlight w:val="none"/>
              </w:rPr>
              <w:t>可行性、科学性及可靠性强,完全满足或优于用户需求的得得3分；</w:t>
            </w:r>
          </w:p>
          <w:p>
            <w:pPr>
              <w:pStyle w:val="23"/>
              <w:spacing w:before="7" w:line="266" w:lineRule="exact"/>
              <w:ind w:left="159" w:right="145"/>
              <w:rPr>
                <w:color w:val="212121"/>
                <w:sz w:val="16"/>
                <w:szCs w:val="24"/>
                <w:highlight w:val="none"/>
              </w:rPr>
            </w:pPr>
            <w:r>
              <w:rPr>
                <w:rFonts w:hint="eastAsia"/>
                <w:color w:val="212121"/>
                <w:sz w:val="16"/>
                <w:szCs w:val="24"/>
                <w:highlight w:val="none"/>
              </w:rPr>
              <w:t>2.服务计划较为详细、服务流程、质保期、培训方案、服务体系可行性</w:t>
            </w:r>
            <w:r>
              <w:rPr>
                <w:rFonts w:hint="eastAsia"/>
                <w:color w:val="212121"/>
                <w:sz w:val="16"/>
                <w:szCs w:val="24"/>
                <w:highlight w:val="none"/>
                <w:lang w:eastAsia="zh-CN"/>
              </w:rPr>
              <w:t>一般，基本满足用户需求的</w:t>
            </w:r>
            <w:r>
              <w:rPr>
                <w:rFonts w:hint="eastAsia"/>
                <w:color w:val="212121"/>
                <w:sz w:val="16"/>
                <w:szCs w:val="24"/>
                <w:highlight w:val="none"/>
              </w:rPr>
              <w:t>得4分；</w:t>
            </w:r>
          </w:p>
          <w:p>
            <w:pPr>
              <w:pStyle w:val="23"/>
              <w:spacing w:before="7" w:line="266" w:lineRule="exact"/>
              <w:ind w:left="159" w:right="145"/>
              <w:rPr>
                <w:color w:val="212121"/>
                <w:sz w:val="16"/>
                <w:szCs w:val="24"/>
                <w:highlight w:val="none"/>
              </w:rPr>
            </w:pPr>
            <w:r>
              <w:rPr>
                <w:rFonts w:hint="eastAsia"/>
                <w:color w:val="212121"/>
                <w:sz w:val="16"/>
                <w:szCs w:val="24"/>
                <w:highlight w:val="none"/>
              </w:rPr>
              <w:t>3.服务计划、服务流程、质保期、培训方案、服务体系完整性不具体</w:t>
            </w:r>
            <w:r>
              <w:rPr>
                <w:rFonts w:hint="eastAsia"/>
                <w:color w:val="212121"/>
                <w:sz w:val="16"/>
                <w:szCs w:val="24"/>
                <w:highlight w:val="none"/>
                <w:lang w:eastAsia="zh-CN"/>
              </w:rPr>
              <w:t>、</w:t>
            </w:r>
            <w:r>
              <w:rPr>
                <w:rFonts w:hint="eastAsia"/>
                <w:color w:val="212121"/>
                <w:sz w:val="16"/>
                <w:szCs w:val="24"/>
                <w:highlight w:val="none"/>
              </w:rPr>
              <w:t>可行性</w:t>
            </w:r>
            <w:r>
              <w:rPr>
                <w:rFonts w:hint="eastAsia"/>
                <w:color w:val="212121"/>
                <w:sz w:val="16"/>
                <w:szCs w:val="24"/>
                <w:highlight w:val="none"/>
                <w:lang w:eastAsia="zh-CN"/>
              </w:rPr>
              <w:t>低、勉强满足用户需求的</w:t>
            </w:r>
            <w:r>
              <w:rPr>
                <w:rFonts w:hint="eastAsia"/>
                <w:color w:val="212121"/>
                <w:sz w:val="16"/>
                <w:szCs w:val="24"/>
                <w:highlight w:val="none"/>
              </w:rPr>
              <w:t>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4.未提供不得分。</w:t>
            </w:r>
          </w:p>
        </w:tc>
      </w:tr>
      <w:tr>
        <w:tblPrEx>
          <w:tblBorders>
            <w:top w:val="single" w:color="D1D1D1" w:sz="6" w:space="0"/>
            <w:left w:val="single" w:color="D1D1D1" w:sz="6" w:space="0"/>
            <w:bottom w:val="single" w:color="D1D1D1" w:sz="6" w:space="0"/>
            <w:right w:val="single" w:color="D1D1D1" w:sz="6" w:space="0"/>
            <w:insideH w:val="single" w:color="D1D1D1" w:sz="6" w:space="0"/>
            <w:insideV w:val="single" w:color="D1D1D1" w:sz="6" w:space="0"/>
          </w:tblBorders>
          <w:tblCellMar>
            <w:top w:w="0" w:type="dxa"/>
            <w:left w:w="0" w:type="dxa"/>
            <w:bottom w:w="0" w:type="dxa"/>
            <w:right w:w="0" w:type="dxa"/>
          </w:tblCellMar>
        </w:tblPrEx>
        <w:trPr>
          <w:trHeight w:val="823" w:hRule="atLeast"/>
          <w:jc w:val="center"/>
        </w:trPr>
        <w:tc>
          <w:tcPr>
            <w:tcW w:w="1036" w:type="dxa"/>
            <w:vMerge w:val="continue"/>
            <w:shd w:val="clear" w:color="auto" w:fill="ECEFF2"/>
          </w:tcPr>
          <w:p>
            <w:pPr>
              <w:pStyle w:val="23"/>
              <w:ind w:left="324" w:right="332"/>
              <w:jc w:val="center"/>
              <w:rPr>
                <w:b/>
                <w:sz w:val="16"/>
                <w:szCs w:val="24"/>
                <w:highlight w:val="none"/>
              </w:rPr>
            </w:pPr>
          </w:p>
        </w:tc>
        <w:tc>
          <w:tcPr>
            <w:tcW w:w="1809" w:type="dxa"/>
            <w:shd w:val="clear" w:color="auto" w:fill="F7F8F9"/>
          </w:tcPr>
          <w:p>
            <w:pPr>
              <w:pStyle w:val="23"/>
              <w:spacing w:before="160"/>
              <w:jc w:val="center"/>
              <w:rPr>
                <w:sz w:val="16"/>
                <w:szCs w:val="24"/>
                <w:highlight w:val="none"/>
              </w:rPr>
            </w:pPr>
            <w:r>
              <w:rPr>
                <w:rFonts w:hint="eastAsia"/>
                <w:color w:val="212121"/>
                <w:w w:val="103"/>
                <w:sz w:val="16"/>
                <w:szCs w:val="24"/>
                <w:highlight w:val="none"/>
              </w:rPr>
              <w:t>拟投入人员情况</w:t>
            </w:r>
            <w:r>
              <w:rPr>
                <w:color w:val="212121"/>
                <w:w w:val="103"/>
                <w:sz w:val="16"/>
                <w:szCs w:val="24"/>
                <w:highlight w:val="none"/>
              </w:rPr>
              <w:t>（</w:t>
            </w:r>
            <w:r>
              <w:rPr>
                <w:rFonts w:hint="eastAsia"/>
                <w:color w:val="212121"/>
                <w:w w:val="103"/>
                <w:sz w:val="16"/>
                <w:szCs w:val="24"/>
                <w:highlight w:val="none"/>
                <w:u w:val="single"/>
              </w:rPr>
              <w:t xml:space="preserve">13 </w:t>
            </w:r>
            <w:r>
              <w:rPr>
                <w:color w:val="212121"/>
                <w:w w:val="103"/>
                <w:sz w:val="16"/>
                <w:szCs w:val="24"/>
                <w:highlight w:val="none"/>
              </w:rPr>
              <w:t>分）</w:t>
            </w:r>
          </w:p>
        </w:tc>
        <w:tc>
          <w:tcPr>
            <w:tcW w:w="5477" w:type="dxa"/>
          </w:tcPr>
          <w:p>
            <w:pPr>
              <w:pStyle w:val="23"/>
              <w:spacing w:before="7" w:line="266" w:lineRule="exact"/>
              <w:ind w:left="159" w:right="145"/>
              <w:rPr>
                <w:color w:val="212121"/>
                <w:sz w:val="16"/>
                <w:szCs w:val="24"/>
                <w:highlight w:val="none"/>
              </w:rPr>
            </w:pPr>
            <w:r>
              <w:rPr>
                <w:rFonts w:hint="eastAsia"/>
                <w:color w:val="212121"/>
                <w:sz w:val="16"/>
                <w:szCs w:val="24"/>
                <w:highlight w:val="none"/>
              </w:rPr>
              <w:t>1.根据投标人拟投入本项目的项目负责人（仅一人）情况进行评审，最高得4分：</w:t>
            </w:r>
          </w:p>
          <w:p>
            <w:pPr>
              <w:pStyle w:val="23"/>
              <w:spacing w:before="7" w:line="266" w:lineRule="exact"/>
              <w:ind w:left="159" w:right="145"/>
              <w:rPr>
                <w:color w:val="212121"/>
                <w:sz w:val="16"/>
                <w:szCs w:val="24"/>
                <w:highlight w:val="none"/>
              </w:rPr>
            </w:pPr>
            <w:r>
              <w:rPr>
                <w:rFonts w:hint="eastAsia"/>
                <w:color w:val="212121"/>
                <w:sz w:val="16"/>
                <w:szCs w:val="24"/>
                <w:highlight w:val="none"/>
              </w:rPr>
              <w:t>①具有中国信息安全测评中心颁发的注册信息安全专业人员（CISP）证书，得1分；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②具有市级以上保密管理部门颁发的保密工作岗位资格证书的，得1分；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③具有工业和信息化相关部门颁发的高级网络信息安全工程师证书，得1分；</w:t>
            </w:r>
          </w:p>
          <w:p>
            <w:pPr>
              <w:pStyle w:val="23"/>
              <w:spacing w:before="7" w:line="266" w:lineRule="exact"/>
              <w:ind w:right="145" w:firstLine="160" w:firstLineChars="100"/>
              <w:rPr>
                <w:color w:val="212121"/>
                <w:sz w:val="16"/>
                <w:szCs w:val="16"/>
                <w:highlight w:val="none"/>
              </w:rPr>
            </w:pPr>
            <w:r>
              <w:rPr>
                <w:rFonts w:ascii="Arial" w:hAnsi="Arial" w:cs="Arial"/>
                <w:color w:val="333333"/>
                <w:sz w:val="16"/>
                <w:szCs w:val="16"/>
                <w:highlight w:val="none"/>
                <w:shd w:val="clear" w:color="auto" w:fill="FFFFFF"/>
              </w:rPr>
              <w:t>④</w:t>
            </w:r>
            <w:r>
              <w:rPr>
                <w:rFonts w:hint="eastAsia"/>
                <w:color w:val="212121"/>
                <w:sz w:val="16"/>
                <w:szCs w:val="16"/>
                <w:highlight w:val="none"/>
              </w:rPr>
              <w:t>具有项目管理PMP证书的，得1分。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2.根据投标人拟投入本项目的技术负责人（仅一人）情况进行评审，最高得4分：</w:t>
            </w:r>
          </w:p>
          <w:p>
            <w:pPr>
              <w:pStyle w:val="23"/>
              <w:spacing w:before="7" w:line="266" w:lineRule="exact"/>
              <w:ind w:left="159" w:right="145"/>
              <w:rPr>
                <w:color w:val="212121"/>
                <w:sz w:val="16"/>
                <w:szCs w:val="24"/>
                <w:highlight w:val="none"/>
              </w:rPr>
            </w:pPr>
            <w:r>
              <w:rPr>
                <w:rFonts w:hint="eastAsia"/>
                <w:color w:val="212121"/>
                <w:sz w:val="16"/>
                <w:szCs w:val="24"/>
                <w:highlight w:val="none"/>
              </w:rPr>
              <w:t>①具有人力资源和社会保障部门颁发的系统集成项目管理工程师证书的，得1分；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②具有中国网络安全审查技术与认证中心颁发的信息安全保障人员认证证书的，得1分；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③具有中国信息安全测评中心颁发的注册信息安全专业人员（CISP）证书的，得1分；</w:t>
            </w:r>
          </w:p>
          <w:p>
            <w:pPr>
              <w:pStyle w:val="23"/>
              <w:spacing w:before="7" w:line="266" w:lineRule="exact"/>
              <w:ind w:left="159" w:right="145"/>
              <w:rPr>
                <w:color w:val="212121"/>
                <w:sz w:val="16"/>
                <w:szCs w:val="24"/>
                <w:highlight w:val="none"/>
              </w:rPr>
            </w:pPr>
            <w:r>
              <w:rPr>
                <w:rFonts w:ascii="Arial" w:hAnsi="Arial" w:cs="Arial"/>
                <w:color w:val="333333"/>
                <w:sz w:val="16"/>
                <w:szCs w:val="16"/>
                <w:highlight w:val="none"/>
                <w:shd w:val="clear" w:color="auto" w:fill="FFFFFF"/>
              </w:rPr>
              <w:t>④</w:t>
            </w:r>
            <w:r>
              <w:rPr>
                <w:rFonts w:hint="eastAsia" w:ascii="Arial" w:hAnsi="Arial" w:cs="Arial"/>
                <w:color w:val="333333"/>
                <w:sz w:val="16"/>
                <w:szCs w:val="16"/>
                <w:highlight w:val="none"/>
                <w:shd w:val="clear" w:color="auto" w:fill="FFFFFF"/>
              </w:rPr>
              <w:t>具有</w:t>
            </w:r>
            <w:r>
              <w:rPr>
                <w:rFonts w:hint="eastAsia"/>
                <w:color w:val="212121"/>
                <w:sz w:val="16"/>
                <w:szCs w:val="24"/>
                <w:highlight w:val="none"/>
              </w:rPr>
              <w:t>工业和信息化相关部门颁发的IT服务工程师证书的，得1分。</w:t>
            </w:r>
          </w:p>
          <w:p>
            <w:pPr>
              <w:pStyle w:val="23"/>
              <w:spacing w:before="7" w:line="266" w:lineRule="exact"/>
              <w:ind w:left="159" w:right="145"/>
              <w:rPr>
                <w:color w:val="212121"/>
                <w:sz w:val="16"/>
                <w:szCs w:val="24"/>
                <w:highlight w:val="none"/>
              </w:rPr>
            </w:pPr>
            <w:r>
              <w:rPr>
                <w:rFonts w:hint="eastAsia"/>
                <w:color w:val="212121"/>
                <w:sz w:val="16"/>
                <w:szCs w:val="24"/>
                <w:highlight w:val="none"/>
              </w:rPr>
              <w:t>3.根据投标人拟投入本项目的技术人员（不含项目负责人及技术负责人）情况进行评审，最高得5分：</w:t>
            </w:r>
          </w:p>
          <w:p>
            <w:pPr>
              <w:pStyle w:val="23"/>
              <w:spacing w:before="7" w:line="266" w:lineRule="exact"/>
              <w:ind w:left="159" w:right="145"/>
              <w:rPr>
                <w:color w:val="212121"/>
                <w:sz w:val="16"/>
                <w:szCs w:val="24"/>
                <w:highlight w:val="none"/>
              </w:rPr>
            </w:pPr>
            <w:r>
              <w:rPr>
                <w:rFonts w:hint="eastAsia"/>
                <w:color w:val="212121"/>
                <w:sz w:val="16"/>
                <w:szCs w:val="24"/>
                <w:highlight w:val="none"/>
              </w:rPr>
              <w:t>①具有工业和信息化相关部门颁发的信息安全工程师证书的，每提供一个得1分，最高得3分；</w:t>
            </w:r>
          </w:p>
          <w:p>
            <w:pPr>
              <w:pStyle w:val="23"/>
              <w:spacing w:before="7" w:line="266" w:lineRule="exact"/>
              <w:ind w:left="159" w:right="145"/>
              <w:rPr>
                <w:color w:val="212121"/>
                <w:sz w:val="16"/>
                <w:szCs w:val="24"/>
                <w:highlight w:val="none"/>
              </w:rPr>
            </w:pPr>
            <w:r>
              <w:rPr>
                <w:rFonts w:hint="eastAsia"/>
                <w:color w:val="212121"/>
                <w:sz w:val="16"/>
                <w:szCs w:val="24"/>
                <w:highlight w:val="none"/>
              </w:rPr>
              <w:t>②具有人力资源和社会保障部、工业和信息化部颁发的网络工程师证书的，每提供一个得1分，最高得2分。</w:t>
            </w:r>
          </w:p>
          <w:p>
            <w:pPr>
              <w:pStyle w:val="23"/>
              <w:spacing w:before="7" w:line="266" w:lineRule="exact"/>
              <w:ind w:left="159" w:right="145"/>
              <w:rPr>
                <w:color w:val="212121"/>
                <w:sz w:val="16"/>
                <w:szCs w:val="24"/>
                <w:highlight w:val="none"/>
              </w:rPr>
            </w:pPr>
            <w:r>
              <w:rPr>
                <w:rFonts w:hint="eastAsia"/>
                <w:b/>
                <w:bCs/>
                <w:color w:val="212121"/>
                <w:sz w:val="16"/>
                <w:szCs w:val="24"/>
                <w:highlight w:val="none"/>
              </w:rPr>
              <w:t>注：项目负责人和技术负责人不能为同一人,且须提供人员证书及投标人为其缴纳的社会保障部门出具的近半年内任意连续3个月缴纳社会养老保险的有效凭证复印件，加盖投标人公章。</w:t>
            </w:r>
          </w:p>
        </w:tc>
      </w:tr>
    </w:tbl>
    <w:p>
      <w:pPr>
        <w:rPr>
          <w:highlight w:val="none"/>
        </w:rPr>
      </w:pPr>
    </w:p>
    <w:p>
      <w:pPr>
        <w:rPr>
          <w:rFonts w:hint="eastAsia"/>
          <w:highlight w:val="none"/>
        </w:rPr>
      </w:pPr>
      <w:r>
        <w:rPr>
          <w:b/>
          <w:sz w:val="24"/>
          <w:highlight w:val="none"/>
        </w:rPr>
        <w:t>4.汇总、排序</w:t>
      </w:r>
    </w:p>
    <w:p>
      <w:pPr>
        <w:rPr>
          <w:rFonts w:hint="eastAsia"/>
          <w:highlight w:val="none"/>
        </w:rPr>
      </w:pPr>
      <w:r>
        <w:rPr>
          <w:rFonts w:hint="eastAsia"/>
          <w:highlight w:val="none"/>
        </w:rPr>
        <w:t>采购包1：</w:t>
      </w:r>
    </w:p>
    <w:p>
      <w:pPr>
        <w:rPr>
          <w:highlight w:val="none"/>
        </w:rPr>
      </w:pPr>
      <w:r>
        <w:rPr>
          <w:rFonts w:hint="eastAsia"/>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对评审报告有异议的，应当在评审报告上签署不同意见，并说明理由，否则视为同意评审报告。</w:t>
      </w:r>
    </w:p>
    <w:p>
      <w:pPr>
        <w:rPr>
          <w:highlight w:val="none"/>
        </w:rPr>
      </w:pPr>
    </w:p>
    <w:p>
      <w:pPr>
        <w:rPr>
          <w:highlight w:val="none"/>
        </w:rPr>
      </w:pPr>
      <w:r>
        <w:rPr>
          <w:b/>
          <w:sz w:val="24"/>
          <w:highlight w:val="none"/>
        </w:rPr>
        <w:t>5.中标价的确定</w:t>
      </w:r>
    </w:p>
    <w:p>
      <w:pPr>
        <w:ind w:firstLine="480"/>
        <w:rPr>
          <w:highlight w:val="none"/>
        </w:rPr>
      </w:pPr>
      <w:r>
        <w:rPr>
          <w:highlight w:val="none"/>
        </w:rPr>
        <w:t>除了按第四章第一点第7条修正并经投标人确认的投标报价作为中标价外，中标价以开标时公开唱标价为准。</w:t>
      </w:r>
    </w:p>
    <w:p>
      <w:pPr>
        <w:rPr>
          <w:highlight w:val="none"/>
        </w:rPr>
      </w:pPr>
      <w:r>
        <w:rPr>
          <w:b/>
          <w:sz w:val="24"/>
          <w:highlight w:val="none"/>
        </w:rPr>
        <w:t>6.其他无效投标的情形：</w:t>
      </w:r>
    </w:p>
    <w:p>
      <w:pPr>
        <w:ind w:firstLine="480"/>
        <w:rPr>
          <w:highlight w:val="none"/>
        </w:rPr>
      </w:pPr>
      <w:r>
        <w:rPr>
          <w:highlight w:val="none"/>
        </w:rPr>
        <w:t>(1)评标期间，投标人没有按评标委员会的要求提交法定代表人或其委托代理人签字的澄清、说明、补正或改变了投标文件的实质性内容的。</w:t>
      </w:r>
    </w:p>
    <w:p>
      <w:pPr>
        <w:ind w:firstLine="480"/>
        <w:rPr>
          <w:highlight w:val="none"/>
        </w:rPr>
      </w:pPr>
      <w:r>
        <w:rPr>
          <w:highlight w:val="none"/>
        </w:rPr>
        <w:t>(2)投标文件提供虚假材料的。</w:t>
      </w:r>
    </w:p>
    <w:p>
      <w:pPr>
        <w:ind w:firstLine="480"/>
        <w:rPr>
          <w:highlight w:val="none"/>
        </w:rPr>
      </w:pPr>
      <w:r>
        <w:rPr>
          <w:highlight w:val="none"/>
        </w:rPr>
        <w:t>(3)投标人以他人名义投标、串通投标、以行贿手段谋取中标或者以其他弄虚作假方式投标的。</w:t>
      </w:r>
    </w:p>
    <w:p>
      <w:pPr>
        <w:ind w:firstLine="480"/>
        <w:rPr>
          <w:highlight w:val="none"/>
        </w:rPr>
      </w:pPr>
      <w:r>
        <w:rPr>
          <w:highlight w:val="none"/>
        </w:rPr>
        <w:t>(4)投标人对采购人、采购代理机构、评标委员会及其工作人员施加影响，有碍招标公平、公正的。</w:t>
      </w:r>
    </w:p>
    <w:p>
      <w:pPr>
        <w:ind w:firstLine="480"/>
        <w:rPr>
          <w:highlight w:val="none"/>
        </w:rPr>
      </w:pPr>
      <w:r>
        <w:rPr>
          <w:highlight w:val="none"/>
        </w:rPr>
        <w:t>(5)投标文件含有采购人不能接受的附加条件的。</w:t>
      </w:r>
    </w:p>
    <w:p>
      <w:pPr>
        <w:ind w:firstLine="480"/>
        <w:rPr>
          <w:highlight w:val="none"/>
        </w:rPr>
      </w:pPr>
      <w:r>
        <w:rPr>
          <w:highlight w:val="none"/>
        </w:rPr>
        <w:t>(6)法律、法规和招标文件规定的其他无效情形。</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highlight w:val="none"/>
        </w:rPr>
      </w:pPr>
      <w:r>
        <w:rPr>
          <w:b/>
          <w:sz w:val="36"/>
          <w:highlight w:val="none"/>
        </w:rPr>
        <w:t>第五章 合同文本</w:t>
      </w:r>
    </w:p>
    <w:p>
      <w:pPr>
        <w:ind w:firstLine="480"/>
        <w:rPr>
          <w:highlight w:val="none"/>
        </w:rPr>
      </w:pPr>
    </w:p>
    <w:p>
      <w:pPr>
        <w:rPr>
          <w:highlight w:val="none"/>
        </w:rPr>
      </w:pPr>
    </w:p>
    <w:p>
      <w:pPr>
        <w:jc w:val="center"/>
        <w:rPr>
          <w:highlight w:val="none"/>
        </w:rPr>
      </w:pPr>
      <w:r>
        <w:rPr>
          <w:b/>
          <w:sz w:val="48"/>
          <w:highlight w:val="none"/>
        </w:rPr>
        <w:t xml:space="preserve"> </w:t>
      </w:r>
    </w:p>
    <w:p>
      <w:pPr>
        <w:jc w:val="center"/>
        <w:rPr>
          <w:highlight w:val="none"/>
        </w:rPr>
      </w:pPr>
      <w:r>
        <w:rPr>
          <w:b/>
          <w:sz w:val="48"/>
          <w:highlight w:val="none"/>
        </w:rPr>
        <w:t xml:space="preserve"> </w:t>
      </w:r>
    </w:p>
    <w:p>
      <w:pPr>
        <w:jc w:val="center"/>
        <w:rPr>
          <w:highlight w:val="none"/>
        </w:rPr>
      </w:pPr>
      <w:r>
        <w:rPr>
          <w:b/>
          <w:sz w:val="48"/>
          <w:highlight w:val="none"/>
        </w:rPr>
        <w:t xml:space="preserve"> </w:t>
      </w:r>
    </w:p>
    <w:p>
      <w:pPr>
        <w:tabs>
          <w:tab w:val="left" w:pos="720"/>
        </w:tabs>
        <w:spacing w:line="360" w:lineRule="auto"/>
        <w:jc w:val="center"/>
        <w:rPr>
          <w:rFonts w:hint="eastAsia" w:ascii="仿宋_GB2312" w:hAnsi="仿宋_GB2312" w:eastAsia="仿宋_GB2312" w:cs="仿宋_GB2312"/>
          <w:color w:val="000000"/>
          <w:sz w:val="43"/>
          <w:szCs w:val="43"/>
          <w:highlight w:val="none"/>
        </w:rPr>
      </w:pPr>
      <w:r>
        <w:rPr>
          <w:rFonts w:hint="eastAsia" w:ascii="仿宋_GB2312" w:hAnsi="仿宋_GB2312" w:eastAsia="仿宋_GB2312" w:cs="仿宋_GB2312"/>
          <w:color w:val="000000"/>
          <w:sz w:val="43"/>
          <w:szCs w:val="43"/>
          <w:highlight w:val="none"/>
        </w:rPr>
        <w:t>政府采购合同书</w:t>
      </w:r>
      <w:r>
        <w:rPr>
          <w:rFonts w:hint="eastAsia" w:ascii="仿宋_GB2312" w:hAnsi="仿宋_GB2312" w:eastAsia="仿宋_GB2312" w:cs="仿宋_GB2312"/>
          <w:color w:val="000000"/>
          <w:sz w:val="31"/>
          <w:szCs w:val="31"/>
          <w:highlight w:val="none"/>
        </w:rPr>
        <w:t>（货物类）</w:t>
      </w:r>
    </w:p>
    <w:p>
      <w:pPr>
        <w:tabs>
          <w:tab w:val="left" w:pos="720"/>
        </w:tabs>
        <w:spacing w:line="360" w:lineRule="auto"/>
        <w:rPr>
          <w:rFonts w:hint="eastAsia" w:ascii="仿宋_GB2312" w:hAnsi="仿宋_GB2312" w:eastAsia="仿宋_GB2312" w:cs="仿宋_GB2312"/>
          <w:b/>
          <w:color w:val="000000"/>
          <w:sz w:val="31"/>
          <w:szCs w:val="31"/>
          <w:highlight w:val="none"/>
        </w:rPr>
      </w:pPr>
    </w:p>
    <w:p>
      <w:pPr>
        <w:tabs>
          <w:tab w:val="left" w:pos="720"/>
        </w:tabs>
        <w:spacing w:line="360" w:lineRule="auto"/>
        <w:ind w:firstLine="610" w:firstLineChars="196"/>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甲  方：</w:t>
      </w:r>
      <w:r>
        <w:rPr>
          <w:rFonts w:hint="eastAsia" w:ascii="仿宋_GB2312" w:hAnsi="仿宋_GB2312" w:eastAsia="仿宋_GB2312" w:cs="仿宋_GB2312"/>
          <w:b/>
          <w:color w:val="000000"/>
          <w:sz w:val="31"/>
          <w:szCs w:val="31"/>
          <w:highlight w:val="none"/>
          <w:u w:val="single"/>
        </w:rPr>
        <w:t xml:space="preserve">                   </w:t>
      </w:r>
    </w:p>
    <w:p>
      <w:pPr>
        <w:tabs>
          <w:tab w:val="left" w:pos="720"/>
        </w:tabs>
        <w:spacing w:line="360" w:lineRule="auto"/>
        <w:ind w:firstLine="610" w:firstLineChars="196"/>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乙  方：</w:t>
      </w:r>
      <w:r>
        <w:rPr>
          <w:rFonts w:hint="eastAsia" w:ascii="仿宋_GB2312" w:hAnsi="仿宋_GB2312" w:eastAsia="仿宋_GB2312" w:cs="仿宋_GB2312"/>
          <w:b/>
          <w:color w:val="000000"/>
          <w:sz w:val="31"/>
          <w:szCs w:val="31"/>
          <w:highlight w:val="none"/>
          <w:u w:val="single"/>
        </w:rPr>
        <w:t xml:space="preserve">                    </w:t>
      </w:r>
      <w:r>
        <w:rPr>
          <w:rFonts w:hint="eastAsia" w:ascii="仿宋_GB2312" w:hAnsi="仿宋_GB2312" w:eastAsia="仿宋_GB2312" w:cs="仿宋_GB2312"/>
          <w:b/>
          <w:color w:val="000000"/>
          <w:sz w:val="31"/>
          <w:szCs w:val="31"/>
          <w:highlight w:val="none"/>
        </w:rPr>
        <w:br w:type="textWrapping"/>
      </w:r>
      <w:r>
        <w:rPr>
          <w:rFonts w:hint="eastAsia" w:ascii="仿宋_GB2312" w:hAnsi="仿宋_GB2312" w:eastAsia="仿宋_GB2312" w:cs="仿宋_GB2312"/>
          <w:color w:val="000000"/>
          <w:sz w:val="31"/>
          <w:szCs w:val="31"/>
          <w:highlight w:val="none"/>
        </w:rPr>
        <w:t xml:space="preserve">               </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根据 </w:t>
      </w:r>
      <w:r>
        <w:rPr>
          <w:rFonts w:hint="eastAsia" w:ascii="仿宋_GB2312" w:hAnsi="仿宋_GB2312" w:eastAsia="仿宋_GB2312" w:cs="仿宋_GB2312"/>
          <w:color w:val="000000"/>
          <w:sz w:val="31"/>
          <w:szCs w:val="31"/>
          <w:highlight w:val="none"/>
          <w:u w:val="single"/>
        </w:rPr>
        <w:t xml:space="preserve">              项目</w:t>
      </w:r>
      <w:r>
        <w:rPr>
          <w:rFonts w:hint="eastAsia" w:ascii="仿宋_GB2312" w:hAnsi="仿宋_GB2312" w:eastAsia="仿宋_GB2312" w:cs="仿宋_GB2312"/>
          <w:color w:val="000000"/>
          <w:sz w:val="31"/>
          <w:szCs w:val="31"/>
          <w:highlight w:val="none"/>
        </w:rPr>
        <w:t>的采购结果，按照《中华人民共和国政府采购法》、《民法典》</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的规定，</w:t>
      </w:r>
      <w:r>
        <w:rPr>
          <w:rFonts w:hint="eastAsia" w:ascii="仿宋_GB2312" w:hAnsi="仿宋_GB2312" w:eastAsia="仿宋_GB2312" w:cs="仿宋_GB2312"/>
          <w:color w:val="000000"/>
          <w:kern w:val="28"/>
          <w:sz w:val="31"/>
          <w:szCs w:val="31"/>
          <w:highlight w:val="none"/>
        </w:rPr>
        <w:t>经双方协商，</w:t>
      </w:r>
      <w:r>
        <w:rPr>
          <w:rFonts w:hint="eastAsia" w:ascii="仿宋_GB2312" w:hAnsi="仿宋_GB2312" w:eastAsia="仿宋_GB2312" w:cs="仿宋_GB2312"/>
          <w:color w:val="000000"/>
          <w:sz w:val="31"/>
          <w:szCs w:val="31"/>
          <w:highlight w:val="none"/>
        </w:rPr>
        <w:t>本着平等互利和诚实信用的原则，</w:t>
      </w:r>
      <w:r>
        <w:rPr>
          <w:rFonts w:hint="eastAsia" w:ascii="仿宋_GB2312" w:hAnsi="仿宋_GB2312" w:eastAsia="仿宋_GB2312" w:cs="仿宋_GB2312"/>
          <w:color w:val="000000"/>
          <w:kern w:val="28"/>
          <w:sz w:val="31"/>
          <w:szCs w:val="31"/>
          <w:highlight w:val="none"/>
        </w:rPr>
        <w:t>一致同意签订本合同，共同遵守如下条款。</w:t>
      </w:r>
    </w:p>
    <w:p>
      <w:pPr>
        <w:spacing w:line="360" w:lineRule="auto"/>
        <w:ind w:firstLine="610" w:firstLineChars="196"/>
        <w:rPr>
          <w:rFonts w:hint="eastAsia" w:ascii="仿宋_GB2312" w:hAnsi="仿宋_GB2312" w:eastAsia="仿宋_GB2312" w:cs="仿宋_GB2312"/>
          <w:b/>
          <w:color w:val="000000"/>
          <w:sz w:val="31"/>
          <w:szCs w:val="31"/>
          <w:highlight w:val="none"/>
        </w:rPr>
      </w:pPr>
    </w:p>
    <w:p>
      <w:pPr>
        <w:spacing w:line="360" w:lineRule="auto"/>
        <w:ind w:firstLine="610" w:firstLineChars="196"/>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 xml:space="preserve">一、货物内容 </w:t>
      </w:r>
    </w:p>
    <w:tbl>
      <w:tblPr>
        <w:tblStyle w:val="14"/>
        <w:tblW w:w="8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10"/>
        <w:gridCol w:w="2250"/>
        <w:gridCol w:w="885"/>
        <w:gridCol w:w="870"/>
        <w:gridCol w:w="15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atLeast"/>
        </w:trPr>
        <w:tc>
          <w:tcPr>
            <w:tcW w:w="653" w:type="dxa"/>
            <w:tcBorders>
              <w:left w:val="single" w:color="auto" w:sz="8" w:space="0"/>
              <w:right w:val="single" w:color="auto" w:sz="4"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序号</w:t>
            </w:r>
          </w:p>
        </w:tc>
        <w:tc>
          <w:tcPr>
            <w:tcW w:w="1110" w:type="dxa"/>
            <w:tcBorders>
              <w:left w:val="single" w:color="auto" w:sz="8" w:space="0"/>
              <w:right w:val="single" w:color="auto" w:sz="4"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商品名称</w:t>
            </w:r>
          </w:p>
        </w:tc>
        <w:tc>
          <w:tcPr>
            <w:tcW w:w="2250" w:type="dxa"/>
            <w:tcBorders>
              <w:left w:val="single" w:color="auto" w:sz="4" w:space="0"/>
              <w:bottom w:val="single" w:color="auto" w:sz="8" w:space="0"/>
              <w:right w:val="single" w:color="auto" w:sz="4"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品牌、规格型号、配置（性能参数）</w:t>
            </w:r>
          </w:p>
        </w:tc>
        <w:tc>
          <w:tcPr>
            <w:tcW w:w="885" w:type="dxa"/>
            <w:tcBorders>
              <w:left w:val="single" w:color="auto" w:sz="4" w:space="0"/>
              <w:bottom w:val="single" w:color="auto" w:sz="8" w:space="0"/>
              <w:right w:val="single" w:color="auto" w:sz="4"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产地</w:t>
            </w:r>
          </w:p>
        </w:tc>
        <w:tc>
          <w:tcPr>
            <w:tcW w:w="870" w:type="dxa"/>
            <w:tcBorders>
              <w:left w:val="single" w:color="auto" w:sz="4" w:space="0"/>
              <w:bottom w:val="single" w:color="auto" w:sz="8" w:space="0"/>
              <w:right w:val="single" w:color="auto" w:sz="4"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w:t>
            </w:r>
          </w:p>
        </w:tc>
        <w:tc>
          <w:tcPr>
            <w:tcW w:w="1575" w:type="dxa"/>
            <w:tcBorders>
              <w:left w:val="single" w:color="auto" w:sz="4" w:space="0"/>
              <w:bottom w:val="nil"/>
              <w:right w:val="single" w:color="auto" w:sz="8"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数量(元)</w:t>
            </w:r>
          </w:p>
        </w:tc>
        <w:tc>
          <w:tcPr>
            <w:tcW w:w="990" w:type="dxa"/>
            <w:tcBorders>
              <w:left w:val="single" w:color="auto" w:sz="4" w:space="0"/>
              <w:bottom w:val="nil"/>
              <w:right w:val="single" w:color="auto" w:sz="8" w:space="0"/>
            </w:tcBorders>
            <w:noWrap w:val="0"/>
            <w:vAlign w:val="center"/>
          </w:tcPr>
          <w:p>
            <w:pPr>
              <w:spacing w:line="360" w:lineRule="auto"/>
              <w:ind w:left="178" w:leftChars="85"/>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53" w:type="dxa"/>
            <w:tcBorders>
              <w:left w:val="single" w:color="auto" w:sz="8" w:space="0"/>
              <w:right w:val="single" w:color="auto" w:sz="4" w:space="0"/>
            </w:tcBorders>
            <w:noWrap w:val="0"/>
            <w:vAlign w:val="center"/>
          </w:tcPr>
          <w:p>
            <w:pPr>
              <w:spacing w:line="360" w:lineRule="auto"/>
              <w:ind w:left="178" w:leftChars="85" w:firstLine="744" w:firstLineChars="240"/>
              <w:jc w:val="center"/>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w:t>
            </w:r>
          </w:p>
        </w:tc>
        <w:tc>
          <w:tcPr>
            <w:tcW w:w="1110" w:type="dxa"/>
            <w:tcBorders>
              <w:left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2250" w:type="dxa"/>
            <w:tcBorders>
              <w:left w:val="single" w:color="auto" w:sz="4"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85"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70"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1575"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990"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53" w:type="dxa"/>
            <w:tcBorders>
              <w:left w:val="single" w:color="auto" w:sz="8" w:space="0"/>
              <w:right w:val="single" w:color="auto" w:sz="4" w:space="0"/>
            </w:tcBorders>
            <w:noWrap w:val="0"/>
            <w:vAlign w:val="center"/>
          </w:tcPr>
          <w:p>
            <w:pPr>
              <w:spacing w:line="360" w:lineRule="auto"/>
              <w:ind w:left="178" w:leftChars="85" w:firstLine="744" w:firstLineChars="240"/>
              <w:jc w:val="center"/>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w:t>
            </w:r>
          </w:p>
        </w:tc>
        <w:tc>
          <w:tcPr>
            <w:tcW w:w="1110" w:type="dxa"/>
            <w:tcBorders>
              <w:left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2250" w:type="dxa"/>
            <w:tcBorders>
              <w:left w:val="single" w:color="auto" w:sz="4"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85"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70"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1575"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990"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53" w:type="dxa"/>
            <w:tcBorders>
              <w:left w:val="single" w:color="auto" w:sz="8" w:space="0"/>
              <w:right w:val="single" w:color="auto" w:sz="4" w:space="0"/>
            </w:tcBorders>
            <w:noWrap w:val="0"/>
            <w:vAlign w:val="center"/>
          </w:tcPr>
          <w:p>
            <w:pPr>
              <w:spacing w:line="360" w:lineRule="auto"/>
              <w:ind w:left="178" w:leftChars="85" w:firstLine="744" w:firstLineChars="240"/>
              <w:jc w:val="center"/>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w:t>
            </w:r>
          </w:p>
        </w:tc>
        <w:tc>
          <w:tcPr>
            <w:tcW w:w="1110" w:type="dxa"/>
            <w:tcBorders>
              <w:left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2250" w:type="dxa"/>
            <w:tcBorders>
              <w:left w:val="single" w:color="auto" w:sz="4"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85"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70"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1575"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990"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53" w:type="dxa"/>
            <w:tcBorders>
              <w:left w:val="single" w:color="auto" w:sz="8" w:space="0"/>
              <w:right w:val="single" w:color="auto" w:sz="4" w:space="0"/>
            </w:tcBorders>
            <w:noWrap w:val="0"/>
            <w:vAlign w:val="center"/>
          </w:tcPr>
          <w:p>
            <w:pPr>
              <w:spacing w:line="360" w:lineRule="auto"/>
              <w:ind w:left="178" w:leftChars="85" w:firstLine="744" w:firstLineChars="240"/>
              <w:jc w:val="center"/>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w:t>
            </w:r>
          </w:p>
        </w:tc>
        <w:tc>
          <w:tcPr>
            <w:tcW w:w="1110" w:type="dxa"/>
            <w:tcBorders>
              <w:left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2250" w:type="dxa"/>
            <w:tcBorders>
              <w:left w:val="single" w:color="auto" w:sz="4"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85"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870" w:type="dxa"/>
            <w:tcBorders>
              <w:left w:val="single" w:color="auto" w:sz="4" w:space="0"/>
              <w:bottom w:val="single" w:color="auto" w:sz="8" w:space="0"/>
              <w:right w:val="single" w:color="auto" w:sz="4"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1575"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c>
          <w:tcPr>
            <w:tcW w:w="990" w:type="dxa"/>
            <w:tcBorders>
              <w:left w:val="single" w:color="auto" w:sz="4" w:space="0"/>
              <w:bottom w:val="nil"/>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33" w:type="dxa"/>
            <w:gridSpan w:val="7"/>
            <w:tcBorders>
              <w:left w:val="single" w:color="auto" w:sz="8" w:space="0"/>
              <w:right w:val="single" w:color="auto" w:sz="8" w:space="0"/>
            </w:tcBorders>
            <w:noWrap w:val="0"/>
            <w:vAlign w:val="center"/>
          </w:tcPr>
          <w:p>
            <w:pPr>
              <w:spacing w:line="360" w:lineRule="auto"/>
              <w:ind w:left="178" w:leftChars="85" w:firstLine="744" w:firstLineChars="24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合计总额：￥       元；    大写：         </w:t>
            </w:r>
          </w:p>
        </w:tc>
      </w:tr>
    </w:tbl>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注：货物名称内容必须与投标文件中货物名称内容一致。</w:t>
      </w:r>
    </w:p>
    <w:p>
      <w:pPr>
        <w:spacing w:line="360" w:lineRule="auto"/>
        <w:ind w:left="178" w:leftChars="85" w:firstLine="747" w:firstLineChars="24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二、合同金额</w:t>
      </w:r>
    </w:p>
    <w:p>
      <w:pPr>
        <w:pStyle w:val="9"/>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1、合同金额为：</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元（大写</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元）人民币。</w:t>
      </w:r>
    </w:p>
    <w:p>
      <w:pPr>
        <w:spacing w:line="360" w:lineRule="auto"/>
        <w:ind w:firstLine="744" w:firstLineChars="24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2、合同总额包括乙方设计、安装、随机零配件、标配工具、运输保险、调试、培训、质保期服务、各项税费及合同实施过程中不可预见费用等。</w:t>
      </w:r>
    </w:p>
    <w:p>
      <w:pPr>
        <w:pStyle w:val="9"/>
        <w:spacing w:line="360" w:lineRule="auto"/>
        <w:ind w:firstLine="744" w:firstLineChars="24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3、本合同价为固定不变价。</w:t>
      </w:r>
    </w:p>
    <w:p>
      <w:pPr>
        <w:spacing w:line="360" w:lineRule="auto"/>
        <w:ind w:left="178" w:leftChars="85" w:firstLine="747" w:firstLineChars="24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三、设备要求</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1、货物为原制造商制造的全新产品，整机无污染，无侵权行为、表面无划损、无任何缺陷隐患，在中国境内可依常规安全合法使用。</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2、交付验收标准</w:t>
      </w:r>
      <w:r>
        <w:rPr>
          <w:rFonts w:hint="eastAsia" w:ascii="仿宋_GB2312" w:hAnsi="仿宋_GB2312" w:eastAsia="仿宋_GB2312" w:cs="仿宋_GB2312"/>
          <w:color w:val="000000"/>
          <w:sz w:val="31"/>
          <w:szCs w:val="31"/>
          <w:highlight w:val="none"/>
          <w:lang w:val="en-GB"/>
        </w:rPr>
        <w:t>依次序对照适用标准为：</w:t>
      </w:r>
      <w:r>
        <w:rPr>
          <w:rFonts w:hint="eastAsia" w:ascii="仿宋_GB2312" w:hAnsi="仿宋_GB2312" w:eastAsia="仿宋_GB2312" w:cs="仿宋_GB2312"/>
          <w:color w:val="000000"/>
          <w:sz w:val="31"/>
          <w:szCs w:val="31"/>
          <w:highlight w:val="none"/>
        </w:rPr>
        <w:t xml:space="preserve">①符合中华人民共和国国家安全质量标准、环保标准或行业标准；②符合采购文件和响应承诺中甲方认可的合理最佳配置、参数及各项要求；③货物来源国官方标准。    </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3、进口产品必须具备原产地证明和商检局的检验证明及合法进货渠道证明。</w:t>
      </w:r>
    </w:p>
    <w:p>
      <w:pPr>
        <w:tabs>
          <w:tab w:val="left" w:pos="735"/>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4、货物为原厂商未启封全新包装，具出厂合格证，序列号、包装箱号与出厂批号一致，并可追索查阅。</w:t>
      </w:r>
    </w:p>
    <w:p>
      <w:pPr>
        <w:tabs>
          <w:tab w:val="left" w:pos="36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5、乙方应将关键主机设备的用户手册、保修手册、有关单证资料及配备件、随机工具等交付给甲方，使用操作及安全须知等重要资料应附有中文说明。</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四、交货期、交货方式及交货地点</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1、交货期：</w:t>
      </w:r>
      <w:r>
        <w:rPr>
          <w:rFonts w:hint="eastAsia" w:ascii="仿宋_GB2312" w:hAnsi="仿宋_GB2312" w:eastAsia="仿宋_GB2312" w:cs="仿宋_GB2312"/>
          <w:color w:val="000000"/>
          <w:sz w:val="31"/>
          <w:szCs w:val="31"/>
          <w:highlight w:val="none"/>
          <w:u w:val="single"/>
        </w:rPr>
        <w:t xml:space="preserve">               </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2、交货方式：</w:t>
      </w:r>
      <w:r>
        <w:rPr>
          <w:rFonts w:hint="eastAsia" w:ascii="仿宋_GB2312" w:hAnsi="仿宋_GB2312" w:eastAsia="仿宋_GB2312" w:cs="仿宋_GB2312"/>
          <w:color w:val="000000"/>
          <w:sz w:val="31"/>
          <w:szCs w:val="31"/>
          <w:highlight w:val="none"/>
          <w:u w:val="single"/>
        </w:rPr>
        <w:t xml:space="preserve">               </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3、交货地点： </w:t>
      </w:r>
      <w:r>
        <w:rPr>
          <w:rFonts w:hint="eastAsia" w:ascii="仿宋_GB2312" w:hAnsi="仿宋_GB2312" w:eastAsia="仿宋_GB2312" w:cs="仿宋_GB2312"/>
          <w:color w:val="000000"/>
          <w:sz w:val="31"/>
          <w:szCs w:val="31"/>
          <w:highlight w:val="none"/>
          <w:u w:val="single"/>
        </w:rPr>
        <w:t xml:space="preserve">               </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b/>
          <w:color w:val="000000"/>
          <w:sz w:val="31"/>
          <w:szCs w:val="31"/>
          <w:highlight w:val="none"/>
        </w:rPr>
        <w:t>五、付款方式</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由甲方按下列程序付款：</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1、预付款：本项目不设预付款。</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w:t>
      </w:r>
      <w:r>
        <w:rPr>
          <w:rFonts w:hint="eastAsia" w:ascii="仿宋_GB2312" w:hAnsi="仿宋_GB2312" w:eastAsia="仿宋_GB2312" w:cs="仿宋_GB2312"/>
          <w:color w:val="000000"/>
          <w:sz w:val="31"/>
          <w:szCs w:val="31"/>
          <w:highlight w:val="none"/>
          <w:lang w:eastAsia="zh-CN"/>
        </w:rPr>
        <w:t>所有设备到货并验收合格后，乙方</w:t>
      </w:r>
      <w:r>
        <w:rPr>
          <w:rFonts w:hint="eastAsia" w:ascii="仿宋_GB2312" w:hAnsi="仿宋_GB2312" w:eastAsia="仿宋_GB2312" w:cs="仿宋_GB2312"/>
          <w:color w:val="000000"/>
          <w:sz w:val="31"/>
          <w:szCs w:val="31"/>
          <w:highlight w:val="none"/>
        </w:rPr>
        <w:t>向</w:t>
      </w:r>
      <w:r>
        <w:rPr>
          <w:rFonts w:hint="eastAsia" w:ascii="仿宋_GB2312" w:hAnsi="仿宋_GB2312" w:eastAsia="仿宋_GB2312" w:cs="仿宋_GB2312"/>
          <w:color w:val="000000"/>
          <w:sz w:val="31"/>
          <w:szCs w:val="31"/>
          <w:highlight w:val="none"/>
          <w:lang w:eastAsia="zh-CN"/>
        </w:rPr>
        <w:t>甲方</w:t>
      </w:r>
      <w:r>
        <w:rPr>
          <w:rFonts w:hint="eastAsia" w:ascii="仿宋_GB2312" w:hAnsi="仿宋_GB2312" w:eastAsia="仿宋_GB2312" w:cs="仿宋_GB2312"/>
          <w:color w:val="000000"/>
          <w:sz w:val="31"/>
          <w:szCs w:val="31"/>
          <w:highlight w:val="none"/>
        </w:rPr>
        <w:t>申请支付合同总额的</w:t>
      </w:r>
      <w:r>
        <w:rPr>
          <w:rFonts w:hint="eastAsia" w:ascii="仿宋_GB2312" w:hAnsi="仿宋_GB2312" w:eastAsia="仿宋_GB2312" w:cs="仿宋_GB2312"/>
          <w:color w:val="000000"/>
          <w:sz w:val="31"/>
          <w:szCs w:val="31"/>
          <w:highlight w:val="none"/>
          <w:lang w:val="en-US" w:eastAsia="zh-CN"/>
        </w:rPr>
        <w:t>80</w:t>
      </w:r>
      <w:r>
        <w:rPr>
          <w:rFonts w:hint="eastAsia" w:ascii="仿宋_GB2312" w:hAnsi="仿宋_GB2312" w:eastAsia="仿宋_GB2312" w:cs="仿宋_GB2312"/>
          <w:color w:val="000000"/>
          <w:sz w:val="31"/>
          <w:szCs w:val="31"/>
          <w:highlight w:val="none"/>
        </w:rPr>
        <w:t>%</w:t>
      </w:r>
      <w:r>
        <w:rPr>
          <w:rFonts w:hint="eastAsia" w:ascii="仿宋_GB2312" w:hAnsi="仿宋_GB2312" w:eastAsia="仿宋_GB2312" w:cs="仿宋_GB2312"/>
          <w:color w:val="000000"/>
          <w:sz w:val="31"/>
          <w:szCs w:val="31"/>
          <w:highlight w:val="none"/>
          <w:lang w:eastAsia="zh-CN"/>
        </w:rPr>
        <w:t>。设备验收合格并运行</w:t>
      </w:r>
      <w:r>
        <w:rPr>
          <w:rFonts w:hint="eastAsia" w:ascii="仿宋_GB2312" w:hAnsi="仿宋_GB2312" w:eastAsia="仿宋_GB2312" w:cs="仿宋_GB2312"/>
          <w:color w:val="000000"/>
          <w:sz w:val="31"/>
          <w:szCs w:val="31"/>
          <w:highlight w:val="none"/>
          <w:lang w:val="en-US" w:eastAsia="zh-CN"/>
        </w:rPr>
        <w:t>1个月后未出现不合格情况，乙方向甲方申请支付合同总额的20%。</w:t>
      </w:r>
    </w:p>
    <w:p>
      <w:pPr>
        <w:pStyle w:val="25"/>
        <w:spacing w:line="360" w:lineRule="auto"/>
        <w:ind w:firstLine="620" w:firstLineChars="200"/>
        <w:rPr>
          <w:rFonts w:hint="eastAsia" w:ascii="仿宋_GB2312" w:hAnsi="仿宋_GB2312" w:eastAsia="仿宋_GB2312" w:cs="仿宋_GB2312"/>
          <w:color w:val="000000"/>
          <w:szCs w:val="31"/>
          <w:highlight w:val="none"/>
        </w:rPr>
      </w:pPr>
      <w:r>
        <w:rPr>
          <w:rFonts w:hint="eastAsia" w:ascii="仿宋_GB2312" w:hAnsi="仿宋_GB2312" w:eastAsia="仿宋_GB2312" w:cs="仿宋_GB2312"/>
          <w:color w:val="000000"/>
          <w:szCs w:val="31"/>
          <w:highlight w:val="none"/>
        </w:rPr>
        <w:t>备注：收款单位必须是签订合同的乙方单位，不能委托其分公司或者合同以外的其他公司代为收取款项。</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六、质保期及售后服务要求</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1、本合同的质量保证期（简称“质保期”）为</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年，质保期自甲、乙双方在设备验收单上签字之日起计算。质保期内乙方对所供货物实行包修、包换、包退、包维护保养，并承担修理、调换或退货的实际费用。乙方不能修理或不能调换，均按不能交货处理，乙方应退回100%设备款。期满后可同时提供终身</w:t>
      </w:r>
      <w:r>
        <w:rPr>
          <w:rFonts w:hint="eastAsia" w:ascii="仿宋_GB2312" w:hAnsi="仿宋_GB2312" w:eastAsia="仿宋_GB2312" w:cs="仿宋_GB2312"/>
          <w:color w:val="000000"/>
          <w:sz w:val="31"/>
          <w:szCs w:val="31"/>
          <w:highlight w:val="none"/>
          <w:u w:val="single"/>
        </w:rPr>
        <w:t>（免费/有偿）</w:t>
      </w:r>
      <w:r>
        <w:rPr>
          <w:rFonts w:hint="eastAsia" w:ascii="仿宋_GB2312" w:hAnsi="仿宋_GB2312" w:eastAsia="仿宋_GB2312" w:cs="仿宋_GB2312"/>
          <w:color w:val="000000"/>
          <w:sz w:val="31"/>
          <w:szCs w:val="31"/>
          <w:highlight w:val="none"/>
        </w:rPr>
        <w:t>维修保养服务。</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2、质保期内，如设备或零部件因非人为因素出现故障而造成短期停用时，则质保期和免费维修期相应顺延。如停用时间累计超过60天则质保期重新计算。</w:t>
      </w:r>
    </w:p>
    <w:p>
      <w:pPr>
        <w:pStyle w:val="2"/>
        <w:keepNext w:val="0"/>
        <w:keepLines w:val="0"/>
        <w:pageBreakBefore w:val="0"/>
        <w:widowControl w:val="0"/>
        <w:kinsoku/>
        <w:wordWrap/>
        <w:overflowPunct/>
        <w:topLinePunct w:val="0"/>
        <w:autoSpaceDE/>
        <w:autoSpaceDN/>
        <w:bidi w:val="0"/>
        <w:adjustRightInd/>
        <w:snapToGrid/>
        <w:spacing w:line="420" w:lineRule="exact"/>
        <w:ind w:firstLine="620" w:firstLineChars="200"/>
        <w:textAlignment w:val="auto"/>
        <w:rPr>
          <w:rFonts w:hint="eastAsia" w:ascii="仿宋_GB2312" w:hAnsi="仿宋_GB2312" w:eastAsia="仿宋_GB2312" w:cs="仿宋_GB2312"/>
          <w:color w:val="000000"/>
          <w:kern w:val="2"/>
          <w:sz w:val="31"/>
          <w:szCs w:val="31"/>
          <w:highlight w:val="none"/>
          <w:lang w:val="en-US" w:eastAsia="zh-CN" w:bidi="ar-SA"/>
        </w:rPr>
      </w:pPr>
      <w:r>
        <w:rPr>
          <w:rFonts w:hint="eastAsia" w:ascii="仿宋_GB2312" w:hAnsi="仿宋_GB2312" w:eastAsia="仿宋_GB2312" w:cs="仿宋_GB2312"/>
          <w:color w:val="000000"/>
          <w:sz w:val="31"/>
          <w:szCs w:val="31"/>
          <w:highlight w:val="none"/>
        </w:rPr>
        <w:t>3、</w:t>
      </w:r>
      <w:r>
        <w:rPr>
          <w:rFonts w:hint="eastAsia" w:ascii="仿宋_GB2312" w:hAnsi="仿宋_GB2312" w:eastAsia="仿宋_GB2312" w:cs="仿宋_GB2312"/>
          <w:color w:val="000000"/>
          <w:kern w:val="2"/>
          <w:sz w:val="31"/>
          <w:szCs w:val="31"/>
          <w:highlight w:val="none"/>
          <w:lang w:val="en-US" w:eastAsia="zh-CN" w:bidi="ar-SA"/>
        </w:rPr>
        <w:t>乙方必须明确承诺达到甲方的服务响应要求：在运行维护期内，提供 7×24 小时技术支持及维护服务，服务范围包括所有维护设备，并根据故障情况划分为三种现场处理级别：</w:t>
      </w:r>
    </w:p>
    <w:p>
      <w:pPr>
        <w:pStyle w:val="2"/>
        <w:keepNext w:val="0"/>
        <w:keepLines w:val="0"/>
        <w:pageBreakBefore w:val="0"/>
        <w:widowControl w:val="0"/>
        <w:kinsoku/>
        <w:wordWrap/>
        <w:overflowPunct/>
        <w:topLinePunct w:val="0"/>
        <w:autoSpaceDE/>
        <w:autoSpaceDN/>
        <w:bidi w:val="0"/>
        <w:adjustRightInd/>
        <w:snapToGrid/>
        <w:spacing w:line="420" w:lineRule="exact"/>
        <w:ind w:firstLine="620" w:firstLineChars="200"/>
        <w:textAlignment w:val="auto"/>
        <w:rPr>
          <w:rFonts w:hint="eastAsia" w:ascii="仿宋_GB2312" w:hAnsi="仿宋_GB2312" w:eastAsia="仿宋_GB2312" w:cs="仿宋_GB2312"/>
          <w:color w:val="000000"/>
          <w:kern w:val="2"/>
          <w:sz w:val="31"/>
          <w:szCs w:val="31"/>
          <w:highlight w:val="none"/>
          <w:lang w:val="en-US" w:eastAsia="zh-CN" w:bidi="ar-SA"/>
        </w:rPr>
      </w:pPr>
      <w:r>
        <w:rPr>
          <w:rFonts w:hint="eastAsia" w:ascii="仿宋_GB2312" w:hAnsi="仿宋_GB2312" w:eastAsia="仿宋_GB2312" w:cs="仿宋_GB2312"/>
          <w:color w:val="000000"/>
          <w:kern w:val="2"/>
          <w:sz w:val="31"/>
          <w:szCs w:val="31"/>
          <w:highlight w:val="none"/>
          <w:lang w:val="en-US" w:eastAsia="zh-CN" w:bidi="ar-SA"/>
        </w:rPr>
        <w:t>1 级：系统宕机，业务停止。处理方式：供应商在接到故障通知后，立即响应，1 小时内前往设备使用现场，4 小时内解决故障。硬件设备出现故障时，应进行紧急备件更换，保证采购人业务的正常运行。</w:t>
      </w:r>
    </w:p>
    <w:p>
      <w:pPr>
        <w:pStyle w:val="2"/>
        <w:keepNext w:val="0"/>
        <w:keepLines w:val="0"/>
        <w:pageBreakBefore w:val="0"/>
        <w:widowControl w:val="0"/>
        <w:kinsoku/>
        <w:wordWrap/>
        <w:overflowPunct/>
        <w:topLinePunct w:val="0"/>
        <w:autoSpaceDE/>
        <w:autoSpaceDN/>
        <w:bidi w:val="0"/>
        <w:adjustRightInd/>
        <w:snapToGrid/>
        <w:spacing w:line="420" w:lineRule="exact"/>
        <w:ind w:firstLine="620" w:firstLineChars="200"/>
        <w:textAlignment w:val="auto"/>
        <w:rPr>
          <w:rFonts w:hint="eastAsia" w:ascii="仿宋_GB2312" w:hAnsi="仿宋_GB2312" w:eastAsia="仿宋_GB2312" w:cs="仿宋_GB2312"/>
          <w:color w:val="000000"/>
          <w:kern w:val="2"/>
          <w:sz w:val="31"/>
          <w:szCs w:val="31"/>
          <w:highlight w:val="none"/>
          <w:lang w:val="en-US" w:eastAsia="zh-CN" w:bidi="ar-SA"/>
        </w:rPr>
      </w:pPr>
      <w:r>
        <w:rPr>
          <w:rFonts w:hint="eastAsia" w:ascii="仿宋_GB2312" w:hAnsi="仿宋_GB2312" w:eastAsia="仿宋_GB2312" w:cs="仿宋_GB2312"/>
          <w:color w:val="000000"/>
          <w:kern w:val="2"/>
          <w:sz w:val="31"/>
          <w:szCs w:val="31"/>
          <w:highlight w:val="none"/>
          <w:lang w:val="en-US" w:eastAsia="zh-CN" w:bidi="ar-SA"/>
        </w:rPr>
        <w:t>2 级：系统能够工作，但部分功能失效。性能下降，但不至中断业务。处理方式：供应商在接到故障通知后，半小时内响应，3 小时内前往现场，在 24 小时内解决故障。</w:t>
      </w:r>
    </w:p>
    <w:p>
      <w:pPr>
        <w:pStyle w:val="2"/>
        <w:keepNext w:val="0"/>
        <w:keepLines w:val="0"/>
        <w:pageBreakBefore w:val="0"/>
        <w:widowControl w:val="0"/>
        <w:kinsoku/>
        <w:wordWrap/>
        <w:overflowPunct/>
        <w:topLinePunct w:val="0"/>
        <w:autoSpaceDE/>
        <w:autoSpaceDN/>
        <w:bidi w:val="0"/>
        <w:adjustRightInd/>
        <w:snapToGrid/>
        <w:spacing w:line="420" w:lineRule="exact"/>
        <w:ind w:firstLine="620" w:firstLineChars="200"/>
        <w:textAlignment w:val="auto"/>
        <w:rPr>
          <w:rFonts w:hint="eastAsia" w:ascii="仿宋_GB2312" w:hAnsi="仿宋_GB2312" w:eastAsia="仿宋_GB2312" w:cs="仿宋_GB2312"/>
          <w:color w:val="000000"/>
          <w:kern w:val="2"/>
          <w:sz w:val="31"/>
          <w:szCs w:val="31"/>
          <w:highlight w:val="none"/>
          <w:lang w:val="en-US" w:eastAsia="zh-CN" w:bidi="ar-SA"/>
        </w:rPr>
      </w:pPr>
      <w:r>
        <w:rPr>
          <w:rFonts w:hint="eastAsia" w:ascii="仿宋_GB2312" w:hAnsi="仿宋_GB2312" w:eastAsia="仿宋_GB2312" w:cs="仿宋_GB2312"/>
          <w:color w:val="000000"/>
          <w:kern w:val="2"/>
          <w:sz w:val="31"/>
          <w:szCs w:val="31"/>
          <w:highlight w:val="none"/>
          <w:lang w:val="en-US" w:eastAsia="zh-CN" w:bidi="ar-SA"/>
        </w:rPr>
        <w:t>3 级：系统可以运行，但出现系统报错或出现问题。处理方式：供应商在接到故障通知后，1 小时内响应，3 个工作日内解决故障。</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4、乙方应提供交货地点所在地的设备报修电话及联系人。</w:t>
      </w:r>
    </w:p>
    <w:p>
      <w:pPr>
        <w:spacing w:line="360" w:lineRule="auto"/>
        <w:ind w:firstLine="747" w:firstLineChars="24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七、安装与调试</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乙方必须依照采购文件的要求和报价文件的承诺，将设备、系统安装并调试至正常运行的最佳状态。</w:t>
      </w:r>
    </w:p>
    <w:p>
      <w:pPr>
        <w:spacing w:line="360" w:lineRule="auto"/>
        <w:ind w:firstLine="622" w:firstLineChars="200"/>
        <w:rPr>
          <w:rFonts w:hint="eastAsia" w:ascii="仿宋_GB2312" w:hAnsi="仿宋_GB2312" w:eastAsia="仿宋_GB2312" w:cs="仿宋_GB2312"/>
          <w:b/>
          <w:bCs/>
          <w:color w:val="000000"/>
          <w:sz w:val="31"/>
          <w:szCs w:val="31"/>
          <w:highlight w:val="none"/>
        </w:rPr>
      </w:pPr>
    </w:p>
    <w:p>
      <w:pPr>
        <w:spacing w:line="360" w:lineRule="auto"/>
        <w:ind w:firstLine="622" w:firstLineChars="200"/>
        <w:rPr>
          <w:rFonts w:hint="eastAsia" w:ascii="仿宋_GB2312" w:hAnsi="仿宋_GB2312" w:eastAsia="仿宋_GB2312" w:cs="仿宋_GB2312"/>
          <w:b/>
          <w:bCs/>
          <w:color w:val="000000"/>
          <w:sz w:val="31"/>
          <w:szCs w:val="31"/>
          <w:highlight w:val="none"/>
        </w:rPr>
      </w:pPr>
      <w:r>
        <w:rPr>
          <w:rFonts w:hint="eastAsia" w:ascii="仿宋_GB2312" w:hAnsi="仿宋_GB2312" w:eastAsia="仿宋_GB2312" w:cs="仿宋_GB2312"/>
          <w:b/>
          <w:bCs/>
          <w:color w:val="000000"/>
          <w:sz w:val="31"/>
          <w:szCs w:val="31"/>
          <w:highlight w:val="none"/>
        </w:rPr>
        <w:t>八、验收</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1、货物若有国家标准按照国家标准验收，若无国家标准按行业标准验收，为原制造商制造的全新产品，整机无污染，无侵权行为、表面无划损、无任何缺陷隐患，在中国境内可依常规安全合法使用。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2、进口产品必须具备原产地证明和商检局的检验证明及合法进货渠道证明。评审小组在各投标人的报价有限期内有权要求投标人提供进口货物的报关单。</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3、货物为原厂商未启封全新包装，具出厂合格证，序列号、包装箱号与出厂批号一致，并可追索查阅。所有随设备的附件必须齐全。</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4、乙方应将关键主机设备的用户手册、保修手册、有关单证资料及配备件、随机工具等交付给甲方，使用操作及安全须知等重要资料应附有中文说明。</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5、甲方组成验收小组按国家有关规定、规范进行验收，必要时邀请相关的专业人员或机构参与验收。因货物质量问题发生争议时，由广东省或东莞市质量技术监督部门鉴定。货物符合质量技术标准的，鉴定费由甲方承担；否则鉴定费由乙方承担。</w:t>
      </w:r>
    </w:p>
    <w:p>
      <w:pPr>
        <w:tabs>
          <w:tab w:val="left" w:pos="900"/>
        </w:tabs>
        <w:spacing w:line="360" w:lineRule="auto"/>
        <w:ind w:firstLine="622" w:firstLineChars="200"/>
        <w:rPr>
          <w:rFonts w:hint="eastAsia" w:ascii="仿宋_GB2312" w:hAnsi="仿宋_GB2312" w:eastAsia="仿宋_GB2312" w:cs="仿宋_GB2312"/>
          <w:b/>
          <w:bCs/>
          <w:color w:val="000000"/>
          <w:sz w:val="31"/>
          <w:szCs w:val="31"/>
          <w:highlight w:val="none"/>
        </w:rPr>
      </w:pPr>
    </w:p>
    <w:p>
      <w:pPr>
        <w:tabs>
          <w:tab w:val="left" w:pos="900"/>
        </w:tabs>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bCs/>
          <w:color w:val="000000"/>
          <w:sz w:val="31"/>
          <w:szCs w:val="31"/>
          <w:highlight w:val="none"/>
        </w:rPr>
        <w:t>九、</w:t>
      </w:r>
      <w:r>
        <w:rPr>
          <w:rFonts w:hint="eastAsia" w:ascii="仿宋_GB2312" w:hAnsi="仿宋_GB2312" w:eastAsia="仿宋_GB2312" w:cs="仿宋_GB2312"/>
          <w:b/>
          <w:color w:val="000000"/>
          <w:sz w:val="31"/>
          <w:szCs w:val="31"/>
          <w:highlight w:val="none"/>
        </w:rPr>
        <w:t>违约责任与赔偿损失</w:t>
      </w:r>
    </w:p>
    <w:p>
      <w:pPr>
        <w:tabs>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1、乙方交付的货物、工程/提供的服务不符合采购文件、报价文件或本合同规定的，甲方有权拒收，并且乙方须向甲方支付本合同总价5%的违约金。</w:t>
      </w:r>
    </w:p>
    <w:p>
      <w:pPr>
        <w:tabs>
          <w:tab w:val="left" w:pos="720"/>
          <w:tab w:val="left" w:pos="900"/>
        </w:tabs>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2、乙方未能按本合同规定的交货时间交付货物/提供服务的，从逾期之日起每日按本合同总价万分之二的数额向甲方支付违约金；逾期半个月以上的，甲方有权终止合同，由此造成的甲方经济损失由乙方承担。</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3、甲方无正当理由拒收货物/接受服务，到期拒付货物/服务款项的，甲方向乙方偿付本合同总价的5%的违约金。甲方逾期付款，则每日按本合同总价的万分之二向乙方偿付违约金。</w:t>
      </w:r>
    </w:p>
    <w:p>
      <w:pPr>
        <w:spacing w:line="360" w:lineRule="auto"/>
        <w:ind w:firstLine="620" w:firstLineChars="200"/>
        <w:rPr>
          <w:rFonts w:hint="eastAsia" w:ascii="仿宋_GB2312" w:hAnsi="仿宋_GB2312" w:eastAsia="仿宋_GB2312" w:cs="仿宋_GB2312"/>
          <w:bCs/>
          <w:color w:val="000000"/>
          <w:sz w:val="31"/>
          <w:szCs w:val="31"/>
          <w:highlight w:val="none"/>
        </w:rPr>
      </w:pPr>
      <w:r>
        <w:rPr>
          <w:rFonts w:hint="eastAsia" w:ascii="仿宋_GB2312" w:hAnsi="仿宋_GB2312" w:eastAsia="仿宋_GB2312" w:cs="仿宋_GB2312"/>
          <w:bCs/>
          <w:color w:val="000000"/>
          <w:sz w:val="31"/>
          <w:szCs w:val="31"/>
          <w:highlight w:val="none"/>
        </w:rPr>
        <w:t>4、</w:t>
      </w:r>
      <w:r>
        <w:rPr>
          <w:rFonts w:hint="eastAsia" w:ascii="仿宋_GB2312" w:hAnsi="仿宋_GB2312" w:eastAsia="仿宋_GB2312" w:cs="仿宋_GB2312"/>
          <w:color w:val="000000"/>
          <w:sz w:val="31"/>
          <w:szCs w:val="31"/>
          <w:highlight w:val="none"/>
        </w:rPr>
        <w:t>乙方所供货质量出现严重问题时，甲方有权解除合同，乙方除全额退还货款外，还应承担该货款20%的违约责任。</w:t>
      </w:r>
    </w:p>
    <w:p>
      <w:pPr>
        <w:spacing w:line="360" w:lineRule="auto"/>
        <w:ind w:firstLine="620" w:firstLineChars="200"/>
        <w:rPr>
          <w:rFonts w:hint="eastAsia" w:ascii="仿宋_GB2312" w:hAnsi="仿宋_GB2312" w:eastAsia="仿宋_GB2312" w:cs="仿宋_GB2312"/>
          <w:bCs/>
          <w:color w:val="000000"/>
          <w:sz w:val="31"/>
          <w:szCs w:val="31"/>
          <w:highlight w:val="none"/>
        </w:rPr>
      </w:pPr>
      <w:r>
        <w:rPr>
          <w:rFonts w:hint="eastAsia" w:ascii="仿宋_GB2312" w:hAnsi="仿宋_GB2312" w:eastAsia="仿宋_GB2312" w:cs="仿宋_GB2312"/>
          <w:bCs/>
          <w:color w:val="000000"/>
          <w:sz w:val="31"/>
          <w:szCs w:val="31"/>
          <w:highlight w:val="none"/>
        </w:rPr>
        <w:t>5、其它违约责任按《中华人民共和国民法典》处理。</w:t>
      </w:r>
    </w:p>
    <w:p>
      <w:pPr>
        <w:spacing w:line="360" w:lineRule="auto"/>
        <w:ind w:firstLine="744" w:firstLineChars="240"/>
        <w:rPr>
          <w:rFonts w:hint="eastAsia" w:ascii="仿宋_GB2312" w:hAnsi="仿宋_GB2312" w:eastAsia="仿宋_GB2312" w:cs="仿宋_GB2312"/>
          <w:bCs/>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十、争议的解决</w:t>
      </w:r>
    </w:p>
    <w:p>
      <w:pPr>
        <w:pStyle w:val="25"/>
        <w:spacing w:line="360" w:lineRule="auto"/>
        <w:ind w:firstLine="620" w:firstLineChars="200"/>
        <w:rPr>
          <w:rFonts w:hint="eastAsia" w:ascii="仿宋_GB2312" w:hAnsi="仿宋_GB2312" w:eastAsia="仿宋_GB2312" w:cs="仿宋_GB2312"/>
          <w:color w:val="000000"/>
          <w:szCs w:val="31"/>
          <w:highlight w:val="none"/>
        </w:rPr>
      </w:pPr>
      <w:r>
        <w:rPr>
          <w:rFonts w:hint="eastAsia" w:ascii="仿宋_GB2312" w:hAnsi="仿宋_GB2312" w:eastAsia="仿宋_GB2312" w:cs="仿宋_GB2312"/>
          <w:color w:val="000000"/>
          <w:szCs w:val="31"/>
          <w:highlight w:val="none"/>
        </w:rPr>
        <w:t>1、凡与本合同有关而引起的一切争议，甲乙双方应首先通过友好协商解决，如经协商后仍不能达成协议时，可向东莞市第一人民法院提出起诉。</w:t>
      </w:r>
    </w:p>
    <w:p>
      <w:pPr>
        <w:pStyle w:val="25"/>
        <w:spacing w:line="360" w:lineRule="auto"/>
        <w:ind w:firstLine="620" w:firstLineChars="200"/>
        <w:rPr>
          <w:rFonts w:hint="eastAsia" w:ascii="仿宋_GB2312" w:hAnsi="仿宋_GB2312" w:eastAsia="仿宋_GB2312" w:cs="仿宋_GB2312"/>
          <w:color w:val="000000"/>
          <w:szCs w:val="31"/>
          <w:highlight w:val="none"/>
        </w:rPr>
      </w:pPr>
      <w:r>
        <w:rPr>
          <w:rFonts w:hint="eastAsia" w:ascii="仿宋_GB2312" w:hAnsi="仿宋_GB2312" w:eastAsia="仿宋_GB2312" w:cs="仿宋_GB2312"/>
          <w:color w:val="000000"/>
          <w:szCs w:val="31"/>
          <w:highlight w:val="none"/>
        </w:rPr>
        <w:t>2、在法院审理期间，除提交法院审理的事项外，合同其他部分仍继续履行。</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3、本合同按照中华人民共和国的法律进行解释。</w:t>
      </w:r>
    </w:p>
    <w:p>
      <w:pPr>
        <w:spacing w:line="360" w:lineRule="auto"/>
        <w:ind w:firstLine="747" w:firstLineChars="24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十一、不可抗力</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十二、税费</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在中国境内、外发生的与本合同执行有关的一切税费均由乙方负担。</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十三、其它</w:t>
      </w:r>
    </w:p>
    <w:p>
      <w:pPr>
        <w:spacing w:line="360" w:lineRule="auto"/>
        <w:ind w:firstLine="620"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color w:val="000000"/>
          <w:sz w:val="31"/>
          <w:szCs w:val="31"/>
          <w:highlight w:val="none"/>
        </w:rPr>
        <w:t>1、本合同所有附件、采购文件、投标文件、中标通知书均为合同的有效组成部分，与本合同具有同等法律效力。</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bCs/>
          <w:color w:val="000000"/>
          <w:sz w:val="31"/>
          <w:szCs w:val="31"/>
          <w:highlight w:val="none"/>
        </w:rPr>
        <w:t>2、</w:t>
      </w:r>
      <w:r>
        <w:rPr>
          <w:rFonts w:hint="eastAsia" w:ascii="仿宋_GB2312" w:hAnsi="仿宋_GB2312" w:eastAsia="仿宋_GB2312" w:cs="仿宋_GB2312"/>
          <w:color w:val="000000"/>
          <w:sz w:val="31"/>
          <w:szCs w:val="31"/>
          <w:highlight w:val="none"/>
        </w:rPr>
        <w:t>在执行本合同的过程中，所有经双方签署确认的文件（包括会议纪要、补充协议、往来信函）即成为本合同的有效组成部分。</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3、如一方地址、电话、传真号码有变更，应在变更当日内书面通知对方，否则，应承担相应责任。 </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4、除甲方事先书面同意外，乙方不得部分或全部转让其应履行的合同项下的义务。</w:t>
      </w:r>
    </w:p>
    <w:p>
      <w:pPr>
        <w:spacing w:line="360" w:lineRule="auto"/>
        <w:ind w:firstLine="622" w:firstLineChars="200"/>
        <w:rPr>
          <w:rFonts w:hint="eastAsia" w:ascii="仿宋_GB2312" w:hAnsi="仿宋_GB2312" w:eastAsia="仿宋_GB2312" w:cs="仿宋_GB2312"/>
          <w:b/>
          <w:color w:val="000000"/>
          <w:sz w:val="31"/>
          <w:szCs w:val="31"/>
          <w:highlight w:val="none"/>
        </w:rPr>
      </w:pPr>
    </w:p>
    <w:p>
      <w:pPr>
        <w:spacing w:line="360" w:lineRule="auto"/>
        <w:ind w:firstLine="622" w:firstLineChars="200"/>
        <w:rPr>
          <w:rFonts w:hint="eastAsia" w:ascii="仿宋_GB2312" w:hAnsi="仿宋_GB2312" w:eastAsia="仿宋_GB2312" w:cs="仿宋_GB2312"/>
          <w:b/>
          <w:color w:val="000000"/>
          <w:sz w:val="31"/>
          <w:szCs w:val="31"/>
          <w:highlight w:val="none"/>
        </w:rPr>
      </w:pPr>
      <w:r>
        <w:rPr>
          <w:rFonts w:hint="eastAsia" w:ascii="仿宋_GB2312" w:hAnsi="仿宋_GB2312" w:eastAsia="仿宋_GB2312" w:cs="仿宋_GB2312"/>
          <w:b/>
          <w:color w:val="000000"/>
          <w:sz w:val="31"/>
          <w:szCs w:val="31"/>
          <w:highlight w:val="none"/>
        </w:rPr>
        <w:t>十四、合同生效</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1、本合同在甲乙双方法人代表或其授权代表签字盖章后生效。</w:t>
      </w:r>
    </w:p>
    <w:p>
      <w:pPr>
        <w:spacing w:line="360" w:lineRule="auto"/>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2、合同一式</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份，具有同等效力，由甲方持</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份，乙方持</w:t>
      </w:r>
      <w:r>
        <w:rPr>
          <w:rFonts w:hint="eastAsia" w:ascii="仿宋_GB2312" w:hAnsi="仿宋_GB2312" w:eastAsia="仿宋_GB2312" w:cs="仿宋_GB2312"/>
          <w:color w:val="000000"/>
          <w:sz w:val="31"/>
          <w:szCs w:val="31"/>
          <w:highlight w:val="none"/>
          <w:u w:val="single"/>
        </w:rPr>
        <w:t xml:space="preserve">   </w:t>
      </w:r>
      <w:r>
        <w:rPr>
          <w:rFonts w:hint="eastAsia" w:ascii="仿宋_GB2312" w:hAnsi="仿宋_GB2312" w:eastAsia="仿宋_GB2312" w:cs="仿宋_GB2312"/>
          <w:color w:val="000000"/>
          <w:sz w:val="31"/>
          <w:szCs w:val="31"/>
          <w:highlight w:val="none"/>
        </w:rPr>
        <w:t>份。</w:t>
      </w:r>
    </w:p>
    <w:p>
      <w:pPr>
        <w:spacing w:before="240" w:beforeLines="100" w:line="360" w:lineRule="auto"/>
        <w:ind w:left="178" w:leftChars="85" w:firstLine="179" w:firstLineChars="58"/>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甲方（盖章）：               乙方（盖章）：</w:t>
      </w:r>
    </w:p>
    <w:p>
      <w:pPr>
        <w:spacing w:line="360" w:lineRule="auto"/>
        <w:ind w:left="178" w:leftChars="85" w:firstLine="179" w:firstLineChars="58"/>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 xml:space="preserve">代表：                      代表： </w:t>
      </w:r>
    </w:p>
    <w:p>
      <w:pPr>
        <w:spacing w:line="360" w:lineRule="auto"/>
        <w:ind w:left="178" w:leftChars="85" w:firstLine="4501" w:firstLineChars="1452"/>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开户名称：</w:t>
      </w:r>
    </w:p>
    <w:p>
      <w:pPr>
        <w:spacing w:line="360" w:lineRule="auto"/>
        <w:ind w:left="178" w:leftChars="85" w:firstLine="4501" w:firstLineChars="1452"/>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银行帐号：</w:t>
      </w:r>
    </w:p>
    <w:p>
      <w:pPr>
        <w:spacing w:line="360" w:lineRule="auto"/>
        <w:ind w:left="178" w:leftChars="85" w:firstLine="4501" w:firstLineChars="1452"/>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开 户 行：</w:t>
      </w:r>
    </w:p>
    <w:p>
      <w:pPr>
        <w:spacing w:line="360" w:lineRule="auto"/>
        <w:ind w:left="178" w:leftChars="85" w:firstLine="5084" w:firstLineChars="1640"/>
        <w:rPr>
          <w:rFonts w:hint="eastAsia" w:ascii="仿宋_GB2312" w:hAnsi="仿宋_GB2312" w:eastAsia="仿宋_GB2312" w:cs="仿宋_GB2312"/>
          <w:color w:val="000000"/>
          <w:sz w:val="31"/>
          <w:szCs w:val="31"/>
          <w:highlight w:val="none"/>
        </w:rPr>
      </w:pPr>
    </w:p>
    <w:p>
      <w:pPr>
        <w:spacing w:line="360" w:lineRule="auto"/>
        <w:ind w:firstLine="4030" w:firstLineChars="13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合同签订地点：</w:t>
      </w:r>
    </w:p>
    <w:p>
      <w:pPr>
        <w:spacing w:line="360" w:lineRule="auto"/>
        <w:ind w:firstLine="4030" w:firstLineChars="13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合同签订日期：年   月  日</w:t>
      </w:r>
    </w:p>
    <w:p>
      <w:pPr>
        <w:jc w:val="center"/>
        <w:rPr>
          <w:highlight w:val="none"/>
        </w:rPr>
      </w:pPr>
      <w:r>
        <w:rPr>
          <w:b/>
          <w:sz w:val="36"/>
          <w:highlight w:val="none"/>
        </w:rPr>
        <w:t>第六章 投标文件格式与要求</w:t>
      </w:r>
    </w:p>
    <w:p>
      <w:pPr>
        <w:ind w:firstLine="480"/>
        <w:rPr>
          <w:highlight w:val="none"/>
        </w:rPr>
      </w:pPr>
      <w:r>
        <w:rPr>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highlight w:val="none"/>
        </w:rPr>
      </w:pPr>
      <w:r>
        <w:rPr>
          <w:highlight w:val="none"/>
        </w:rPr>
        <w:t>1.法人或者其他组织的营业执照等证明文件，自然人的身份证明：</w:t>
      </w:r>
    </w:p>
    <w:p>
      <w:pPr>
        <w:ind w:firstLine="480"/>
        <w:rPr>
          <w:highlight w:val="none"/>
        </w:rPr>
      </w:pPr>
      <w:r>
        <w:rPr>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highlight w:val="none"/>
        </w:rPr>
      </w:pPr>
      <w:r>
        <w:rPr>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highlight w:val="none"/>
        </w:rPr>
      </w:pPr>
      <w:r>
        <w:rPr>
          <w:highlight w:val="none"/>
        </w:rPr>
        <w:t>2.财务状况报告，依法缴纳税收和社会保障资金的相关材料（详见资格性审查表要求）</w:t>
      </w:r>
    </w:p>
    <w:p>
      <w:pPr>
        <w:ind w:firstLine="480"/>
        <w:rPr>
          <w:highlight w:val="none"/>
        </w:rPr>
      </w:pPr>
      <w:r>
        <w:rPr>
          <w:highlight w:val="none"/>
        </w:rPr>
        <w:t>3.具有履行合同所必须的设备和专业技术能力的声明。</w:t>
      </w:r>
    </w:p>
    <w:p>
      <w:pPr>
        <w:ind w:firstLine="480"/>
        <w:rPr>
          <w:highlight w:val="none"/>
        </w:rPr>
      </w:pPr>
      <w:r>
        <w:rPr>
          <w:highlight w:val="none"/>
        </w:rPr>
        <w:t>4.投标人参加政府采购前三年内在经营活动中没有重大违法记录书面声明函。</w:t>
      </w:r>
    </w:p>
    <w:p>
      <w:pPr>
        <w:ind w:firstLine="480"/>
        <w:rPr>
          <w:highlight w:val="none"/>
        </w:rPr>
      </w:pPr>
      <w:r>
        <w:rPr>
          <w:highlight w:val="none"/>
        </w:rPr>
        <w:t>5.信用记录查询</w:t>
      </w:r>
    </w:p>
    <w:p>
      <w:pPr>
        <w:ind w:firstLine="480"/>
        <w:rPr>
          <w:highlight w:val="none"/>
        </w:rPr>
      </w:pPr>
      <w:r>
        <w:rPr>
          <w:highlight w:val="none"/>
        </w:rPr>
        <w:t>（1）查询渠道：通过“信用中国”网站(www.creditchina.gov.cn)和“中国政府采购网”（www.ccgp.gov.cn）进行查询；</w:t>
      </w:r>
    </w:p>
    <w:p>
      <w:pPr>
        <w:ind w:firstLine="480"/>
        <w:rPr>
          <w:highlight w:val="none"/>
        </w:rPr>
      </w:pPr>
      <w:r>
        <w:rPr>
          <w:highlight w:val="none"/>
        </w:rPr>
        <w:t>（2）查询截止时点：提交投标文件截止日当天；</w:t>
      </w:r>
    </w:p>
    <w:p>
      <w:pPr>
        <w:ind w:firstLine="480"/>
        <w:rPr>
          <w:highlight w:val="none"/>
        </w:rPr>
      </w:pPr>
      <w:r>
        <w:rPr>
          <w:highlight w:val="none"/>
        </w:rPr>
        <w:t>（3）查询记录：对列入失信被执行人、重大税收违法案件当事人名单、政府采购严重违法失信行为记录名单、信用报告进行查询；</w:t>
      </w:r>
    </w:p>
    <w:p>
      <w:pPr>
        <w:ind w:firstLine="480"/>
        <w:rPr>
          <w:highlight w:val="none"/>
        </w:rPr>
      </w:pPr>
      <w:r>
        <w:rPr>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highlight w:val="none"/>
        </w:rPr>
      </w:pPr>
      <w:r>
        <w:rPr>
          <w:highlight w:val="none"/>
        </w:rPr>
        <w:t>6. 按照招标文件要求，投标人应当提交的资格、资信证明文件。</w:t>
      </w:r>
    </w:p>
    <w:p>
      <w:pPr>
        <w:ind w:firstLine="480"/>
        <w:rPr>
          <w:highlight w:val="none"/>
        </w:rPr>
      </w:pPr>
      <w:r>
        <w:rPr>
          <w:rFonts w:hint="eastAsia"/>
          <w:highlight w:val="none"/>
        </w:rPr>
        <w:t>7. 注：1.请供应商按照以下要求的格式.内容.顺序制作投标文件，并编制目录及页码，否则可能会影响对投标文件的评价。</w:t>
      </w:r>
    </w:p>
    <w:p>
      <w:pPr>
        <w:ind w:firstLine="480"/>
        <w:rPr>
          <w:highlight w:val="none"/>
        </w:rPr>
      </w:pPr>
      <w:r>
        <w:rPr>
          <w:rFonts w:hint="eastAsia"/>
          <w:highlight w:val="none"/>
        </w:rPr>
        <w:t>8.根据“节约能源.保护环境”要求，建议供应商双面打印投标文件。</w:t>
      </w:r>
    </w:p>
    <w:p>
      <w:pPr>
        <w:ind w:firstLine="480"/>
        <w:rPr>
          <w:highlight w:val="none"/>
        </w:rPr>
      </w:pPr>
      <w:r>
        <w:rPr>
          <w:rFonts w:hint="eastAsia"/>
          <w:highlight w:val="none"/>
        </w:rPr>
        <w:t>9.价格文件、商务文件、技术文件合并汇编成册。</w:t>
      </w:r>
    </w:p>
    <w:p>
      <w:pPr>
        <w:rPr>
          <w:highlight w:val="none"/>
        </w:rPr>
      </w:pPr>
      <w:r>
        <w:rPr>
          <w:highlight w:val="none"/>
        </w:rPr>
        <w:t xml:space="preserve"> </w:t>
      </w:r>
      <w:r>
        <w:rPr>
          <w:highlight w:val="none"/>
        </w:rPr>
        <w:br w:type="textWrapping"/>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highlight w:val="none"/>
        </w:rPr>
      </w:pPr>
      <w:r>
        <w:rPr>
          <w:b/>
          <w:sz w:val="48"/>
          <w:highlight w:val="none"/>
        </w:rPr>
        <w:t>投标文件封面</w:t>
      </w:r>
    </w:p>
    <w:p>
      <w:pPr>
        <w:rPr>
          <w:highlight w:val="none"/>
        </w:rPr>
      </w:pPr>
    </w:p>
    <w:p>
      <w:pPr>
        <w:jc w:val="center"/>
        <w:rPr>
          <w:highlight w:val="none"/>
        </w:rPr>
      </w:pPr>
      <w:r>
        <w:rPr>
          <w:b/>
          <w:sz w:val="48"/>
          <w:highlight w:val="none"/>
        </w:rPr>
        <w:t>（项目名称）</w:t>
      </w:r>
    </w:p>
    <w:p>
      <w:pPr>
        <w:jc w:val="center"/>
        <w:rPr>
          <w:highlight w:val="none"/>
        </w:rPr>
      </w:pPr>
      <w:r>
        <w:rPr>
          <w:b/>
          <w:sz w:val="48"/>
          <w:highlight w:val="none"/>
        </w:rPr>
        <w:t>投标文件封面</w:t>
      </w:r>
    </w:p>
    <w:p>
      <w:pPr>
        <w:jc w:val="center"/>
        <w:rPr>
          <w:highlight w:val="none"/>
        </w:rPr>
      </w:pPr>
      <w:r>
        <w:rPr>
          <w:b/>
          <w:sz w:val="48"/>
          <w:highlight w:val="none"/>
        </w:rPr>
        <w:t>（正本/副本）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24"/>
          <w:highlight w:val="none"/>
        </w:rPr>
        <w:t>采购计划编号：</w:t>
      </w:r>
    </w:p>
    <w:p>
      <w:pPr>
        <w:jc w:val="center"/>
        <w:rPr>
          <w:highlight w:val="none"/>
        </w:rPr>
      </w:pPr>
      <w:r>
        <w:rPr>
          <w:b/>
          <w:sz w:val="24"/>
          <w:highlight w:val="none"/>
        </w:rPr>
        <w:t>采购项目编号：</w:t>
      </w:r>
    </w:p>
    <w:p>
      <w:pPr>
        <w:jc w:val="center"/>
        <w:rPr>
          <w:highlight w:val="none"/>
        </w:rPr>
      </w:pPr>
      <w:r>
        <w:rPr>
          <w:b/>
          <w:sz w:val="24"/>
          <w:highlight w:val="none"/>
        </w:rPr>
        <w:t>所投采购包：第 包</w:t>
      </w:r>
    </w:p>
    <w:p>
      <w:pPr>
        <w:rPr>
          <w:highlight w:val="none"/>
        </w:rPr>
      </w:pPr>
    </w:p>
    <w:p>
      <w:pPr>
        <w:jc w:val="center"/>
        <w:rPr>
          <w:highlight w:val="none"/>
        </w:rPr>
      </w:pPr>
      <w:r>
        <w:rPr>
          <w:b/>
          <w:sz w:val="24"/>
          <w:highlight w:val="none"/>
        </w:rPr>
        <w:t>（投标人名称）</w:t>
      </w:r>
    </w:p>
    <w:p>
      <w:pPr>
        <w:jc w:val="center"/>
        <w:rPr>
          <w:highlight w:val="none"/>
        </w:rPr>
      </w:pPr>
      <w:r>
        <w:rPr>
          <w:b/>
          <w:sz w:val="24"/>
          <w:highlight w:val="none"/>
        </w:rPr>
        <w:t>年 月 日</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ascii="Times New Roman" w:hAnsi="Times New Roman" w:eastAsia="仿宋"/>
          <w:b/>
          <w:bCs/>
          <w:color w:val="000000" w:themeColor="text1"/>
          <w:spacing w:val="10"/>
          <w:sz w:val="24"/>
          <w:szCs w:val="24"/>
          <w:highlight w:val="none"/>
          <w14:textFill>
            <w14:solidFill>
              <w14:schemeClr w14:val="tx1"/>
            </w14:solidFill>
          </w14:textFill>
        </w:rPr>
      </w:pPr>
      <w:bookmarkStart w:id="226" w:name="_Toc6448"/>
      <w:bookmarkStart w:id="227" w:name="_Toc24336"/>
      <w:bookmarkStart w:id="228" w:name="_Toc14499"/>
      <w:bookmarkStart w:id="229" w:name="_Toc6880"/>
      <w:r>
        <w:rPr>
          <w:rFonts w:ascii="Times New Roman" w:hAnsi="Times New Roman" w:eastAsia="仿宋"/>
          <w:b/>
          <w:bCs/>
          <w:color w:val="000000" w:themeColor="text1"/>
          <w:spacing w:val="10"/>
          <w:sz w:val="24"/>
          <w:szCs w:val="24"/>
          <w:highlight w:val="none"/>
          <w14:textFill>
            <w14:solidFill>
              <w14:schemeClr w14:val="tx1"/>
            </w14:solidFill>
          </w14:textFill>
        </w:rPr>
        <w:br w:type="page"/>
      </w:r>
    </w:p>
    <w:p>
      <w:pPr>
        <w:pStyle w:val="25"/>
        <w:spacing w:before="312" w:beforeLines="100" w:line="440" w:lineRule="exact"/>
        <w:ind w:firstLine="0" w:firstLineChars="0"/>
        <w:jc w:val="center"/>
        <w:outlineLvl w:val="0"/>
        <w:rPr>
          <w:rFonts w:hint="eastAsia" w:ascii="Times New Roman" w:hAnsi="Times New Roman" w:eastAsia="仿宋"/>
          <w:b/>
          <w:color w:val="000000" w:themeColor="text1"/>
          <w:spacing w:val="12"/>
          <w:szCs w:val="24"/>
          <w:highlight w:val="none"/>
          <w:lang w:eastAsia="zh-CN"/>
          <w14:textFill>
            <w14:solidFill>
              <w14:schemeClr w14:val="tx1"/>
            </w14:solidFill>
          </w14:textFill>
        </w:rPr>
      </w:pPr>
      <w:r>
        <w:rPr>
          <w:rFonts w:ascii="Times New Roman" w:hAnsi="Times New Roman" w:eastAsia="仿宋"/>
          <w:b/>
          <w:bCs/>
          <w:color w:val="000000" w:themeColor="text1"/>
          <w:spacing w:val="10"/>
          <w:sz w:val="24"/>
          <w:szCs w:val="24"/>
          <w:highlight w:val="none"/>
          <w14:textFill>
            <w14:solidFill>
              <w14:schemeClr w14:val="tx1"/>
            </w14:solidFill>
          </w14:textFill>
        </w:rPr>
        <w:t>第一部分  唱标信封</w:t>
      </w:r>
      <w:bookmarkEnd w:id="226"/>
      <w:bookmarkEnd w:id="227"/>
      <w:bookmarkEnd w:id="228"/>
      <w:bookmarkEnd w:id="229"/>
      <w:r>
        <w:rPr>
          <w:rFonts w:hint="eastAsia" w:ascii="Times New Roman" w:hAnsi="Times New Roman" w:eastAsia="仿宋"/>
          <w:b/>
          <w:bCs/>
          <w:color w:val="000000" w:themeColor="text1"/>
          <w:spacing w:val="10"/>
          <w:sz w:val="24"/>
          <w:szCs w:val="24"/>
          <w:highlight w:val="none"/>
          <w:lang w:eastAsia="zh-CN"/>
          <w14:textFill>
            <w14:solidFill>
              <w14:schemeClr w14:val="tx1"/>
            </w14:solidFill>
          </w14:textFill>
        </w:rPr>
        <w:t>（单独密封）</w:t>
      </w:r>
    </w:p>
    <w:p>
      <w:pPr>
        <w:pStyle w:val="7"/>
        <w:tabs>
          <w:tab w:val="left" w:pos="5580"/>
        </w:tabs>
        <w:spacing w:line="440" w:lineRule="exact"/>
        <w:ind w:firstLine="528" w:firstLineChars="200"/>
        <w:jc w:val="center"/>
        <w:outlineLvl w:val="0"/>
        <w:rPr>
          <w:rStyle w:val="17"/>
          <w:rFonts w:ascii="Times New Roman" w:hAnsi="Times New Roman" w:eastAsia="仿宋"/>
          <w:b w:val="0"/>
          <w:color w:val="000000" w:themeColor="text1"/>
          <w:spacing w:val="12"/>
          <w:szCs w:val="24"/>
          <w:highlight w:val="none"/>
          <w14:textFill>
            <w14:solidFill>
              <w14:schemeClr w14:val="tx1"/>
            </w14:solidFill>
          </w14:textFill>
        </w:rPr>
      </w:pPr>
    </w:p>
    <w:p>
      <w:pPr>
        <w:pStyle w:val="7"/>
        <w:tabs>
          <w:tab w:val="left" w:pos="5580"/>
        </w:tabs>
        <w:spacing w:line="440" w:lineRule="exact"/>
        <w:jc w:val="both"/>
        <w:outlineLvl w:val="0"/>
        <w:rPr>
          <w:rStyle w:val="17"/>
          <w:rFonts w:ascii="Times New Roman" w:hAnsi="Times New Roman" w:eastAsia="仿宋"/>
          <w:b w:val="0"/>
          <w:color w:val="000000" w:themeColor="text1"/>
          <w:spacing w:val="12"/>
          <w:szCs w:val="24"/>
          <w:highlight w:val="none"/>
          <w14:textFill>
            <w14:solidFill>
              <w14:schemeClr w14:val="tx1"/>
            </w14:solidFill>
          </w14:textFill>
        </w:rPr>
      </w:pPr>
    </w:p>
    <w:p>
      <w:pPr>
        <w:spacing w:line="440" w:lineRule="exact"/>
        <w:jc w:val="cente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开标一览表（报价表）</w:t>
      </w:r>
    </w:p>
    <w:p>
      <w:pPr>
        <w:pStyle w:val="2"/>
        <w:spacing w:line="400" w:lineRule="exact"/>
        <w:rPr>
          <w:rFonts w:ascii="Times New Roman" w:hAnsi="Times New Roman" w:eastAsia="仿宋"/>
          <w:color w:val="000000" w:themeColor="text1"/>
          <w:sz w:val="24"/>
          <w:szCs w:val="24"/>
          <w:highlight w:val="none"/>
          <w14:textFill>
            <w14:solidFill>
              <w14:schemeClr w14:val="tx1"/>
            </w14:solidFill>
          </w14:textFill>
        </w:rPr>
      </w:pPr>
      <w:r>
        <w:rPr>
          <w:rFonts w:ascii="Times New Roman" w:hAnsi="Times New Roman" w:eastAsia="仿宋"/>
          <w:color w:val="000000" w:themeColor="text1"/>
          <w:sz w:val="24"/>
          <w:szCs w:val="24"/>
          <w:highlight w:val="none"/>
          <w14:textFill>
            <w14:solidFill>
              <w14:schemeClr w14:val="tx1"/>
            </w14:solidFill>
          </w14:textFill>
        </w:rPr>
        <w:t>项目名称：</w:t>
      </w:r>
    </w:p>
    <w:p>
      <w:pPr>
        <w:spacing w:line="400" w:lineRule="exact"/>
        <w:rPr>
          <w:rFonts w:ascii="Times New Roman" w:hAnsi="Times New Roman" w:eastAsia="仿宋"/>
          <w:b/>
          <w:bCs/>
          <w:color w:val="000000" w:themeColor="text1"/>
          <w:szCs w:val="21"/>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项目编号：</w:t>
      </w:r>
    </w:p>
    <w:tbl>
      <w:tblPr>
        <w:tblStyle w:val="14"/>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70"/>
        <w:gridCol w:w="4604"/>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570"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hint="eastAsia" w:ascii="Times New Roman" w:hAnsi="Times New Roman" w:eastAsia="仿宋"/>
                <w:color w:val="000000" w:themeColor="text1"/>
                <w:sz w:val="24"/>
                <w:highlight w:val="none"/>
                <w14:textFill>
                  <w14:solidFill>
                    <w14:schemeClr w14:val="tx1"/>
                  </w14:solidFill>
                </w14:textFill>
              </w:rPr>
              <w:t>采购内容</w:t>
            </w:r>
          </w:p>
        </w:tc>
        <w:tc>
          <w:tcPr>
            <w:tcW w:w="4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报价小写（元）</w:t>
            </w:r>
          </w:p>
        </w:tc>
        <w:tc>
          <w:tcPr>
            <w:tcW w:w="894"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c>
          <w:tcPr>
            <w:tcW w:w="4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90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项目总报价</w:t>
            </w:r>
            <w:r>
              <w:rPr>
                <w:rFonts w:hint="eastAsia" w:ascii="Times New Roman" w:hAnsi="Times New Roman" w:eastAsia="仿宋"/>
                <w:color w:val="000000" w:themeColor="text1"/>
                <w:sz w:val="24"/>
                <w:highlight w:val="none"/>
                <w14:textFill>
                  <w14:solidFill>
                    <w14:schemeClr w14:val="tx1"/>
                  </w14:solidFill>
                </w14:textFill>
              </w:rPr>
              <w:t>小</w:t>
            </w:r>
            <w:r>
              <w:rPr>
                <w:rFonts w:ascii="Times New Roman" w:hAnsi="Times New Roman" w:eastAsia="仿宋"/>
                <w:color w:val="000000" w:themeColor="text1"/>
                <w:sz w:val="24"/>
                <w:highlight w:val="none"/>
                <w14:textFill>
                  <w14:solidFill>
                    <w14:schemeClr w14:val="tx1"/>
                  </w14:solidFill>
                </w14:textFill>
              </w:rPr>
              <w:t>写：</w:t>
            </w:r>
          </w:p>
          <w:p>
            <w:pPr>
              <w:pStyle w:val="2"/>
              <w:rPr>
                <w:highlight w:val="none"/>
              </w:rPr>
            </w:pPr>
            <w:r>
              <w:rPr>
                <w:rFonts w:ascii="Times New Roman" w:hAnsi="Times New Roman" w:eastAsia="仿宋"/>
                <w:color w:val="000000" w:themeColor="text1"/>
                <w:sz w:val="24"/>
                <w:szCs w:val="24"/>
                <w:highlight w:val="none"/>
                <w14:textFill>
                  <w14:solidFill>
                    <w14:schemeClr w14:val="tx1"/>
                  </w14:solidFill>
                </w14:textFill>
              </w:rPr>
              <w:t>项目总报价</w:t>
            </w:r>
            <w:r>
              <w:rPr>
                <w:rFonts w:hint="eastAsia" w:ascii="Times New Roman" w:hAnsi="Times New Roman" w:eastAsia="仿宋"/>
                <w:color w:val="000000" w:themeColor="text1"/>
                <w:sz w:val="24"/>
                <w:szCs w:val="24"/>
                <w:highlight w:val="none"/>
                <w14:textFill>
                  <w14:solidFill>
                    <w14:schemeClr w14:val="tx1"/>
                  </w14:solidFill>
                </w14:textFill>
              </w:rPr>
              <w:t>大</w:t>
            </w:r>
            <w:r>
              <w:rPr>
                <w:rFonts w:ascii="Times New Roman" w:hAnsi="Times New Roman" w:eastAsia="仿宋"/>
                <w:color w:val="000000" w:themeColor="text1"/>
                <w:sz w:val="24"/>
                <w:szCs w:val="24"/>
                <w:highlight w:val="none"/>
                <w14:textFill>
                  <w14:solidFill>
                    <w14:schemeClr w14:val="tx1"/>
                  </w14:solidFill>
                </w14:textFill>
              </w:rPr>
              <w:t>写：</w:t>
            </w:r>
          </w:p>
        </w:tc>
      </w:tr>
    </w:tbl>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tbl>
      <w:tblPr>
        <w:tblStyle w:val="14"/>
        <w:tblW w:w="8528" w:type="dxa"/>
        <w:tblInd w:w="0" w:type="dxa"/>
        <w:tblLayout w:type="fixed"/>
        <w:tblCellMar>
          <w:top w:w="0" w:type="dxa"/>
          <w:left w:w="108" w:type="dxa"/>
          <w:bottom w:w="0" w:type="dxa"/>
          <w:right w:w="108" w:type="dxa"/>
        </w:tblCellMar>
      </w:tblPr>
      <w:tblGrid>
        <w:gridCol w:w="5536"/>
        <w:gridCol w:w="2992"/>
      </w:tblGrid>
      <w:tr>
        <w:tblPrEx>
          <w:tblCellMar>
            <w:top w:w="0" w:type="dxa"/>
            <w:left w:w="108" w:type="dxa"/>
            <w:bottom w:w="0" w:type="dxa"/>
            <w:right w:w="108" w:type="dxa"/>
          </w:tblCellMar>
        </w:tblPrEx>
        <w:trPr>
          <w:trHeight w:val="545"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供应商名称（加盖公章）：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00"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法定代表人或受委托人（签名或盖私章）：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   年   月   日</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bl>
    <w:p>
      <w:pPr>
        <w:spacing w:line="360" w:lineRule="auto"/>
        <w:rPr>
          <w:rFonts w:ascii="Times New Roman" w:hAnsi="Times New Roman" w:eastAsia="仿宋"/>
          <w:b/>
          <w:bCs/>
          <w:color w:val="000000" w:themeColor="text1"/>
          <w:szCs w:val="21"/>
          <w:highlight w:val="none"/>
          <w14:textFill>
            <w14:solidFill>
              <w14:schemeClr w14:val="tx1"/>
            </w14:solidFill>
          </w14:textFill>
        </w:rPr>
      </w:pPr>
    </w:p>
    <w:p>
      <w:pPr>
        <w:pStyle w:val="9"/>
        <w:tabs>
          <w:tab w:val="left" w:pos="5580"/>
        </w:tabs>
        <w:spacing w:line="400" w:lineRule="exact"/>
        <w:ind w:left="540" w:leftChars="257" w:firstLine="482"/>
        <w:jc w:val="left"/>
        <w:rPr>
          <w:rFonts w:ascii="Times New Roman" w:hAnsi="Times New Roman" w:eastAsia="仿宋"/>
          <w:b/>
          <w:bCs/>
          <w:color w:val="000000" w:themeColor="text1"/>
          <w:sz w:val="24"/>
          <w:szCs w:val="24"/>
          <w:highlight w:val="none"/>
          <w14:textFill>
            <w14:solidFill>
              <w14:schemeClr w14:val="tx1"/>
            </w14:solidFill>
          </w14:textFill>
        </w:rPr>
      </w:pPr>
      <w:r>
        <w:rPr>
          <w:rFonts w:ascii="Times New Roman" w:hAnsi="Times New Roman" w:eastAsia="仿宋"/>
          <w:b/>
          <w:bCs/>
          <w:color w:val="000000" w:themeColor="text1"/>
          <w:sz w:val="24"/>
          <w:szCs w:val="24"/>
          <w:highlight w:val="none"/>
          <w14:textFill>
            <w14:solidFill>
              <w14:schemeClr w14:val="tx1"/>
            </w14:solidFill>
          </w14:textFill>
        </w:rPr>
        <w:t>注:1、此表应按供应商须知的规定装订密封。</w:t>
      </w:r>
    </w:p>
    <w:p>
      <w:pPr>
        <w:pStyle w:val="9"/>
        <w:tabs>
          <w:tab w:val="left" w:pos="5580"/>
        </w:tabs>
        <w:spacing w:line="400" w:lineRule="exact"/>
        <w:ind w:left="540" w:leftChars="257" w:firstLine="482"/>
        <w:jc w:val="left"/>
        <w:rPr>
          <w:rFonts w:ascii="Times New Roman" w:hAnsi="Times New Roman" w:eastAsia="仿宋"/>
          <w:b/>
          <w:color w:val="000000" w:themeColor="text1"/>
          <w:szCs w:val="21"/>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2</w:t>
      </w:r>
      <w:r>
        <w:rPr>
          <w:rFonts w:ascii="Times New Roman" w:hAnsi="Times New Roman" w:eastAsia="仿宋"/>
          <w:b/>
          <w:color w:val="000000" w:themeColor="text1"/>
          <w:sz w:val="24"/>
          <w:szCs w:val="24"/>
          <w:highlight w:val="none"/>
          <w14:textFill>
            <w14:solidFill>
              <w14:schemeClr w14:val="tx1"/>
            </w14:solidFill>
          </w14:textFill>
        </w:rPr>
        <w:t>.此表乃报价表的</w:t>
      </w:r>
      <w:r>
        <w:rPr>
          <w:rFonts w:hint="eastAsia" w:ascii="Times New Roman" w:hAnsi="Times New Roman" w:eastAsia="仿宋"/>
          <w:b/>
          <w:color w:val="000000" w:themeColor="text1"/>
          <w:sz w:val="24"/>
          <w:szCs w:val="24"/>
          <w:highlight w:val="none"/>
          <w14:textFill>
            <w14:solidFill>
              <w14:schemeClr w14:val="tx1"/>
            </w14:solidFill>
          </w14:textFill>
        </w:rPr>
        <w:t>总报价</w:t>
      </w:r>
      <w:r>
        <w:rPr>
          <w:rFonts w:ascii="Times New Roman" w:hAnsi="Times New Roman" w:eastAsia="仿宋"/>
          <w:b/>
          <w:color w:val="000000" w:themeColor="text1"/>
          <w:sz w:val="24"/>
          <w:szCs w:val="24"/>
          <w:highlight w:val="none"/>
          <w14:textFill>
            <w14:solidFill>
              <w14:schemeClr w14:val="tx1"/>
            </w14:solidFill>
          </w14:textFill>
        </w:rPr>
        <w:t>表。</w:t>
      </w:r>
    </w:p>
    <w:p>
      <w:pPr>
        <w:ind w:firstLine="480"/>
        <w:rPr>
          <w:highlight w:val="none"/>
        </w:rPr>
      </w:pPr>
    </w:p>
    <w:p>
      <w:pPr>
        <w:rPr>
          <w:highlight w:val="none"/>
        </w:rPr>
      </w:pPr>
      <w:r>
        <w:rPr>
          <w:highlight w:val="none"/>
        </w:rPr>
        <w:t xml:space="preserve"> </w:t>
      </w:r>
    </w:p>
    <w:p>
      <w:pPr>
        <w:rPr>
          <w:highlight w:val="none"/>
        </w:rPr>
      </w:pPr>
    </w:p>
    <w:p>
      <w:pPr>
        <w:pStyle w:val="3"/>
        <w:pageBreakBefore/>
        <w:spacing w:line="415" w:lineRule="auto"/>
        <w:rPr>
          <w:rFonts w:ascii="Times New Roman" w:hAnsi="Times New Roman" w:eastAsia="仿宋"/>
          <w:b w:val="0"/>
          <w:color w:val="000000" w:themeColor="text1"/>
          <w:sz w:val="28"/>
          <w:szCs w:val="28"/>
          <w:highlight w:val="none"/>
          <w14:textFill>
            <w14:solidFill>
              <w14:schemeClr w14:val="tx1"/>
            </w14:solidFill>
          </w14:textFill>
        </w:rPr>
      </w:pPr>
      <w:bookmarkStart w:id="230" w:name="_Toc31246"/>
      <w:bookmarkStart w:id="231" w:name="_Toc20298"/>
      <w:bookmarkStart w:id="232" w:name="_Toc19223"/>
      <w:bookmarkStart w:id="233" w:name="_Toc20003"/>
      <w:r>
        <w:rPr>
          <w:rFonts w:ascii="Times New Roman" w:hAnsi="Times New Roman" w:eastAsia="仿宋"/>
          <w:bCs/>
          <w:color w:val="000000" w:themeColor="text1"/>
          <w:spacing w:val="10"/>
          <w:sz w:val="28"/>
          <w:szCs w:val="28"/>
          <w:highlight w:val="none"/>
          <w14:textFill>
            <w14:solidFill>
              <w14:schemeClr w14:val="tx1"/>
            </w14:solidFill>
          </w14:textFill>
        </w:rPr>
        <w:t>第二部分  价格文件</w:t>
      </w:r>
      <w:bookmarkEnd w:id="230"/>
      <w:bookmarkEnd w:id="231"/>
      <w:bookmarkEnd w:id="232"/>
      <w:bookmarkEnd w:id="233"/>
    </w:p>
    <w:p>
      <w:pPr>
        <w:ind w:firstLine="480"/>
        <w:rPr>
          <w:highlight w:val="none"/>
        </w:rPr>
      </w:pPr>
    </w:p>
    <w:p>
      <w:pPr>
        <w:spacing w:line="400" w:lineRule="exact"/>
        <w:jc w:val="cente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开标一览表（报价表）</w:t>
      </w:r>
    </w:p>
    <w:p>
      <w:pPr>
        <w:rPr>
          <w:highlight w:val="none"/>
        </w:rPr>
      </w:pPr>
    </w:p>
    <w:p>
      <w:pPr>
        <w:rPr>
          <w:highlight w:val="none"/>
        </w:rPr>
      </w:pPr>
    </w:p>
    <w:p>
      <w:pPr>
        <w:pStyle w:val="2"/>
        <w:spacing w:line="480" w:lineRule="auto"/>
        <w:rPr>
          <w:rFonts w:ascii="Times New Roman" w:hAnsi="Times New Roman" w:eastAsia="仿宋"/>
          <w:color w:val="000000" w:themeColor="text1"/>
          <w:sz w:val="24"/>
          <w:szCs w:val="24"/>
          <w:highlight w:val="none"/>
          <w14:textFill>
            <w14:solidFill>
              <w14:schemeClr w14:val="tx1"/>
            </w14:solidFill>
          </w14:textFill>
        </w:rPr>
      </w:pPr>
    </w:p>
    <w:p>
      <w:pPr>
        <w:pStyle w:val="2"/>
        <w:spacing w:line="400" w:lineRule="exact"/>
        <w:rPr>
          <w:rFonts w:ascii="Times New Roman" w:hAnsi="Times New Roman" w:eastAsia="仿宋"/>
          <w:color w:val="000000" w:themeColor="text1"/>
          <w:sz w:val="24"/>
          <w:szCs w:val="24"/>
          <w:highlight w:val="none"/>
          <w14:textFill>
            <w14:solidFill>
              <w14:schemeClr w14:val="tx1"/>
            </w14:solidFill>
          </w14:textFill>
        </w:rPr>
      </w:pPr>
      <w:r>
        <w:rPr>
          <w:rFonts w:ascii="Times New Roman" w:hAnsi="Times New Roman" w:eastAsia="仿宋"/>
          <w:color w:val="000000" w:themeColor="text1"/>
          <w:sz w:val="24"/>
          <w:szCs w:val="24"/>
          <w:highlight w:val="none"/>
          <w14:textFill>
            <w14:solidFill>
              <w14:schemeClr w14:val="tx1"/>
            </w14:solidFill>
          </w14:textFill>
        </w:rPr>
        <w:t>项目名称：</w:t>
      </w:r>
    </w:p>
    <w:p>
      <w:pPr>
        <w:spacing w:line="400" w:lineRule="exact"/>
        <w:rPr>
          <w:rFonts w:ascii="Times New Roman" w:hAnsi="Times New Roman" w:eastAsia="仿宋"/>
          <w:color w:val="000000" w:themeColor="text1"/>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项目编号：</w:t>
      </w:r>
    </w:p>
    <w:tbl>
      <w:tblPr>
        <w:tblStyle w:val="14"/>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70"/>
        <w:gridCol w:w="4604"/>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570"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hint="eastAsia" w:ascii="Times New Roman" w:hAnsi="Times New Roman" w:eastAsia="仿宋"/>
                <w:color w:val="000000" w:themeColor="text1"/>
                <w:sz w:val="24"/>
                <w:highlight w:val="none"/>
                <w14:textFill>
                  <w14:solidFill>
                    <w14:schemeClr w14:val="tx1"/>
                  </w14:solidFill>
                </w14:textFill>
              </w:rPr>
              <w:t>采购内容</w:t>
            </w:r>
          </w:p>
        </w:tc>
        <w:tc>
          <w:tcPr>
            <w:tcW w:w="4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报价小写（元）</w:t>
            </w:r>
          </w:p>
        </w:tc>
        <w:tc>
          <w:tcPr>
            <w:tcW w:w="894"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c>
          <w:tcPr>
            <w:tcW w:w="4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90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项目总报价</w:t>
            </w:r>
            <w:r>
              <w:rPr>
                <w:rFonts w:hint="eastAsia" w:ascii="Times New Roman" w:hAnsi="Times New Roman" w:eastAsia="仿宋"/>
                <w:color w:val="000000" w:themeColor="text1"/>
                <w:sz w:val="24"/>
                <w:highlight w:val="none"/>
                <w14:textFill>
                  <w14:solidFill>
                    <w14:schemeClr w14:val="tx1"/>
                  </w14:solidFill>
                </w14:textFill>
              </w:rPr>
              <w:t>小</w:t>
            </w:r>
            <w:r>
              <w:rPr>
                <w:rFonts w:ascii="Times New Roman" w:hAnsi="Times New Roman" w:eastAsia="仿宋"/>
                <w:color w:val="000000" w:themeColor="text1"/>
                <w:sz w:val="24"/>
                <w:highlight w:val="none"/>
                <w14:textFill>
                  <w14:solidFill>
                    <w14:schemeClr w14:val="tx1"/>
                  </w14:solidFill>
                </w14:textFill>
              </w:rPr>
              <w:t>写：</w:t>
            </w:r>
          </w:p>
          <w:p>
            <w:pPr>
              <w:pStyle w:val="2"/>
              <w:rPr>
                <w:highlight w:val="none"/>
              </w:rPr>
            </w:pPr>
            <w:r>
              <w:rPr>
                <w:rFonts w:ascii="Times New Roman" w:hAnsi="Times New Roman" w:eastAsia="仿宋"/>
                <w:color w:val="000000" w:themeColor="text1"/>
                <w:sz w:val="24"/>
                <w:szCs w:val="24"/>
                <w:highlight w:val="none"/>
                <w14:textFill>
                  <w14:solidFill>
                    <w14:schemeClr w14:val="tx1"/>
                  </w14:solidFill>
                </w14:textFill>
              </w:rPr>
              <w:t>项目总报价</w:t>
            </w:r>
            <w:r>
              <w:rPr>
                <w:rFonts w:hint="eastAsia" w:ascii="Times New Roman" w:hAnsi="Times New Roman" w:eastAsia="仿宋"/>
                <w:color w:val="000000" w:themeColor="text1"/>
                <w:sz w:val="24"/>
                <w:szCs w:val="24"/>
                <w:highlight w:val="none"/>
                <w14:textFill>
                  <w14:solidFill>
                    <w14:schemeClr w14:val="tx1"/>
                  </w14:solidFill>
                </w14:textFill>
              </w:rPr>
              <w:t>大</w:t>
            </w:r>
            <w:r>
              <w:rPr>
                <w:rFonts w:ascii="Times New Roman" w:hAnsi="Times New Roman" w:eastAsia="仿宋"/>
                <w:color w:val="000000" w:themeColor="text1"/>
                <w:sz w:val="24"/>
                <w:szCs w:val="24"/>
                <w:highlight w:val="none"/>
                <w14:textFill>
                  <w14:solidFill>
                    <w14:schemeClr w14:val="tx1"/>
                  </w14:solidFill>
                </w14:textFill>
              </w:rPr>
              <w:t>写：</w:t>
            </w:r>
          </w:p>
        </w:tc>
      </w:tr>
    </w:tbl>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tbl>
      <w:tblPr>
        <w:tblStyle w:val="14"/>
        <w:tblW w:w="8528" w:type="dxa"/>
        <w:tblInd w:w="0" w:type="dxa"/>
        <w:tblLayout w:type="fixed"/>
        <w:tblCellMar>
          <w:top w:w="0" w:type="dxa"/>
          <w:left w:w="108" w:type="dxa"/>
          <w:bottom w:w="0" w:type="dxa"/>
          <w:right w:w="108" w:type="dxa"/>
        </w:tblCellMar>
      </w:tblPr>
      <w:tblGrid>
        <w:gridCol w:w="5536"/>
        <w:gridCol w:w="2992"/>
      </w:tblGrid>
      <w:tr>
        <w:tblPrEx>
          <w:tblCellMar>
            <w:top w:w="0" w:type="dxa"/>
            <w:left w:w="108" w:type="dxa"/>
            <w:bottom w:w="0" w:type="dxa"/>
            <w:right w:w="108" w:type="dxa"/>
          </w:tblCellMar>
        </w:tblPrEx>
        <w:trPr>
          <w:trHeight w:val="545"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供应商名称（加盖公章）：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00"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法定代表人或受委托人（签名或盖私章）：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   年   月   日</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bl>
    <w:p>
      <w:pPr>
        <w:spacing w:line="360" w:lineRule="auto"/>
        <w:rPr>
          <w:rFonts w:ascii="Times New Roman" w:hAnsi="Times New Roman" w:eastAsia="仿宋"/>
          <w:b/>
          <w:bCs/>
          <w:color w:val="000000" w:themeColor="text1"/>
          <w:szCs w:val="21"/>
          <w:highlight w:val="none"/>
          <w14:textFill>
            <w14:solidFill>
              <w14:schemeClr w14:val="tx1"/>
            </w14:solidFill>
          </w14:textFill>
        </w:rPr>
      </w:pPr>
    </w:p>
    <w:p>
      <w:pPr>
        <w:pStyle w:val="9"/>
        <w:tabs>
          <w:tab w:val="left" w:pos="5580"/>
        </w:tabs>
        <w:spacing w:line="400" w:lineRule="exact"/>
        <w:ind w:left="540" w:leftChars="257" w:firstLine="482"/>
        <w:jc w:val="left"/>
        <w:rPr>
          <w:rFonts w:ascii="Times New Roman" w:hAnsi="Times New Roman" w:eastAsia="仿宋"/>
          <w:b/>
          <w:bCs/>
          <w:color w:val="000000" w:themeColor="text1"/>
          <w:sz w:val="24"/>
          <w:szCs w:val="24"/>
          <w:highlight w:val="none"/>
          <w14:textFill>
            <w14:solidFill>
              <w14:schemeClr w14:val="tx1"/>
            </w14:solidFill>
          </w14:textFill>
        </w:rPr>
      </w:pPr>
      <w:r>
        <w:rPr>
          <w:rFonts w:ascii="Times New Roman" w:hAnsi="Times New Roman" w:eastAsia="仿宋"/>
          <w:b/>
          <w:bCs/>
          <w:color w:val="000000" w:themeColor="text1"/>
          <w:sz w:val="24"/>
          <w:szCs w:val="24"/>
          <w:highlight w:val="none"/>
          <w14:textFill>
            <w14:solidFill>
              <w14:schemeClr w14:val="tx1"/>
            </w14:solidFill>
          </w14:textFill>
        </w:rPr>
        <w:t>注:1、此表应按供应商须知的规定装订密封。</w:t>
      </w:r>
    </w:p>
    <w:p>
      <w:pPr>
        <w:pStyle w:val="9"/>
        <w:tabs>
          <w:tab w:val="left" w:pos="5580"/>
        </w:tabs>
        <w:spacing w:line="400" w:lineRule="exact"/>
        <w:ind w:left="540" w:leftChars="257" w:firstLine="482"/>
        <w:jc w:val="left"/>
        <w:rPr>
          <w:rFonts w:ascii="Times New Roman" w:hAnsi="Times New Roman" w:eastAsia="仿宋"/>
          <w:b/>
          <w:color w:val="000000" w:themeColor="text1"/>
          <w:szCs w:val="21"/>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2</w:t>
      </w:r>
      <w:r>
        <w:rPr>
          <w:rFonts w:ascii="Times New Roman" w:hAnsi="Times New Roman" w:eastAsia="仿宋"/>
          <w:b/>
          <w:color w:val="000000" w:themeColor="text1"/>
          <w:sz w:val="24"/>
          <w:szCs w:val="24"/>
          <w:highlight w:val="none"/>
          <w14:textFill>
            <w14:solidFill>
              <w14:schemeClr w14:val="tx1"/>
            </w14:solidFill>
          </w14:textFill>
        </w:rPr>
        <w:t>.此表乃报价表的</w:t>
      </w:r>
      <w:r>
        <w:rPr>
          <w:rFonts w:hint="eastAsia" w:ascii="Times New Roman" w:hAnsi="Times New Roman" w:eastAsia="仿宋"/>
          <w:b/>
          <w:color w:val="000000" w:themeColor="text1"/>
          <w:sz w:val="24"/>
          <w:szCs w:val="24"/>
          <w:highlight w:val="none"/>
          <w14:textFill>
            <w14:solidFill>
              <w14:schemeClr w14:val="tx1"/>
            </w14:solidFill>
          </w14:textFill>
        </w:rPr>
        <w:t>总报价</w:t>
      </w:r>
      <w:r>
        <w:rPr>
          <w:rFonts w:ascii="Times New Roman" w:hAnsi="Times New Roman" w:eastAsia="仿宋"/>
          <w:b/>
          <w:color w:val="000000" w:themeColor="text1"/>
          <w:sz w:val="24"/>
          <w:szCs w:val="24"/>
          <w:highlight w:val="none"/>
          <w14:textFill>
            <w14:solidFill>
              <w14:schemeClr w14:val="tx1"/>
            </w14:solidFill>
          </w14:textFill>
        </w:rPr>
        <w:t>表</w:t>
      </w:r>
    </w:p>
    <w:p>
      <w:pPr>
        <w:pStyle w:val="2"/>
        <w:rPr>
          <w:rFonts w:ascii="Times New Roman" w:hAnsi="Times New Roman" w:eastAsia="仿宋"/>
          <w:color w:val="000000" w:themeColor="text1"/>
          <w:highlight w:val="none"/>
          <w14:textFill>
            <w14:solidFill>
              <w14:schemeClr w14:val="tx1"/>
            </w14:solidFill>
          </w14:textFill>
        </w:rPr>
      </w:pPr>
    </w:p>
    <w:p>
      <w:pP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br w:type="page"/>
      </w:r>
    </w:p>
    <w:p>
      <w:pPr>
        <w:jc w:val="cente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报价明细表</w:t>
      </w:r>
    </w:p>
    <w:p>
      <w:pPr>
        <w:jc w:val="center"/>
        <w:rPr>
          <w:rFonts w:ascii="Times New Roman" w:hAnsi="Times New Roman" w:eastAsia="仿宋"/>
          <w:color w:val="000000" w:themeColor="text1"/>
          <w:sz w:val="24"/>
          <w:highlight w:val="none"/>
          <w14:textFill>
            <w14:solidFill>
              <w14:schemeClr w14:val="tx1"/>
            </w14:solidFill>
          </w14:textFill>
        </w:rPr>
      </w:pPr>
    </w:p>
    <w:p>
      <w:pPr>
        <w:spacing w:line="40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项目名称：                                                     </w:t>
      </w:r>
    </w:p>
    <w:p>
      <w:pPr>
        <w:pStyle w:val="30"/>
        <w:spacing w:line="400" w:lineRule="exact"/>
        <w:rPr>
          <w:rFonts w:ascii="Times New Roman" w:hAnsi="Times New Roman" w:eastAsia="仿宋"/>
          <w:color w:val="000000" w:themeColor="text1"/>
          <w:highlight w:val="none"/>
          <w14:textFill>
            <w14:solidFill>
              <w14:schemeClr w14:val="tx1"/>
            </w14:solidFill>
          </w14:textFill>
        </w:rPr>
      </w:pPr>
      <w:r>
        <w:rPr>
          <w:rFonts w:ascii="Times New Roman" w:hAnsi="Times New Roman" w:eastAsia="仿宋"/>
          <w:color w:val="000000" w:themeColor="text1"/>
          <w:highlight w:val="none"/>
          <w14:textFill>
            <w14:solidFill>
              <w14:schemeClr w14:val="tx1"/>
            </w14:solidFill>
          </w14:textFill>
        </w:rPr>
        <w:t>项目编号：                                     单位：元</w:t>
      </w:r>
    </w:p>
    <w:tbl>
      <w:tblPr>
        <w:tblStyle w:val="14"/>
        <w:tblpPr w:leftFromText="180" w:rightFromText="180" w:vertAnchor="text" w:tblpY="1"/>
        <w:tblOverlap w:val="never"/>
        <w:tblW w:w="8866"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275"/>
        <w:gridCol w:w="1350"/>
        <w:gridCol w:w="1350"/>
        <w:gridCol w:w="915"/>
        <w:gridCol w:w="840"/>
        <w:gridCol w:w="1320"/>
        <w:gridCol w:w="11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9" w:hRule="atLeast"/>
        </w:trPr>
        <w:tc>
          <w:tcPr>
            <w:tcW w:w="706" w:type="dxa"/>
            <w:tcBorders>
              <w:top w:val="single" w:color="auto" w:sz="8"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序号</w:t>
            </w:r>
          </w:p>
        </w:tc>
        <w:tc>
          <w:tcPr>
            <w:tcW w:w="1275" w:type="dxa"/>
            <w:tcBorders>
              <w:top w:val="single" w:color="auto" w:sz="8"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货物名称</w:t>
            </w:r>
          </w:p>
        </w:tc>
        <w:tc>
          <w:tcPr>
            <w:tcW w:w="1350" w:type="dxa"/>
            <w:tcBorders>
              <w:top w:val="single" w:color="auto" w:sz="8"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品牌型号</w:t>
            </w:r>
          </w:p>
        </w:tc>
        <w:tc>
          <w:tcPr>
            <w:tcW w:w="1350"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原厂商及原产地</w:t>
            </w:r>
          </w:p>
        </w:tc>
        <w:tc>
          <w:tcPr>
            <w:tcW w:w="915"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数量</w:t>
            </w:r>
          </w:p>
        </w:tc>
        <w:tc>
          <w:tcPr>
            <w:tcW w:w="840"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单价</w:t>
            </w:r>
          </w:p>
        </w:tc>
        <w:tc>
          <w:tcPr>
            <w:tcW w:w="1320" w:type="dxa"/>
            <w:tcBorders>
              <w:top w:val="single" w:color="auto" w:sz="8"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分项报价</w:t>
            </w:r>
          </w:p>
        </w:tc>
        <w:tc>
          <w:tcPr>
            <w:tcW w:w="1110" w:type="dxa"/>
            <w:tcBorders>
              <w:top w:val="single" w:color="auto" w:sz="8"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06" w:type="dxa"/>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91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110" w:type="dxa"/>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06" w:type="dxa"/>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91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110" w:type="dxa"/>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06" w:type="dxa"/>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91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110" w:type="dxa"/>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06" w:type="dxa"/>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91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110" w:type="dxa"/>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06" w:type="dxa"/>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91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c>
          <w:tcPr>
            <w:tcW w:w="1110" w:type="dxa"/>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981" w:type="dxa"/>
            <w:gridSpan w:val="2"/>
            <w:tcBorders>
              <w:top w:val="single" w:color="auto" w:sz="6" w:space="0"/>
              <w:left w:val="single" w:color="auto" w:sz="8" w:space="0"/>
              <w:bottom w:val="single" w:color="auto" w:sz="6"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项目总报价小写</w:t>
            </w:r>
          </w:p>
        </w:tc>
        <w:tc>
          <w:tcPr>
            <w:tcW w:w="6885" w:type="dxa"/>
            <w:gridSpan w:val="6"/>
            <w:tcBorders>
              <w:top w:val="single" w:color="auto" w:sz="6" w:space="0"/>
              <w:left w:val="single" w:color="auto" w:sz="4" w:space="0"/>
              <w:bottom w:val="single" w:color="auto" w:sz="6"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981" w:type="dxa"/>
            <w:gridSpan w:val="2"/>
            <w:tcBorders>
              <w:top w:val="single" w:color="auto" w:sz="6" w:space="0"/>
              <w:left w:val="single" w:color="auto" w:sz="8" w:space="0"/>
              <w:bottom w:val="single" w:color="auto" w:sz="8" w:space="0"/>
              <w:right w:val="single" w:color="auto" w:sz="4"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项目总报价大写</w:t>
            </w:r>
          </w:p>
        </w:tc>
        <w:tc>
          <w:tcPr>
            <w:tcW w:w="6885" w:type="dxa"/>
            <w:gridSpan w:val="6"/>
            <w:tcBorders>
              <w:top w:val="single" w:color="auto" w:sz="6" w:space="0"/>
              <w:left w:val="single" w:color="auto" w:sz="4" w:space="0"/>
              <w:bottom w:val="single" w:color="auto" w:sz="8" w:space="0"/>
              <w:right w:val="single" w:color="auto" w:sz="8" w:space="0"/>
            </w:tcBorders>
            <w:vAlign w:val="center"/>
          </w:tcPr>
          <w:p>
            <w:pPr>
              <w:jc w:val="center"/>
              <w:rPr>
                <w:rFonts w:ascii="Times New Roman" w:hAnsi="Times New Roman" w:eastAsia="仿宋"/>
                <w:color w:val="000000" w:themeColor="text1"/>
                <w:sz w:val="24"/>
                <w:highlight w:val="none"/>
                <w14:textFill>
                  <w14:solidFill>
                    <w14:schemeClr w14:val="tx1"/>
                  </w14:solidFill>
                </w14:textFill>
              </w:rPr>
            </w:pPr>
          </w:p>
        </w:tc>
      </w:tr>
    </w:tbl>
    <w:p>
      <w:pPr>
        <w:rPr>
          <w:rFonts w:ascii="Times New Roman" w:hAnsi="Times New Roman" w:eastAsia="仿宋"/>
          <w:b/>
          <w:color w:val="000000" w:themeColor="text1"/>
          <w:sz w:val="24"/>
          <w:highlight w:val="none"/>
          <w14:textFill>
            <w14:solidFill>
              <w14:schemeClr w14:val="tx1"/>
            </w14:solidFill>
          </w14:textFill>
        </w:rPr>
      </w:pPr>
    </w:p>
    <w:p>
      <w:pPr>
        <w:spacing w:line="400" w:lineRule="exact"/>
        <w:rPr>
          <w:rFonts w:ascii="Times New Roman" w:hAnsi="Times New Roman" w:eastAsia="仿宋"/>
          <w:b/>
          <w:color w:val="000000" w:themeColor="text1"/>
          <w:sz w:val="24"/>
          <w:highlight w:val="none"/>
          <w14:textFill>
            <w14:solidFill>
              <w14:schemeClr w14:val="tx1"/>
            </w14:solidFill>
          </w14:textFill>
        </w:rPr>
      </w:pPr>
    </w:p>
    <w:p>
      <w:pPr>
        <w:pStyle w:val="9"/>
        <w:tabs>
          <w:tab w:val="left" w:pos="5580"/>
        </w:tabs>
        <w:spacing w:line="400" w:lineRule="exact"/>
        <w:ind w:left="540" w:leftChars="257" w:firstLine="482"/>
        <w:jc w:val="left"/>
        <w:rPr>
          <w:rFonts w:ascii="Times New Roman" w:hAnsi="Times New Roman" w:eastAsia="仿宋"/>
          <w:b/>
          <w:color w:val="000000" w:themeColor="text1"/>
          <w:sz w:val="24"/>
          <w:szCs w:val="24"/>
          <w:highlight w:val="none"/>
          <w14:textFill>
            <w14:solidFill>
              <w14:schemeClr w14:val="tx1"/>
            </w14:solidFill>
          </w14:textFill>
        </w:rPr>
      </w:pPr>
      <w:r>
        <w:rPr>
          <w:rFonts w:ascii="Times New Roman" w:hAnsi="Times New Roman" w:eastAsia="仿宋"/>
          <w:b/>
          <w:color w:val="000000" w:themeColor="text1"/>
          <w:sz w:val="24"/>
          <w:szCs w:val="24"/>
          <w:highlight w:val="none"/>
          <w14:textFill>
            <w14:solidFill>
              <w14:schemeClr w14:val="tx1"/>
            </w14:solidFill>
          </w14:textFill>
        </w:rPr>
        <w:t>注：1.此表乃报价表的明细表。</w:t>
      </w:r>
    </w:p>
    <w:p>
      <w:pPr>
        <w:pStyle w:val="2"/>
        <w:rPr>
          <w:rFonts w:ascii="Times New Roman" w:hAnsi="Times New Roman" w:eastAsia="仿宋"/>
          <w:color w:val="000000" w:themeColor="text1"/>
          <w:highlight w:val="none"/>
          <w14:textFill>
            <w14:solidFill>
              <w14:schemeClr w14:val="tx1"/>
            </w14:solidFill>
          </w14:textFill>
        </w:rPr>
      </w:pPr>
    </w:p>
    <w:p>
      <w:pPr>
        <w:rPr>
          <w:rFonts w:ascii="Times New Roman" w:hAnsi="Times New Roman" w:eastAsia="仿宋"/>
          <w:color w:val="000000" w:themeColor="text1"/>
          <w:highlight w:val="none"/>
          <w14:textFill>
            <w14:solidFill>
              <w14:schemeClr w14:val="tx1"/>
            </w14:solidFill>
          </w14:textFill>
        </w:rPr>
      </w:pPr>
    </w:p>
    <w:p>
      <w:pPr>
        <w:pStyle w:val="2"/>
        <w:rPr>
          <w:highlight w:val="none"/>
        </w:rPr>
      </w:pPr>
    </w:p>
    <w:tbl>
      <w:tblPr>
        <w:tblStyle w:val="14"/>
        <w:tblW w:w="8528" w:type="dxa"/>
        <w:tblInd w:w="0" w:type="dxa"/>
        <w:tblLayout w:type="fixed"/>
        <w:tblCellMar>
          <w:top w:w="0" w:type="dxa"/>
          <w:left w:w="108" w:type="dxa"/>
          <w:bottom w:w="0" w:type="dxa"/>
          <w:right w:w="108" w:type="dxa"/>
        </w:tblCellMar>
      </w:tblPr>
      <w:tblGrid>
        <w:gridCol w:w="5536"/>
        <w:gridCol w:w="2992"/>
      </w:tblGrid>
      <w:tr>
        <w:tblPrEx>
          <w:tblCellMar>
            <w:top w:w="0" w:type="dxa"/>
            <w:left w:w="108" w:type="dxa"/>
            <w:bottom w:w="0" w:type="dxa"/>
            <w:right w:w="108" w:type="dxa"/>
          </w:tblCellMar>
        </w:tblPrEx>
        <w:trPr>
          <w:trHeight w:val="545"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供应商名称（加盖公章）：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00" w:hRule="atLeast"/>
        </w:trPr>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法定代表人或受委托人（签名或盖私章）：     </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c>
          <w:tcPr>
            <w:tcW w:w="5536" w:type="dxa"/>
          </w:tcPr>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   年   月   日</w:t>
            </w:r>
          </w:p>
        </w:tc>
        <w:tc>
          <w:tcPr>
            <w:tcW w:w="2992" w:type="dxa"/>
          </w:tcPr>
          <w:p>
            <w:pPr>
              <w:spacing w:line="400" w:lineRule="exact"/>
              <w:ind w:firstLine="480" w:firstLineChars="200"/>
              <w:jc w:val="left"/>
              <w:rPr>
                <w:rFonts w:ascii="Times New Roman" w:hAnsi="Times New Roman" w:eastAsia="仿宋"/>
                <w:color w:val="000000" w:themeColor="text1"/>
                <w:sz w:val="24"/>
                <w:highlight w:val="none"/>
                <w14:textFill>
                  <w14:solidFill>
                    <w14:schemeClr w14:val="tx1"/>
                  </w14:solidFill>
                </w14:textFill>
              </w:rPr>
            </w:pPr>
          </w:p>
        </w:tc>
      </w:tr>
    </w:tbl>
    <w:p>
      <w:pPr>
        <w:ind w:firstLine="480"/>
        <w:rPr>
          <w:highlight w:val="none"/>
        </w:rPr>
      </w:pPr>
    </w:p>
    <w:p>
      <w:pPr>
        <w:ind w:firstLine="480"/>
        <w:rPr>
          <w:highlight w:val="none"/>
        </w:rPr>
      </w:pPr>
    </w:p>
    <w:p>
      <w:pPr>
        <w:rPr>
          <w:highlight w:val="none"/>
        </w:rPr>
      </w:pPr>
      <w:r>
        <w:rPr>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tabs>
          <w:tab w:val="left" w:pos="5580"/>
        </w:tabs>
        <w:spacing w:line="415" w:lineRule="auto"/>
        <w:rPr>
          <w:rFonts w:ascii="Times New Roman" w:hAnsi="Times New Roman" w:eastAsia="仿宋"/>
          <w:b w:val="0"/>
          <w:color w:val="000000" w:themeColor="text1"/>
          <w:sz w:val="28"/>
          <w:szCs w:val="28"/>
          <w:highlight w:val="none"/>
          <w14:textFill>
            <w14:solidFill>
              <w14:schemeClr w14:val="tx1"/>
            </w14:solidFill>
          </w14:textFill>
        </w:rPr>
      </w:pPr>
      <w:bookmarkStart w:id="234" w:name="_Toc16755"/>
      <w:bookmarkStart w:id="235" w:name="_Toc29956"/>
      <w:bookmarkStart w:id="236" w:name="_Toc96"/>
      <w:bookmarkStart w:id="237" w:name="_Toc19908"/>
      <w:r>
        <w:rPr>
          <w:rFonts w:ascii="Times New Roman" w:hAnsi="Times New Roman" w:eastAsia="仿宋"/>
          <w:color w:val="000000" w:themeColor="text1"/>
          <w:sz w:val="28"/>
          <w:szCs w:val="28"/>
          <w:highlight w:val="none"/>
          <w14:textFill>
            <w14:solidFill>
              <w14:schemeClr w14:val="tx1"/>
            </w14:solidFill>
          </w14:textFill>
        </w:rPr>
        <w:t>第三部分   商务及技术文件</w:t>
      </w:r>
      <w:bookmarkEnd w:id="234"/>
      <w:bookmarkEnd w:id="235"/>
      <w:bookmarkEnd w:id="236"/>
      <w:bookmarkEnd w:id="237"/>
    </w:p>
    <w:p>
      <w:pPr>
        <w:spacing w:line="400" w:lineRule="exact"/>
        <w:rPr>
          <w:rFonts w:ascii="Times New Roman" w:hAnsi="Times New Roman" w:eastAsia="仿宋"/>
          <w:color w:val="000000" w:themeColor="text1"/>
          <w:sz w:val="28"/>
          <w:szCs w:val="28"/>
          <w:highlight w:val="none"/>
          <w14:textFill>
            <w14:solidFill>
              <w14:schemeClr w14:val="tx1"/>
            </w14:solidFill>
          </w14:textFill>
        </w:rPr>
      </w:pP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1投标函</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2索引表</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2.1资格性审查索引表</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2.2符合性审查索引表</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2.3</w:t>
      </w:r>
      <w:r>
        <w:rPr>
          <w:rFonts w:hint="eastAsia" w:ascii="Times New Roman" w:hAnsi="Times New Roman" w:eastAsia="仿宋"/>
          <w:color w:val="000000" w:themeColor="text1"/>
          <w:sz w:val="24"/>
          <w:highlight w:val="none"/>
          <w14:textFill>
            <w14:solidFill>
              <w14:schemeClr w14:val="tx1"/>
            </w14:solidFill>
          </w14:textFill>
        </w:rPr>
        <w:t>商务条件响应表</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2.4</w:t>
      </w:r>
      <w:r>
        <w:rPr>
          <w:rFonts w:hint="eastAsia" w:ascii="Times New Roman" w:hAnsi="Times New Roman" w:eastAsia="仿宋"/>
          <w:color w:val="000000" w:themeColor="text1"/>
          <w:sz w:val="24"/>
          <w:highlight w:val="none"/>
          <w14:textFill>
            <w14:solidFill>
              <w14:schemeClr w14:val="tx1"/>
            </w14:solidFill>
          </w14:textFill>
        </w:rPr>
        <w:t>技术和服务要求响应表</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2.5</w:t>
      </w:r>
      <w:r>
        <w:rPr>
          <w:rFonts w:hint="eastAsia" w:ascii="Times New Roman" w:hAnsi="Times New Roman" w:eastAsia="仿宋"/>
          <w:color w:val="000000" w:themeColor="text1"/>
          <w:sz w:val="24"/>
          <w:highlight w:val="none"/>
          <w14:textFill>
            <w14:solidFill>
              <w14:schemeClr w14:val="tx1"/>
            </w14:solidFill>
          </w14:textFill>
        </w:rPr>
        <w:t>政策适用性说明</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3资格性证明文件</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4商务技术证明文件</w:t>
      </w:r>
    </w:p>
    <w:p>
      <w:pPr>
        <w:spacing w:line="400" w:lineRule="exact"/>
        <w:jc w:val="lef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5其他文件</w:t>
      </w:r>
    </w:p>
    <w:p>
      <w:pPr>
        <w:pStyle w:val="7"/>
        <w:spacing w:line="240" w:lineRule="atLeast"/>
        <w:ind w:firstLine="0"/>
        <w:jc w:val="center"/>
        <w:rPr>
          <w:rFonts w:ascii="Times New Roman" w:hAnsi="Times New Roman" w:eastAsia="仿宋"/>
          <w:color w:val="000000" w:themeColor="text1"/>
          <w:szCs w:val="24"/>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spacing w:line="360" w:lineRule="auto"/>
        <w:rPr>
          <w:rFonts w:ascii="Times New Roman" w:hAnsi="Times New Roman" w:eastAsia="仿宋"/>
          <w:b/>
          <w:color w:val="000000" w:themeColor="text1"/>
          <w:szCs w:val="21"/>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rPr>
          <w:rFonts w:ascii="Times New Roman" w:hAnsi="Times New Roman" w:eastAsia="仿宋"/>
          <w:color w:val="000000" w:themeColor="text1"/>
          <w:sz w:val="28"/>
          <w:szCs w:val="28"/>
          <w:highlight w:val="none"/>
          <w14:textFill>
            <w14:solidFill>
              <w14:schemeClr w14:val="tx1"/>
            </w14:solidFill>
          </w14:textFill>
        </w:rPr>
      </w:pPr>
    </w:p>
    <w:p>
      <w:pPr>
        <w:pStyle w:val="2"/>
        <w:rPr>
          <w:rFonts w:ascii="Times New Roman" w:hAnsi="Times New Roman" w:eastAsia="仿宋"/>
          <w:color w:val="000000" w:themeColor="text1"/>
          <w:sz w:val="28"/>
          <w:szCs w:val="28"/>
          <w:highlight w:val="none"/>
          <w14:textFill>
            <w14:solidFill>
              <w14:schemeClr w14:val="tx1"/>
            </w14:solidFill>
          </w14:textFill>
        </w:rPr>
      </w:pPr>
    </w:p>
    <w:p>
      <w:pPr>
        <w:pStyle w:val="2"/>
        <w:rPr>
          <w:rFonts w:ascii="Times New Roman" w:hAnsi="Times New Roman" w:eastAsia="仿宋"/>
          <w:color w:val="000000" w:themeColor="text1"/>
          <w:sz w:val="28"/>
          <w:szCs w:val="28"/>
          <w:highlight w:val="none"/>
          <w14:textFill>
            <w14:solidFill>
              <w14:schemeClr w14:val="tx1"/>
            </w14:solidFill>
          </w14:textFill>
        </w:rPr>
      </w:pPr>
    </w:p>
    <w:p>
      <w:pPr>
        <w:rPr>
          <w:rStyle w:val="17"/>
          <w:rFonts w:ascii="Times New Roman" w:hAnsi="Times New Roman" w:eastAsia="仿宋"/>
          <w:b/>
          <w:color w:val="000000" w:themeColor="text1"/>
          <w:spacing w:val="12"/>
          <w:sz w:val="21"/>
          <w:szCs w:val="21"/>
          <w:highlight w:val="none"/>
          <w14:textFill>
            <w14:solidFill>
              <w14:schemeClr w14:val="tx1"/>
            </w14:solidFill>
          </w14:textFill>
        </w:rPr>
      </w:pPr>
      <w:bookmarkStart w:id="238" w:name="_Toc17227"/>
      <w:bookmarkStart w:id="239" w:name="_Toc7548"/>
      <w:bookmarkStart w:id="240" w:name="_Toc22291"/>
      <w:bookmarkStart w:id="241" w:name="_Toc25345"/>
      <w:r>
        <w:rPr>
          <w:rStyle w:val="17"/>
          <w:rFonts w:ascii="Times New Roman" w:hAnsi="Times New Roman" w:eastAsia="仿宋"/>
          <w:b/>
          <w:color w:val="000000" w:themeColor="text1"/>
          <w:spacing w:val="12"/>
          <w:sz w:val="21"/>
          <w:szCs w:val="21"/>
          <w:highlight w:val="none"/>
          <w14:textFill>
            <w14:solidFill>
              <w14:schemeClr w14:val="tx1"/>
            </w14:solidFill>
          </w14:textFill>
        </w:rPr>
        <w:br w:type="page"/>
      </w:r>
    </w:p>
    <w:p>
      <w:pPr>
        <w:pStyle w:val="3"/>
        <w:keepNext w:val="0"/>
        <w:keepLines w:val="0"/>
        <w:spacing w:line="415" w:lineRule="auto"/>
        <w:jc w:val="left"/>
        <w:rPr>
          <w:rStyle w:val="17"/>
          <w:rFonts w:ascii="Times New Roman" w:hAnsi="Times New Roman" w:eastAsia="仿宋"/>
          <w:b/>
          <w:color w:val="000000" w:themeColor="text1"/>
          <w:spacing w:val="12"/>
          <w:sz w:val="21"/>
          <w:szCs w:val="21"/>
          <w:highlight w:val="none"/>
          <w14:textFill>
            <w14:solidFill>
              <w14:schemeClr w14:val="tx1"/>
            </w14:solidFill>
          </w14:textFill>
        </w:rPr>
      </w:pPr>
      <w:r>
        <w:rPr>
          <w:rStyle w:val="17"/>
          <w:rFonts w:ascii="Times New Roman" w:hAnsi="Times New Roman" w:eastAsia="仿宋"/>
          <w:b/>
          <w:color w:val="000000" w:themeColor="text1"/>
          <w:spacing w:val="12"/>
          <w:sz w:val="21"/>
          <w:szCs w:val="21"/>
          <w:highlight w:val="none"/>
          <w14:textFill>
            <w14:solidFill>
              <w14:schemeClr w14:val="tx1"/>
            </w14:solidFill>
          </w14:textFill>
        </w:rPr>
        <w:t>1  投标函</w:t>
      </w:r>
      <w:bookmarkEnd w:id="238"/>
      <w:bookmarkEnd w:id="239"/>
      <w:bookmarkEnd w:id="240"/>
      <w:bookmarkEnd w:id="241"/>
    </w:p>
    <w:p>
      <w:pPr>
        <w:spacing w:before="156" w:after="156" w:line="400" w:lineRule="exact"/>
        <w:jc w:val="cente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投标函</w:t>
      </w:r>
    </w:p>
    <w:p>
      <w:pPr>
        <w:spacing w:before="156" w:after="156" w:line="40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致：东莞市万江招投标服务所</w:t>
      </w:r>
    </w:p>
    <w:p>
      <w:pPr>
        <w:ind w:firstLine="480"/>
        <w:rPr>
          <w:highlight w:val="none"/>
        </w:rPr>
      </w:pPr>
      <w:r>
        <w:rPr>
          <w:highlight w:val="none"/>
        </w:rPr>
        <w:t>致：</w:t>
      </w:r>
      <w:r>
        <w:rPr>
          <w:highlight w:val="none"/>
          <w:u w:val="single"/>
        </w:rPr>
        <w:t>东莞市万江招投标服务所</w:t>
      </w:r>
    </w:p>
    <w:p>
      <w:pPr>
        <w:ind w:firstLine="480"/>
        <w:rPr>
          <w:highlight w:val="none"/>
        </w:rPr>
      </w:pPr>
      <w:r>
        <w:rPr>
          <w:highlight w:val="none"/>
        </w:rPr>
        <w:t>你方组织的</w:t>
      </w:r>
      <w:r>
        <w:rPr>
          <w:rFonts w:hint="eastAsia"/>
          <w:highlight w:val="none"/>
          <w:u w:val="single"/>
        </w:rPr>
        <w:t xml:space="preserve">                          </w:t>
      </w:r>
      <w:r>
        <w:rPr>
          <w:highlight w:val="none"/>
        </w:rPr>
        <w:t>目的招标[采购项目编号为：</w:t>
      </w:r>
      <w:r>
        <w:rPr>
          <w:rFonts w:hint="eastAsia"/>
          <w:highlight w:val="none"/>
          <w:u w:val="single"/>
        </w:rPr>
        <w:t xml:space="preserve">                 </w:t>
      </w:r>
      <w:r>
        <w:rPr>
          <w:highlight w:val="none"/>
        </w:rPr>
        <w:t>]，我方愿参与投标。</w:t>
      </w:r>
    </w:p>
    <w:p>
      <w:pPr>
        <w:ind w:firstLine="480"/>
        <w:rPr>
          <w:highlight w:val="none"/>
        </w:rPr>
      </w:pPr>
      <w:r>
        <w:rPr>
          <w:highlight w:val="none"/>
        </w:rPr>
        <w:t>我方确认收到贵方提供的</w:t>
      </w:r>
      <w:r>
        <w:rPr>
          <w:rFonts w:hint="eastAsia"/>
          <w:highlight w:val="none"/>
          <w:u w:val="single"/>
        </w:rPr>
        <w:t xml:space="preserve">                                      </w:t>
      </w:r>
      <w:r>
        <w:rPr>
          <w:highlight w:val="none"/>
        </w:rPr>
        <w:t>项目的招标文件的全部内容。</w:t>
      </w:r>
    </w:p>
    <w:p>
      <w:pPr>
        <w:ind w:firstLine="480"/>
        <w:rPr>
          <w:highlight w:val="none"/>
        </w:rPr>
      </w:pPr>
      <w:r>
        <w:rPr>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highlight w:val="none"/>
        </w:rPr>
      </w:pPr>
      <w:r>
        <w:rPr>
          <w:highlight w:val="none"/>
          <w:u w:val="single"/>
        </w:rPr>
        <w:t>(投标人名称)</w:t>
      </w:r>
      <w:r>
        <w:rPr>
          <w:highlight w:val="none"/>
        </w:rPr>
        <w:t>作为投标人正式授权</w:t>
      </w:r>
      <w:r>
        <w:rPr>
          <w:highlight w:val="none"/>
          <w:u w:val="single"/>
        </w:rPr>
        <w:t>(授权代表全名,职务)</w:t>
      </w:r>
      <w:r>
        <w:rPr>
          <w:highlight w:val="none"/>
        </w:rPr>
        <w:t>代表我方全权处理有关本投标的一切事宜。</w:t>
      </w:r>
    </w:p>
    <w:p>
      <w:pPr>
        <w:ind w:firstLine="480"/>
        <w:rPr>
          <w:highlight w:val="none"/>
        </w:rPr>
      </w:pPr>
      <w:r>
        <w:rPr>
          <w:highlight w:val="none"/>
        </w:rPr>
        <w:t>我方已完全明白招标文件的所有条款要求，并申明如下：</w:t>
      </w:r>
    </w:p>
    <w:p>
      <w:pPr>
        <w:ind w:firstLine="480"/>
        <w:rPr>
          <w:highlight w:val="none"/>
        </w:rPr>
      </w:pPr>
      <w:r>
        <w:rPr>
          <w:highlight w:val="none"/>
        </w:rPr>
        <w:t>（一）按招标文件提供的全部货物与相关服务的投标总价详见《开标一览表》。</w:t>
      </w:r>
    </w:p>
    <w:p>
      <w:pPr>
        <w:ind w:firstLine="480"/>
        <w:rPr>
          <w:highlight w:val="none"/>
        </w:rPr>
      </w:pPr>
      <w:r>
        <w:rPr>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highlight w:val="none"/>
        </w:rPr>
      </w:pPr>
      <w:r>
        <w:rPr>
          <w:highlight w:val="none"/>
        </w:rPr>
        <w:t>（三）我方明白并同意，在规定的开标日之后，投标有效期之内撤回投标或中标后不按规定与采购人签订合同或不提交履约保证金, 则贵方将不予退还投标保证金。</w:t>
      </w:r>
    </w:p>
    <w:p>
      <w:pPr>
        <w:ind w:firstLine="480"/>
        <w:rPr>
          <w:highlight w:val="none"/>
        </w:rPr>
      </w:pPr>
      <w:r>
        <w:rPr>
          <w:highlight w:val="none"/>
        </w:rPr>
        <w:t>（四）我方愿意向贵方提供任何与本项报价有关的数据、情况和技术资料。若贵方需要，我方愿意提供我方作出的一切承诺的证明材料。</w:t>
      </w:r>
    </w:p>
    <w:p>
      <w:pPr>
        <w:ind w:firstLine="480"/>
        <w:rPr>
          <w:highlight w:val="none"/>
        </w:rPr>
      </w:pPr>
      <w:r>
        <w:rPr>
          <w:highlight w:val="none"/>
        </w:rPr>
        <w:t>（五）我方理解贵方不一定接受最低投标价或任何贵方可能收到的投标。</w:t>
      </w:r>
    </w:p>
    <w:p>
      <w:pPr>
        <w:ind w:firstLine="480"/>
        <w:rPr>
          <w:highlight w:val="none"/>
        </w:rPr>
      </w:pPr>
      <w:r>
        <w:rPr>
          <w:highlight w:val="none"/>
        </w:rPr>
        <w:t>（六）我方如果中标，将保证履行招标文件及其澄清、修改文件（如果有）中的全部责任和义务，按质、按量、按期完成《采购需求》及《合同书》中的全部任务。</w:t>
      </w:r>
    </w:p>
    <w:p>
      <w:pPr>
        <w:ind w:firstLine="480"/>
        <w:rPr>
          <w:highlight w:val="none"/>
        </w:rPr>
      </w:pPr>
      <w:r>
        <w:rPr>
          <w:highlight w:val="none"/>
        </w:rPr>
        <w:t>（七）我方作为法律、财务和运作上独立于采购人、采购代理机构的投标人，在此保证所提交的所有文件和全部说明是真实的和正确的。</w:t>
      </w:r>
    </w:p>
    <w:p>
      <w:pPr>
        <w:ind w:firstLine="480"/>
        <w:rPr>
          <w:highlight w:val="none"/>
        </w:rPr>
      </w:pPr>
      <w:r>
        <w:rPr>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highlight w:val="none"/>
        </w:rPr>
      </w:pPr>
      <w:r>
        <w:rPr>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highlight w:val="none"/>
        </w:rPr>
      </w:pPr>
      <w:r>
        <w:rPr>
          <w:highlight w:val="none"/>
        </w:rPr>
        <w:t>（十）我方与其他投标人不存在单位负责人为同一人或者存在直接控股、管理关系。</w:t>
      </w:r>
    </w:p>
    <w:p>
      <w:pPr>
        <w:ind w:firstLine="480"/>
        <w:rPr>
          <w:highlight w:val="none"/>
        </w:rPr>
      </w:pPr>
      <w:r>
        <w:rPr>
          <w:highlight w:val="none"/>
        </w:rPr>
        <w:t>（十一）我方承诺未为本项目提供整体设计、规范编制或者项目管理、监理、检测等服务。</w:t>
      </w:r>
    </w:p>
    <w:p>
      <w:pPr>
        <w:ind w:firstLine="480"/>
        <w:rPr>
          <w:highlight w:val="none"/>
        </w:rPr>
      </w:pPr>
      <w:r>
        <w:rPr>
          <w:highlight w:val="none"/>
        </w:rPr>
        <w:t>（十二）我方未被列入法院失信被执行人名单中。</w:t>
      </w:r>
    </w:p>
    <w:p>
      <w:pPr>
        <w:ind w:firstLine="480"/>
        <w:rPr>
          <w:highlight w:val="none"/>
        </w:rPr>
      </w:pPr>
      <w:r>
        <w:rPr>
          <w:highlight w:val="none"/>
        </w:rPr>
        <w:t>（十三）我方具备《中华人民共和国政府采购法》第二十二条规定的条件，承诺如下：</w:t>
      </w:r>
    </w:p>
    <w:p>
      <w:pPr>
        <w:ind w:firstLine="480"/>
        <w:rPr>
          <w:highlight w:val="none"/>
        </w:rPr>
      </w:pPr>
      <w:r>
        <w:rPr>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highlight w:val="none"/>
        </w:rPr>
      </w:pPr>
      <w:r>
        <w:rPr>
          <w:highlight w:val="none"/>
        </w:rPr>
        <w:t>（2）我方符合法律、行政法规规定的其他条件。</w:t>
      </w:r>
    </w:p>
    <w:p>
      <w:pPr>
        <w:ind w:firstLine="480"/>
        <w:rPr>
          <w:highlight w:val="none"/>
        </w:rPr>
      </w:pPr>
      <w:r>
        <w:rPr>
          <w:highlight w:val="none"/>
        </w:rPr>
        <w:t>以上内容如有虚假或与事实不符的，评标委员会可将我方做无效投标处理，我方愿意承担相应的法律责任。</w:t>
      </w:r>
    </w:p>
    <w:p>
      <w:pPr>
        <w:ind w:firstLine="480"/>
        <w:rPr>
          <w:highlight w:val="none"/>
        </w:rPr>
      </w:pPr>
      <w:r>
        <w:rPr>
          <w:highlight w:val="none"/>
        </w:rPr>
        <w:t>（十四）我方对在本函及投标文件中所作的所有承诺承担法律责任。</w:t>
      </w:r>
    </w:p>
    <w:p>
      <w:pPr>
        <w:ind w:firstLine="480"/>
        <w:rPr>
          <w:highlight w:val="none"/>
        </w:rPr>
      </w:pPr>
      <w:r>
        <w:rPr>
          <w:highlight w:val="none"/>
        </w:rPr>
        <w:t>（十五）所有与本招标有关的函件请发往下列地址：</w:t>
      </w:r>
    </w:p>
    <w:p>
      <w:pPr>
        <w:ind w:firstLine="480"/>
        <w:rPr>
          <w:highlight w:val="none"/>
        </w:rPr>
      </w:pPr>
      <w:r>
        <w:rPr>
          <w:highlight w:val="none"/>
        </w:rPr>
        <w:t>地 址：__________________邮政编码：__________________</w:t>
      </w:r>
    </w:p>
    <w:p>
      <w:pPr>
        <w:ind w:firstLine="480"/>
        <w:rPr>
          <w:highlight w:val="none"/>
        </w:rPr>
      </w:pPr>
      <w:r>
        <w:rPr>
          <w:highlight w:val="none"/>
        </w:rPr>
        <w:t>电 话：__________________</w:t>
      </w:r>
    </w:p>
    <w:p>
      <w:pPr>
        <w:ind w:firstLine="480"/>
        <w:rPr>
          <w:highlight w:val="none"/>
        </w:rPr>
      </w:pPr>
      <w:r>
        <w:rPr>
          <w:highlight w:val="none"/>
        </w:rPr>
        <w:t>传 真：__________________</w:t>
      </w:r>
    </w:p>
    <w:p>
      <w:pPr>
        <w:ind w:firstLine="480"/>
        <w:rPr>
          <w:highlight w:val="none"/>
        </w:rPr>
      </w:pPr>
      <w:r>
        <w:rPr>
          <w:highlight w:val="none"/>
        </w:rPr>
        <w:t>代表姓名：__________________职 务：__________________</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highlight w:val="none"/>
        </w:rPr>
      </w:pPr>
      <w:r>
        <w:rPr>
          <w:highlight w:val="none"/>
        </w:rPr>
        <w:t>投标人法定代表人（或法定代表人授权代表）签字或盖章：__________________</w:t>
      </w:r>
    </w:p>
    <w:p>
      <w:pPr>
        <w:rPr>
          <w:highlight w:val="none"/>
        </w:rPr>
      </w:pPr>
      <w:r>
        <w:rPr>
          <w:highlight w:val="none"/>
        </w:rPr>
        <w:t>投标人名称（盖章）：__________________</w:t>
      </w:r>
    </w:p>
    <w:p>
      <w:pPr>
        <w:rPr>
          <w:highlight w:val="none"/>
        </w:rPr>
      </w:pPr>
      <w:r>
        <w:rPr>
          <w:highlight w:val="none"/>
        </w:rPr>
        <w:t>日期： 年 月 日</w:t>
      </w: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u w:val="single"/>
          <w14:textFill>
            <w14:solidFill>
              <w14:schemeClr w14:val="tx1"/>
            </w14:solidFill>
          </w14:textFill>
        </w:rPr>
      </w:pPr>
      <w:r>
        <w:rPr>
          <w:rFonts w:ascii="Times New Roman" w:hAnsi="Times New Roman" w:eastAsia="仿宋"/>
          <w:b/>
          <w:color w:val="000000" w:themeColor="text1"/>
          <w:sz w:val="24"/>
          <w:highlight w:val="none"/>
          <w:u w:val="single"/>
          <w14:textFill>
            <w14:solidFill>
              <w14:schemeClr w14:val="tx1"/>
            </w14:solidFill>
          </w14:textFill>
        </w:rPr>
        <w:t>注：供应商不得修改本投标函的任何内容，否则后果自负。</w:t>
      </w: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2索引表</w:t>
      </w: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温馨提示：供应商封装投标文件前，请根据此索引表再检查一遍，以确保投标文件完整无误！</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2.1资格性审查索引表</w:t>
      </w:r>
    </w:p>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资格性审查索引表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2"/>
        <w:gridCol w:w="483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73" w:type="pct"/>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序号</w:t>
            </w:r>
          </w:p>
        </w:tc>
        <w:tc>
          <w:tcPr>
            <w:tcW w:w="2905" w:type="pct"/>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招标文件要求</w:t>
            </w:r>
          </w:p>
        </w:tc>
        <w:tc>
          <w:tcPr>
            <w:tcW w:w="1521" w:type="pct"/>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1</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具有独立承担民事责任的能力；</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2</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具有良好的商业信誉和健全的财务会计制度；</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3</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具有履行合同所必需的设备和专业技术能力；</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4</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有依法缴纳税收的良好记录；</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5</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有依法缴纳社会保障资金的良好记录；</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6</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 xml:space="preserve">参加政府采购活动前三年内，在经营活动中没有重大违法记录； </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7</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不同供应商的单位负责人不为同一人或者存在直接控股、管理关系</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见投标函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6"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8</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采购人或招投标所通过“信用中国”网站及中国政府采购网查询，供应商没有被人民法院列入失信被执行人、重大税收违法案件当事人名单、政府采购严重违法失信行为记录名单及其他不符合《中华人民共和国政府采购法》第二十二条规定条件的供应商；供应商具有分支机构的，其所属分支机构有上述记录或不符合规定条件的，按无效投标处理；</w:t>
            </w:r>
          </w:p>
        </w:tc>
        <w:tc>
          <w:tcPr>
            <w:tcW w:w="1521"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573" w:type="pct"/>
            <w:vAlign w:val="center"/>
          </w:tcPr>
          <w:p>
            <w:pPr>
              <w:jc w:val="cente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9</w:t>
            </w:r>
          </w:p>
        </w:tc>
        <w:tc>
          <w:tcPr>
            <w:tcW w:w="2905" w:type="pct"/>
            <w:vAlign w:val="center"/>
          </w:tcPr>
          <w:p>
            <w:pPr>
              <w:rPr>
                <w:rFonts w:ascii="Times New Roman" w:hAnsi="Times New Roman" w:eastAsia="仿宋"/>
                <w:color w:val="000000" w:themeColor="text1"/>
                <w:szCs w:val="21"/>
                <w:highlight w:val="none"/>
                <w14:textFill>
                  <w14:solidFill>
                    <w14:schemeClr w14:val="tx1"/>
                  </w14:solidFill>
                </w14:textFill>
              </w:rPr>
            </w:pPr>
            <w:r>
              <w:rPr>
                <w:rFonts w:ascii="Times New Roman" w:hAnsi="Times New Roman" w:eastAsia="仿宋"/>
                <w:color w:val="000000" w:themeColor="text1"/>
                <w:szCs w:val="21"/>
                <w:highlight w:val="none"/>
                <w14:textFill>
                  <w14:solidFill>
                    <w14:schemeClr w14:val="tx1"/>
                  </w14:solidFill>
                </w14:textFill>
              </w:rPr>
              <w:t>招标文件要求的其他资格条件</w:t>
            </w:r>
          </w:p>
        </w:tc>
        <w:tc>
          <w:tcPr>
            <w:tcW w:w="1521" w:type="pct"/>
            <w:vAlign w:val="center"/>
          </w:tcPr>
          <w:p>
            <w:pPr>
              <w:rPr>
                <w:rFonts w:ascii="Times New Roman" w:hAnsi="Times New Roman" w:eastAsia="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573" w:type="pct"/>
            <w:vAlign w:val="center"/>
          </w:tcPr>
          <w:p>
            <w:pPr>
              <w:rPr>
                <w:rFonts w:ascii="Times New Roman" w:hAnsi="Times New Roman" w:eastAsia="仿宋"/>
                <w:color w:val="000000" w:themeColor="text1"/>
                <w:sz w:val="18"/>
                <w:szCs w:val="18"/>
                <w:highlight w:val="none"/>
                <w14:textFill>
                  <w14:solidFill>
                    <w14:schemeClr w14:val="tx1"/>
                  </w14:solidFill>
                </w14:textFill>
              </w:rPr>
            </w:pPr>
          </w:p>
        </w:tc>
        <w:tc>
          <w:tcPr>
            <w:tcW w:w="2905" w:type="pct"/>
            <w:vAlign w:val="center"/>
          </w:tcPr>
          <w:p>
            <w:pPr>
              <w:jc w:val="center"/>
              <w:rPr>
                <w:rFonts w:ascii="Times New Roman" w:hAnsi="Times New Roman" w:eastAsia="仿宋"/>
                <w:color w:val="000000" w:themeColor="text1"/>
                <w:sz w:val="18"/>
                <w:szCs w:val="18"/>
                <w:highlight w:val="none"/>
                <w14:textFill>
                  <w14:solidFill>
                    <w14:schemeClr w14:val="tx1"/>
                  </w14:solidFill>
                </w14:textFill>
              </w:rPr>
            </w:pPr>
            <w:r>
              <w:rPr>
                <w:rFonts w:ascii="Times New Roman" w:hAnsi="Times New Roman" w:eastAsia="仿宋"/>
                <w:color w:val="000000" w:themeColor="text1"/>
                <w:sz w:val="18"/>
                <w:szCs w:val="18"/>
                <w:highlight w:val="none"/>
                <w14:textFill>
                  <w14:solidFill>
                    <w14:schemeClr w14:val="tx1"/>
                  </w14:solidFill>
                </w14:textFill>
              </w:rPr>
              <w:t>……</w:t>
            </w:r>
          </w:p>
        </w:tc>
        <w:tc>
          <w:tcPr>
            <w:tcW w:w="1521" w:type="pct"/>
            <w:vAlign w:val="center"/>
          </w:tcPr>
          <w:p>
            <w:pPr>
              <w:rPr>
                <w:rFonts w:ascii="Times New Roman" w:hAnsi="Times New Roman" w:eastAsia="仿宋"/>
                <w:color w:val="000000" w:themeColor="text1"/>
                <w:sz w:val="18"/>
                <w:szCs w:val="18"/>
                <w:highlight w:val="none"/>
                <w14:textFill>
                  <w14:solidFill>
                    <w14:schemeClr w14:val="tx1"/>
                  </w14:solidFill>
                </w14:textFill>
              </w:rPr>
            </w:pPr>
          </w:p>
        </w:tc>
      </w:tr>
    </w:tbl>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b/>
          <w:bCs/>
          <w:color w:val="000000" w:themeColor="text1"/>
          <w:szCs w:val="21"/>
          <w:highlight w:val="none"/>
          <w14:textFill>
            <w14:solidFill>
              <w14:schemeClr w14:val="tx1"/>
            </w14:solidFill>
          </w14:textFill>
        </w:rPr>
        <w:t xml:space="preserve">备注：以上材料将作为供应商资格审核的重要内容，供应商必须严格按照其内容要求在投标文件中对应如实提供。 </w:t>
      </w:r>
      <w:r>
        <w:rPr>
          <w:rFonts w:ascii="Times New Roman" w:hAnsi="Times New Roman" w:eastAsia="仿宋"/>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2.2符合性审查索引表</w:t>
      </w: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符合性审查索引表</w:t>
      </w:r>
    </w:p>
    <w:tbl>
      <w:tblPr>
        <w:tblStyle w:val="14"/>
        <w:tblpPr w:leftFromText="180" w:rightFromText="180" w:vertAnchor="text" w:tblpY="1"/>
        <w:tblOverlap w:val="never"/>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4854"/>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序号</w:t>
            </w:r>
          </w:p>
        </w:tc>
        <w:tc>
          <w:tcPr>
            <w:tcW w:w="4854"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自查内容</w:t>
            </w:r>
          </w:p>
        </w:tc>
        <w:tc>
          <w:tcPr>
            <w:tcW w:w="251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1</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提交投标文件数量满足招标文件要求</w:t>
            </w:r>
          </w:p>
        </w:tc>
        <w:tc>
          <w:tcPr>
            <w:tcW w:w="251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按照招标文件规定要求编制、签署和盖章的</w:t>
            </w:r>
          </w:p>
        </w:tc>
        <w:tc>
          <w:tcPr>
            <w:tcW w:w="251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3</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投标函已提交，并且投标有效期符合招标文件规定；</w:t>
            </w:r>
          </w:p>
        </w:tc>
        <w:tc>
          <w:tcPr>
            <w:tcW w:w="2518"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4</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投标文件完全满足招标文件的实质性条款（即标注★号条款）无偏离的(招标文件无★号条款则不需要提供)；</w:t>
            </w:r>
          </w:p>
        </w:tc>
        <w:tc>
          <w:tcPr>
            <w:tcW w:w="2518"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5</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报价超过招标文件中规定的预算金额或者最高限价的</w:t>
            </w:r>
          </w:p>
        </w:tc>
        <w:tc>
          <w:tcPr>
            <w:tcW w:w="2518"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请见投标文件第（）页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6</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报价不是固定价或者投标方案是可选择的</w:t>
            </w:r>
          </w:p>
        </w:tc>
        <w:tc>
          <w:tcPr>
            <w:tcW w:w="251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127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7</w:t>
            </w:r>
          </w:p>
        </w:tc>
        <w:tc>
          <w:tcPr>
            <w:tcW w:w="4854" w:type="dxa"/>
            <w:vAlign w:val="center"/>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未有法律、法规和招标文件规定的其他无效情形</w:t>
            </w:r>
          </w:p>
        </w:tc>
        <w:tc>
          <w:tcPr>
            <w:tcW w:w="251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w:t>
            </w:r>
          </w:p>
        </w:tc>
      </w:tr>
    </w:tbl>
    <w:p>
      <w:pP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 xml:space="preserve">备注：以上材料将作为供应商符合性审核的重要内容，供应商必须严格按照其内容要求在投标文件中对应如实提供。 </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2.3</w:t>
      </w:r>
      <w:r>
        <w:rPr>
          <w:rFonts w:hint="eastAsia" w:ascii="Times New Roman" w:hAnsi="Times New Roman" w:eastAsia="仿宋"/>
          <w:b/>
          <w:color w:val="000000" w:themeColor="text1"/>
          <w:sz w:val="24"/>
          <w:highlight w:val="none"/>
          <w14:textFill>
            <w14:solidFill>
              <w14:schemeClr w14:val="tx1"/>
            </w14:solidFill>
          </w14:textFill>
        </w:rPr>
        <w:t>商务条件响应表</w:t>
      </w:r>
    </w:p>
    <w:p>
      <w:pPr>
        <w:rPr>
          <w:rFonts w:ascii="Times New Roman" w:hAnsi="Times New Roman" w:eastAsia="仿宋"/>
          <w:b/>
          <w:color w:val="000000" w:themeColor="text1"/>
          <w:sz w:val="24"/>
          <w:highlight w:val="none"/>
          <w14:textFill>
            <w14:solidFill>
              <w14:schemeClr w14:val="tx1"/>
            </w14:solidFill>
          </w14:textFill>
        </w:rPr>
      </w:pPr>
    </w:p>
    <w:p>
      <w:pPr>
        <w:jc w:val="center"/>
        <w:rPr>
          <w:highlight w:val="none"/>
        </w:rPr>
      </w:pPr>
      <w:r>
        <w:rPr>
          <w:b/>
          <w:sz w:val="24"/>
          <w:highlight w:val="none"/>
        </w:rPr>
        <w:t>《商务条件响应表》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序号</w:t>
            </w:r>
          </w:p>
        </w:tc>
        <w:tc>
          <w:tcPr>
            <w:tcW w:w="1187" w:type="dxa"/>
          </w:tcPr>
          <w:p>
            <w:pPr>
              <w:rPr>
                <w:highlight w:val="none"/>
              </w:rPr>
            </w:pPr>
            <w:r>
              <w:rPr>
                <w:highlight w:val="none"/>
              </w:rPr>
              <w:t>参数性质</w:t>
            </w:r>
          </w:p>
        </w:tc>
        <w:tc>
          <w:tcPr>
            <w:tcW w:w="1187" w:type="dxa"/>
          </w:tcPr>
          <w:p>
            <w:pPr>
              <w:rPr>
                <w:highlight w:val="none"/>
              </w:rPr>
            </w:pPr>
            <w:r>
              <w:rPr>
                <w:highlight w:val="none"/>
              </w:rPr>
              <w:t>采购文件规定的商务条件</w:t>
            </w:r>
          </w:p>
        </w:tc>
        <w:tc>
          <w:tcPr>
            <w:tcW w:w="1187" w:type="dxa"/>
          </w:tcPr>
          <w:p>
            <w:pPr>
              <w:rPr>
                <w:highlight w:val="none"/>
              </w:rPr>
            </w:pPr>
            <w:r>
              <w:rPr>
                <w:highlight w:val="none"/>
              </w:rPr>
              <w:t>投标文件响应的具体内容</w:t>
            </w:r>
          </w:p>
        </w:tc>
        <w:tc>
          <w:tcPr>
            <w:tcW w:w="1187" w:type="dxa"/>
          </w:tcPr>
          <w:p>
            <w:pPr>
              <w:rPr>
                <w:highlight w:val="none"/>
              </w:rPr>
            </w:pPr>
            <w:r>
              <w:rPr>
                <w:highlight w:val="none"/>
              </w:rPr>
              <w:t>是否偏离</w:t>
            </w:r>
          </w:p>
        </w:tc>
        <w:tc>
          <w:tcPr>
            <w:tcW w:w="1187" w:type="dxa"/>
          </w:tcPr>
          <w:p>
            <w:pPr>
              <w:rPr>
                <w:highlight w:val="none"/>
              </w:rPr>
            </w:pPr>
            <w:r>
              <w:rPr>
                <w:highlight w:val="none"/>
              </w:rPr>
              <w:t>证明文件所在位置</w:t>
            </w:r>
          </w:p>
        </w:tc>
        <w:tc>
          <w:tcPr>
            <w:tcW w:w="1187" w:type="dxa"/>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2</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3</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4</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5</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6</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7</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8</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9</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r>
              <w:rPr>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bl>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说明：</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1. “采购文件规定的商务条件”项下填写的内容应与招标文件中采购需求的 “商务要求”的内容保持一致。</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2.</w:t>
      </w:r>
      <w:r>
        <w:rPr>
          <w:rFonts w:ascii="Times New Roman" w:hAnsi="Times New Roman" w:eastAsia="仿宋" w:cs="Times New Roman"/>
          <w:b/>
          <w:bCs/>
          <w:color w:val="000000" w:themeColor="text1"/>
          <w:sz w:val="24"/>
          <w:szCs w:val="22"/>
          <w:highlight w:val="none"/>
          <w14:textFill>
            <w14:solidFill>
              <w14:schemeClr w14:val="tx1"/>
            </w14:solidFill>
          </w14:textFill>
        </w:rPr>
        <w:tab/>
      </w:r>
      <w:r>
        <w:rPr>
          <w:rFonts w:ascii="Times New Roman" w:hAnsi="Times New Roman" w:eastAsia="仿宋" w:cs="Times New Roman"/>
          <w:b/>
          <w:bCs/>
          <w:color w:val="000000" w:themeColor="text1"/>
          <w:sz w:val="24"/>
          <w:szCs w:val="22"/>
          <w:highlight w:val="none"/>
          <w14:textFill>
            <w14:solidFill>
              <w14:schemeClr w14:val="tx1"/>
            </w14:solidFill>
          </w14:textFill>
        </w:rPr>
        <w:t>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3.</w:t>
      </w:r>
      <w:r>
        <w:rPr>
          <w:rFonts w:ascii="Times New Roman" w:hAnsi="Times New Roman" w:eastAsia="仿宋" w:cs="Times New Roman"/>
          <w:b/>
          <w:bCs/>
          <w:color w:val="000000" w:themeColor="text1"/>
          <w:sz w:val="24"/>
          <w:szCs w:val="22"/>
          <w:highlight w:val="none"/>
          <w14:textFill>
            <w14:solidFill>
              <w14:schemeClr w14:val="tx1"/>
            </w14:solidFill>
          </w14:textFill>
        </w:rPr>
        <w:tab/>
      </w:r>
      <w:r>
        <w:rPr>
          <w:rFonts w:ascii="Times New Roman" w:hAnsi="Times New Roman" w:eastAsia="仿宋" w:cs="Times New Roman"/>
          <w:b/>
          <w:bCs/>
          <w:color w:val="000000" w:themeColor="text1"/>
          <w:sz w:val="24"/>
          <w:szCs w:val="22"/>
          <w:highlight w:val="none"/>
          <w14:textFill>
            <w14:solidFill>
              <w14:schemeClr w14:val="tx1"/>
            </w14:solidFill>
          </w14:textFill>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4. “是否偏离”项下应按下列规定填写：优于的，填写“正偏离”；符合的，填写“无偏离”；低于的，填写“负偏离”。</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ascii="Times New Roman" w:hAnsi="Times New Roman" w:eastAsia="仿宋" w:cs="Times New Roman"/>
          <w:b/>
          <w:bCs/>
          <w:color w:val="000000" w:themeColor="text1"/>
          <w:sz w:val="24"/>
          <w:szCs w:val="22"/>
          <w:highlight w:val="none"/>
          <w14:textFill>
            <w14:solidFill>
              <w14:schemeClr w14:val="tx1"/>
            </w14:solidFill>
          </w14:textFill>
        </w:rPr>
        <w:t>5.“备注”处可填写偏离情况的说明。</w:t>
      </w:r>
    </w:p>
    <w:p>
      <w:pPr>
        <w:ind w:firstLine="480"/>
        <w:rPr>
          <w:rFonts w:ascii="Times New Roman" w:hAnsi="Times New Roman" w:eastAsia="仿宋" w:cs="Times New Roman"/>
          <w:b/>
          <w:bCs/>
          <w:color w:val="000000" w:themeColor="text1"/>
          <w:sz w:val="24"/>
          <w:szCs w:val="22"/>
          <w:highlight w:val="none"/>
          <w14:textFill>
            <w14:solidFill>
              <w14:schemeClr w14:val="tx1"/>
            </w14:solidFill>
          </w14:textFill>
        </w:rPr>
      </w:pPr>
      <w:r>
        <w:rPr>
          <w:rFonts w:hint="eastAsia" w:ascii="Times New Roman" w:hAnsi="Times New Roman" w:eastAsia="仿宋" w:cs="Times New Roman"/>
          <w:b/>
          <w:bCs/>
          <w:color w:val="000000" w:themeColor="text1"/>
          <w:sz w:val="24"/>
          <w:szCs w:val="22"/>
          <w:highlight w:val="none"/>
          <w14:textFill>
            <w14:solidFill>
              <w14:schemeClr w14:val="tx1"/>
            </w14:solidFill>
          </w14:textFill>
        </w:rPr>
        <w:t>6.</w:t>
      </w:r>
      <w:r>
        <w:rPr>
          <w:rFonts w:hint="eastAsia" w:ascii="Times New Roman" w:hAnsi="Times New Roman" w:eastAsia="仿宋"/>
          <w:b/>
          <w:bCs/>
          <w:color w:val="000000" w:themeColor="text1"/>
          <w:sz w:val="24"/>
          <w:highlight w:val="none"/>
          <w14:textFill>
            <w14:solidFill>
              <w14:schemeClr w14:val="tx1"/>
            </w14:solidFill>
          </w14:textFill>
        </w:rPr>
        <w:t>供应商可自行增加行数，但不得删除列表内容。</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2.4</w:t>
      </w:r>
      <w:r>
        <w:rPr>
          <w:rFonts w:hint="eastAsia" w:ascii="Times New Roman" w:hAnsi="Times New Roman" w:eastAsia="仿宋"/>
          <w:b/>
          <w:bCs/>
          <w:color w:val="000000" w:themeColor="text1"/>
          <w:sz w:val="24"/>
          <w:highlight w:val="none"/>
          <w14:textFill>
            <w14:solidFill>
              <w14:schemeClr w14:val="tx1"/>
            </w14:solidFill>
          </w14:textFill>
        </w:rPr>
        <w:t>技术和服务要求响应表</w:t>
      </w:r>
    </w:p>
    <w:p>
      <w:pPr>
        <w:rPr>
          <w:rFonts w:ascii="Times New Roman" w:hAnsi="Times New Roman" w:eastAsia="仿宋"/>
          <w:bCs/>
          <w:color w:val="000000" w:themeColor="text1"/>
          <w:sz w:val="24"/>
          <w:highlight w:val="none"/>
          <w14:textFill>
            <w14:solidFill>
              <w14:schemeClr w14:val="tx1"/>
            </w14:solidFill>
          </w14:textFill>
        </w:rPr>
      </w:pPr>
    </w:p>
    <w:p>
      <w:pPr>
        <w:jc w:val="center"/>
        <w:rPr>
          <w:highlight w:val="none"/>
        </w:rPr>
      </w:pPr>
      <w:r>
        <w:rPr>
          <w:b/>
          <w:sz w:val="24"/>
          <w:highlight w:val="none"/>
        </w:rPr>
        <w:t>《技术和服务要求响应表》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序号</w:t>
            </w:r>
          </w:p>
        </w:tc>
        <w:tc>
          <w:tcPr>
            <w:tcW w:w="923" w:type="dxa"/>
          </w:tcPr>
          <w:p>
            <w:pPr>
              <w:rPr>
                <w:highlight w:val="none"/>
              </w:rPr>
            </w:pPr>
            <w:r>
              <w:rPr>
                <w:highlight w:val="none"/>
              </w:rPr>
              <w:t>标的名称</w:t>
            </w:r>
          </w:p>
        </w:tc>
        <w:tc>
          <w:tcPr>
            <w:tcW w:w="923" w:type="dxa"/>
          </w:tcPr>
          <w:p>
            <w:pPr>
              <w:rPr>
                <w:highlight w:val="none"/>
              </w:rPr>
            </w:pPr>
            <w:r>
              <w:rPr>
                <w:highlight w:val="none"/>
              </w:rPr>
              <w:t>参数性质</w:t>
            </w:r>
          </w:p>
        </w:tc>
        <w:tc>
          <w:tcPr>
            <w:tcW w:w="923" w:type="dxa"/>
          </w:tcPr>
          <w:p>
            <w:pPr>
              <w:rPr>
                <w:highlight w:val="none"/>
              </w:rPr>
            </w:pPr>
            <w:r>
              <w:rPr>
                <w:highlight w:val="none"/>
              </w:rPr>
              <w:t>采购文件规定的技术和服务要求</w:t>
            </w:r>
          </w:p>
        </w:tc>
        <w:tc>
          <w:tcPr>
            <w:tcW w:w="923" w:type="dxa"/>
          </w:tcPr>
          <w:p>
            <w:pPr>
              <w:rPr>
                <w:highlight w:val="none"/>
              </w:rPr>
            </w:pPr>
            <w:r>
              <w:rPr>
                <w:highlight w:val="none"/>
              </w:rPr>
              <w:t>投标文件响应的具体内容</w:t>
            </w:r>
          </w:p>
        </w:tc>
        <w:tc>
          <w:tcPr>
            <w:tcW w:w="923" w:type="dxa"/>
          </w:tcPr>
          <w:p>
            <w:pPr>
              <w:rPr>
                <w:highlight w:val="none"/>
              </w:rPr>
            </w:pPr>
            <w:r>
              <w:rPr>
                <w:highlight w:val="none"/>
              </w:rPr>
              <w:t>型号</w:t>
            </w:r>
          </w:p>
        </w:tc>
        <w:tc>
          <w:tcPr>
            <w:tcW w:w="923" w:type="dxa"/>
          </w:tcPr>
          <w:p>
            <w:pPr>
              <w:rPr>
                <w:highlight w:val="none"/>
              </w:rPr>
            </w:pPr>
            <w:r>
              <w:rPr>
                <w:highlight w:val="none"/>
              </w:rPr>
              <w:t>是否偏离</w:t>
            </w:r>
          </w:p>
        </w:tc>
        <w:tc>
          <w:tcPr>
            <w:tcW w:w="923" w:type="dxa"/>
          </w:tcPr>
          <w:p>
            <w:pPr>
              <w:rPr>
                <w:highlight w:val="none"/>
              </w:rPr>
            </w:pPr>
            <w:r>
              <w:rPr>
                <w:highlight w:val="none"/>
              </w:rPr>
              <w:t>证明文件所在位置</w:t>
            </w:r>
          </w:p>
        </w:tc>
        <w:tc>
          <w:tcPr>
            <w:tcW w:w="923" w:type="dxa"/>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1</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2</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3</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4</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5</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6</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highlight w:val="none"/>
              </w:rPr>
            </w:pPr>
            <w:r>
              <w:rPr>
                <w:highlight w:val="none"/>
              </w:rPr>
              <w:t>……</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bl>
    <w:p>
      <w:pPr>
        <w:ind w:firstLine="480"/>
        <w:rPr>
          <w:highlight w:val="none"/>
        </w:rPr>
      </w:pPr>
      <w:r>
        <w:rPr>
          <w:highlight w:val="none"/>
        </w:rPr>
        <w:t>说明：</w:t>
      </w:r>
    </w:p>
    <w:p>
      <w:pPr>
        <w:pStyle w:val="2"/>
        <w:ind w:firstLine="482" w:firstLineChars="200"/>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1.“采购文件规定的技术和服务要求”项下填写的内容应与招标文件中采购需求的</w:t>
      </w:r>
      <w:r>
        <w:rPr>
          <w:rFonts w:ascii="Times New Roman" w:hAnsi="Times New Roman" w:eastAsia="仿宋"/>
          <w:b/>
          <w:bCs/>
          <w:color w:val="000000" w:themeColor="text1"/>
          <w:sz w:val="24"/>
          <w:highlight w:val="none"/>
          <w14:textFill>
            <w14:solidFill>
              <w14:schemeClr w14:val="tx1"/>
            </w14:solidFill>
          </w14:textFill>
        </w:rPr>
        <w:tab/>
      </w:r>
      <w:r>
        <w:rPr>
          <w:rFonts w:ascii="Times New Roman" w:hAnsi="Times New Roman" w:eastAsia="仿宋"/>
          <w:b/>
          <w:bCs/>
          <w:color w:val="000000" w:themeColor="text1"/>
          <w:sz w:val="24"/>
          <w:highlight w:val="none"/>
          <w14:textFill>
            <w14:solidFill>
              <w14:schemeClr w14:val="tx1"/>
            </w14:solidFill>
          </w14:textFill>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2"/>
        <w:ind w:firstLine="482" w:firstLineChars="200"/>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2"/>
        <w:ind w:firstLine="482" w:firstLineChars="200"/>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3. “是否偏离”项下应按下列规定填写：优于的，填写“正偏离”；符合的，填写“无偏离”；低于的，填写“负偏离”。</w:t>
      </w:r>
    </w:p>
    <w:p>
      <w:pPr>
        <w:pStyle w:val="2"/>
        <w:ind w:firstLine="482" w:firstLineChars="200"/>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4.“备注”处可填写偏离情况的说明。</w:t>
      </w:r>
    </w:p>
    <w:p>
      <w:pPr>
        <w:pStyle w:val="2"/>
        <w:ind w:firstLine="482" w:firstLineChars="200"/>
        <w:rPr>
          <w:rFonts w:ascii="Times New Roman" w:hAnsi="Times New Roman" w:eastAsia="仿宋"/>
          <w:b/>
          <w:bCs/>
          <w:color w:val="000000" w:themeColor="text1"/>
          <w:sz w:val="24"/>
          <w:highlight w:val="none"/>
          <w14:textFill>
            <w14:solidFill>
              <w14:schemeClr w14:val="tx1"/>
            </w14:solidFill>
          </w14:textFill>
        </w:rPr>
      </w:pPr>
      <w:r>
        <w:rPr>
          <w:rFonts w:hint="eastAsia" w:ascii="Times New Roman" w:hAnsi="Times New Roman" w:eastAsia="仿宋"/>
          <w:b/>
          <w:bCs/>
          <w:color w:val="000000" w:themeColor="text1"/>
          <w:sz w:val="24"/>
          <w:highlight w:val="none"/>
          <w14:textFill>
            <w14:solidFill>
              <w14:schemeClr w14:val="tx1"/>
            </w14:solidFill>
          </w14:textFill>
        </w:rPr>
        <w:t>5.供应商可自行增加行数，但不得删除列表内容。</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2.5</w:t>
      </w:r>
      <w:r>
        <w:rPr>
          <w:rFonts w:ascii="Times New Roman" w:hAnsi="Times New Roman" w:eastAsia="仿宋"/>
          <w:b/>
          <w:bCs/>
          <w:color w:val="000000" w:themeColor="text1"/>
          <w:sz w:val="24"/>
          <w:highlight w:val="none"/>
          <w14:textFill>
            <w14:solidFill>
              <w14:schemeClr w14:val="tx1"/>
            </w14:solidFill>
          </w14:textFill>
        </w:rPr>
        <w:t>政策适用性说明</w:t>
      </w:r>
    </w:p>
    <w:p>
      <w:pPr>
        <w:rPr>
          <w:highlight w:val="none"/>
        </w:rPr>
      </w:pP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序号</w:t>
            </w:r>
          </w:p>
        </w:tc>
        <w:tc>
          <w:tcPr>
            <w:tcW w:w="1038" w:type="dxa"/>
          </w:tcPr>
          <w:p>
            <w:pPr>
              <w:rPr>
                <w:highlight w:val="none"/>
              </w:rPr>
            </w:pPr>
            <w:r>
              <w:rPr>
                <w:highlight w:val="none"/>
              </w:rPr>
              <w:t>主要产品/技术名称（规格型号、注册商标）</w:t>
            </w:r>
          </w:p>
        </w:tc>
        <w:tc>
          <w:tcPr>
            <w:tcW w:w="1038" w:type="dxa"/>
          </w:tcPr>
          <w:p>
            <w:pPr>
              <w:rPr>
                <w:highlight w:val="none"/>
              </w:rPr>
            </w:pPr>
            <w:r>
              <w:rPr>
                <w:highlight w:val="none"/>
              </w:rPr>
              <w:t>制造商(开发商)</w:t>
            </w:r>
          </w:p>
        </w:tc>
        <w:tc>
          <w:tcPr>
            <w:tcW w:w="1038" w:type="dxa"/>
          </w:tcPr>
          <w:p>
            <w:pPr>
              <w:rPr>
                <w:highlight w:val="none"/>
              </w:rPr>
            </w:pPr>
            <w:r>
              <w:rPr>
                <w:highlight w:val="none"/>
              </w:rPr>
              <w:t>制造商企业类型</w:t>
            </w:r>
          </w:p>
        </w:tc>
        <w:tc>
          <w:tcPr>
            <w:tcW w:w="1038" w:type="dxa"/>
          </w:tcPr>
          <w:p>
            <w:pPr>
              <w:rPr>
                <w:highlight w:val="none"/>
              </w:rPr>
            </w:pPr>
            <w:r>
              <w:rPr>
                <w:highlight w:val="none"/>
              </w:rPr>
              <w:t>节能产品</w:t>
            </w:r>
          </w:p>
        </w:tc>
        <w:tc>
          <w:tcPr>
            <w:tcW w:w="1038" w:type="dxa"/>
          </w:tcPr>
          <w:p>
            <w:pPr>
              <w:rPr>
                <w:highlight w:val="none"/>
              </w:rPr>
            </w:pPr>
            <w:r>
              <w:rPr>
                <w:highlight w:val="none"/>
              </w:rPr>
              <w:t>环境标志产品</w:t>
            </w:r>
          </w:p>
        </w:tc>
        <w:tc>
          <w:tcPr>
            <w:tcW w:w="1038" w:type="dxa"/>
          </w:tcPr>
          <w:p>
            <w:pPr>
              <w:rPr>
                <w:highlight w:val="none"/>
              </w:rPr>
            </w:pPr>
            <w:r>
              <w:rPr>
                <w:highlight w:val="none"/>
              </w:rPr>
              <w:t>认证证书编号</w:t>
            </w:r>
          </w:p>
        </w:tc>
        <w:tc>
          <w:tcPr>
            <w:tcW w:w="1038" w:type="dxa"/>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1</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2</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3</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4</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5</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w:t>
            </w: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c>
          <w:tcPr>
            <w:tcW w:w="1038" w:type="dxa"/>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2.“节能产品、环境标志产品”须填写认证证书编号，并在对应“节能产品”、“环境标志产品”栏中勾选，同时提供有效期内的证书复印件（加盖投标人公章）</w:t>
      </w:r>
    </w:p>
    <w:p>
      <w:pPr>
        <w:rPr>
          <w:highlight w:val="none"/>
        </w:rPr>
      </w:pPr>
      <w:r>
        <w:rPr>
          <w:highlight w:val="none"/>
        </w:rPr>
        <w:t xml:space="preserve"> 投标人名称（盖章）：__________________</w:t>
      </w:r>
    </w:p>
    <w:p>
      <w:pPr>
        <w:rPr>
          <w:highlight w:val="none"/>
        </w:rPr>
      </w:pPr>
      <w:r>
        <w:rPr>
          <w:highlight w:val="none"/>
        </w:rPr>
        <w:t>日期： 年 月 日</w:t>
      </w:r>
    </w:p>
    <w:p>
      <w:pPr>
        <w:jc w:val="left"/>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30"/>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3资格性文件</w:t>
      </w: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3.1法人或者非法人组织的营业执照等证明文件或自然人的身份证明</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说明：1.提供有效的营业执照等证明文件复印件，复印件上应加盖本单位公章。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2.供应商为自然人的，应提供身份证明的复印件。</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3.联合体投标应提供联合体各方满足以上要求的证明文件。</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3.1.1.法定代表人身份证明书</w:t>
      </w:r>
    </w:p>
    <w:p>
      <w:pPr>
        <w:pStyle w:val="2"/>
        <w:rPr>
          <w:rFonts w:ascii="Times New Roman" w:hAnsi="Times New Roman" w:eastAsia="仿宋"/>
          <w:color w:val="000000" w:themeColor="text1"/>
          <w:highlight w:val="none"/>
          <w14:textFill>
            <w14:solidFill>
              <w14:schemeClr w14:val="tx1"/>
            </w14:solidFill>
          </w14:textFill>
        </w:rPr>
      </w:pPr>
    </w:p>
    <w:p>
      <w:pPr>
        <w:rPr>
          <w:rFonts w:ascii="Times New Roman" w:hAnsi="Times New Roman" w:eastAsia="仿宋"/>
          <w:bCs/>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法定代表人身份证明书</w:t>
      </w: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致：东莞市万江招投标服务所</w:t>
      </w:r>
    </w:p>
    <w:p>
      <w:pPr>
        <w:ind w:firstLine="480" w:firstLineChars="200"/>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本证明书声明：注册于 </w:t>
      </w:r>
      <w:r>
        <w:rPr>
          <w:rFonts w:ascii="Times New Roman" w:hAnsi="Times New Roman" w:eastAsia="仿宋"/>
          <w:color w:val="000000" w:themeColor="text1"/>
          <w:sz w:val="28"/>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（国家名称）的</w:t>
      </w:r>
      <w:r>
        <w:rPr>
          <w:rFonts w:ascii="Times New Roman" w:hAnsi="Times New Roman" w:eastAsia="仿宋"/>
          <w:color w:val="000000" w:themeColor="text1"/>
          <w:sz w:val="28"/>
          <w:highlight w:val="none"/>
          <w:u w:val="single"/>
          <w14:textFill>
            <w14:solidFill>
              <w14:schemeClr w14:val="tx1"/>
            </w14:solidFill>
          </w14:textFill>
        </w:rPr>
        <w:t>　           　</w:t>
      </w:r>
      <w:r>
        <w:rPr>
          <w:rFonts w:ascii="Times New Roman" w:hAnsi="Times New Roman" w:eastAsia="仿宋"/>
          <w:color w:val="000000" w:themeColor="text1"/>
          <w:sz w:val="24"/>
          <w:highlight w:val="none"/>
          <w14:textFill>
            <w14:solidFill>
              <w14:schemeClr w14:val="tx1"/>
            </w14:solidFill>
          </w14:textFill>
        </w:rPr>
        <w:t>（供应商名称）在下面签字的</w:t>
      </w:r>
      <w:r>
        <w:rPr>
          <w:rFonts w:ascii="Times New Roman" w:hAnsi="Times New Roman" w:eastAsia="仿宋"/>
          <w:color w:val="000000" w:themeColor="text1"/>
          <w:sz w:val="28"/>
          <w:highlight w:val="none"/>
          <w:u w:val="single"/>
          <w14:textFill>
            <w14:solidFill>
              <w14:schemeClr w14:val="tx1"/>
            </w14:solidFill>
          </w14:textFill>
        </w:rPr>
        <w:t>　　　　　</w:t>
      </w:r>
      <w:r>
        <w:rPr>
          <w:rFonts w:ascii="Times New Roman" w:hAnsi="Times New Roman" w:eastAsia="仿宋"/>
          <w:color w:val="000000" w:themeColor="text1"/>
          <w:sz w:val="24"/>
          <w:highlight w:val="none"/>
          <w14:textFill>
            <w14:solidFill>
              <w14:schemeClr w14:val="tx1"/>
            </w14:solidFill>
          </w14:textFill>
        </w:rPr>
        <w:t>（法定代表人姓名、职务）为本公司的合法代表人（须提供法定代表人身份证复印件）。</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特此证明。</w:t>
      </w:r>
    </w:p>
    <w:p>
      <w:pPr>
        <w:spacing w:line="600" w:lineRule="exact"/>
        <w:rPr>
          <w:rFonts w:ascii="Times New Roman" w:hAnsi="Times New Roman" w:eastAsia="仿宋"/>
          <w:color w:val="000000" w:themeColor="text1"/>
          <w:sz w:val="28"/>
          <w:highlight w:val="none"/>
          <w14:textFill>
            <w14:solidFill>
              <w14:schemeClr w14:val="tx1"/>
            </w14:solidFill>
          </w14:textFill>
        </w:rPr>
      </w:pPr>
    </w:p>
    <w:tbl>
      <w:tblPr>
        <w:tblStyle w:val="14"/>
        <w:tblpPr w:leftFromText="180" w:rightFromText="180" w:vertAnchor="text" w:horzAnchor="page" w:tblpX="3519" w:tblpY="346"/>
        <w:tblW w:w="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4991" w:type="dxa"/>
          </w:tcPr>
          <w:p>
            <w:pPr>
              <w:autoSpaceDE w:val="0"/>
              <w:autoSpaceDN w:val="0"/>
              <w:adjustRightInd w:val="0"/>
              <w:spacing w:line="600" w:lineRule="exact"/>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法定代表人身份证复印件（正、反面）粘贴处</w:t>
            </w:r>
          </w:p>
        </w:tc>
      </w:tr>
    </w:tbl>
    <w:p>
      <w:pPr>
        <w:spacing w:line="600" w:lineRule="exact"/>
        <w:rPr>
          <w:rFonts w:ascii="Times New Roman" w:hAnsi="Times New Roman" w:eastAsia="仿宋"/>
          <w:color w:val="000000" w:themeColor="text1"/>
          <w:sz w:val="28"/>
          <w:highlight w:val="none"/>
          <w14:textFill>
            <w14:solidFill>
              <w14:schemeClr w14:val="tx1"/>
            </w14:solidFill>
          </w14:textFill>
        </w:rPr>
      </w:pP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spacing w:line="600" w:lineRule="exact"/>
        <w:rPr>
          <w:rFonts w:ascii="Times New Roman" w:hAnsi="Times New Roman" w:eastAsia="仿宋"/>
          <w:color w:val="000000" w:themeColor="text1"/>
          <w:sz w:val="28"/>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供应商名称（加盖公章）：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法定代表人（签名或盖私章）：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3.1.2. 法定代表人授权书（法定代表人作为投标负责人的无需提供）</w:t>
      </w:r>
    </w:p>
    <w:p>
      <w:pPr>
        <w:pStyle w:val="30"/>
        <w:rPr>
          <w:rFonts w:ascii="Times New Roman" w:hAnsi="Times New Roman"/>
          <w:color w:val="000000" w:themeColor="text1"/>
          <w:highlight w:val="none"/>
          <w14:textFill>
            <w14:solidFill>
              <w14:schemeClr w14:val="tx1"/>
            </w14:solidFill>
          </w14:textFill>
        </w:rPr>
      </w:pPr>
    </w:p>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w:t>
      </w:r>
      <w:r>
        <w:rPr>
          <w:rFonts w:ascii="Times New Roman" w:hAnsi="Times New Roman" w:eastAsia="仿宋"/>
          <w:b/>
          <w:bCs/>
          <w:color w:val="000000" w:themeColor="text1"/>
          <w:sz w:val="24"/>
          <w:highlight w:val="none"/>
          <w14:textFill>
            <w14:solidFill>
              <w14:schemeClr w14:val="tx1"/>
            </w14:solidFill>
          </w14:textFill>
        </w:rPr>
        <w:t>法定代表人授权书</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致：东莞市万江招投标服务所</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委托书声明：在下面签字的</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（法定代表人姓名、职务）代表             （供应商名称）委托在下面签字的</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（授权代表的姓名、职务）为本公司的合法代表人，就</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采购项目（采购编号：</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）招标的相关服务的投标和合同的执行，以本公司的名义处理一切与之有关的事宜（须提供授权代表身份证复印件）。</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本委托书于</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年</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月</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日签字生效。</w:t>
      </w:r>
    </w:p>
    <w:p>
      <w:pPr>
        <w:rPr>
          <w:rFonts w:ascii="Times New Roman" w:hAnsi="Times New Roman" w:eastAsia="仿宋"/>
          <w:color w:val="000000" w:themeColor="text1"/>
          <w:sz w:val="24"/>
          <w:highlight w:val="none"/>
          <w14:textFill>
            <w14:solidFill>
              <w14:schemeClr w14:val="tx1"/>
            </w14:solidFill>
          </w14:textFill>
        </w:rPr>
      </w:pPr>
    </w:p>
    <w:tbl>
      <w:tblPr>
        <w:tblStyle w:val="14"/>
        <w:tblpPr w:leftFromText="180" w:rightFromText="180" w:vertAnchor="text" w:horzAnchor="page" w:tblpX="3532" w:tblpY="432"/>
        <w:tblW w:w="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4991" w:type="dxa"/>
          </w:tcPr>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授权代表人身份证复印件（正、反面）粘贴处</w:t>
            </w:r>
          </w:p>
        </w:tc>
      </w:tr>
    </w:tbl>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ind w:firstLine="1440" w:firstLineChars="600"/>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供应商名称（加盖公章）：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法定代表人（签名或盖私章）：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授权代表（签名或盖私章）：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3.2 具有良好的商业信誉和健全的财务会计制度的证明文件</w:t>
      </w: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提供财务报告或基本开户银行出具的资信证明或专业担保机构出具的投标担保函</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说明：</w:t>
      </w: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1.如提供会计师事务所出具的审计的财务报告复印件，须加盖本单位公章。</w:t>
      </w: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2.如提供银行出具的资信证明文件。银行资信证明文件可提供原件，也可提供银行开具资信证明文件的复印件。若提供的是复印件，采购人保留审核原件的权利。</w:t>
      </w: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3.如果是联合体投标，联合体各方均需提供上述证明。</w:t>
      </w: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4.如采用合格的投标担保函的，可提供投标担保函复印件替代。</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3.3具备履行合同所必需的设备和专业技术能力的证明材料，须提供《供应商具有履行合同所必需的设备和专业技术能力情况》</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说明：供应商按照招标文件提供的《供应商具有履行合同所必需的设备和专业技术能力情况》格式填写，否则不良后果供应商自行承担。</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3.3.1供应商具有履行合同所必需的设备和专业技术能力情况</w:t>
      </w:r>
    </w:p>
    <w:p>
      <w:pPr>
        <w:jc w:val="center"/>
        <w:rPr>
          <w:rFonts w:ascii="Times New Roman" w:hAnsi="Times New Roman" w:eastAsia="仿宋"/>
          <w:b/>
          <w:bCs/>
          <w:color w:val="000000" w:themeColor="text1"/>
          <w:sz w:val="24"/>
          <w:highlight w:val="none"/>
          <w14:textFill>
            <w14:solidFill>
              <w14:schemeClr w14:val="tx1"/>
            </w14:solidFill>
          </w14:textFill>
        </w:rPr>
      </w:pPr>
      <w:r>
        <w:rPr>
          <w:rFonts w:ascii="Times New Roman" w:hAnsi="Times New Roman" w:eastAsia="仿宋"/>
          <w:b/>
          <w:bCs/>
          <w:color w:val="000000" w:themeColor="text1"/>
          <w:sz w:val="24"/>
          <w:highlight w:val="none"/>
          <w14:textFill>
            <w14:solidFill>
              <w14:schemeClr w14:val="tx1"/>
            </w14:solidFill>
          </w14:textFill>
        </w:rPr>
        <w:t>供应商具有履行合同所必需的设备和专业技术能力情况</w:t>
      </w:r>
    </w:p>
    <w:p>
      <w:pPr>
        <w:jc w:val="cente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一、设备情况</w:t>
      </w:r>
    </w:p>
    <w:tbl>
      <w:tblPr>
        <w:tblStyle w:val="14"/>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868"/>
        <w:gridCol w:w="1693"/>
        <w:gridCol w:w="172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84"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序号</w:t>
            </w:r>
          </w:p>
        </w:tc>
        <w:tc>
          <w:tcPr>
            <w:tcW w:w="2868"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设备名称</w:t>
            </w:r>
          </w:p>
        </w:tc>
        <w:tc>
          <w:tcPr>
            <w:tcW w:w="1693"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数量</w:t>
            </w:r>
          </w:p>
        </w:tc>
        <w:tc>
          <w:tcPr>
            <w:tcW w:w="1721"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运行状况</w:t>
            </w:r>
          </w:p>
        </w:tc>
        <w:tc>
          <w:tcPr>
            <w:tcW w:w="1576"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84"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868"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93" w:type="dxa"/>
          </w:tcPr>
          <w:p>
            <w:pPr>
              <w:rPr>
                <w:rFonts w:ascii="Times New Roman" w:hAnsi="Times New Roman" w:eastAsia="仿宋"/>
                <w:color w:val="000000" w:themeColor="text1"/>
                <w:sz w:val="24"/>
                <w:highlight w:val="none"/>
                <w14:textFill>
                  <w14:solidFill>
                    <w14:schemeClr w14:val="tx1"/>
                  </w14:solidFill>
                </w14:textFill>
              </w:rPr>
            </w:pPr>
          </w:p>
        </w:tc>
        <w:tc>
          <w:tcPr>
            <w:tcW w:w="172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76" w:type="dxa"/>
          </w:tcPr>
          <w:p>
            <w:pPr>
              <w:rPr>
                <w:rFonts w:ascii="Times New Roman" w:hAnsi="Times New Roman" w:eastAsia="仿宋"/>
                <w:color w:val="000000" w:themeColor="text1"/>
                <w:sz w:val="24"/>
                <w:highlight w:val="none"/>
                <w14:textFill>
                  <w14:solidFill>
                    <w14:schemeClr w14:val="tx1"/>
                  </w14:solidFill>
                </w14:textFill>
              </w:rPr>
            </w:pPr>
          </w:p>
        </w:tc>
      </w:tr>
    </w:tbl>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二、专业技术能力情况：</w:t>
      </w:r>
    </w:p>
    <w:tbl>
      <w:tblPr>
        <w:tblStyle w:val="1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950"/>
        <w:gridCol w:w="2647"/>
        <w:gridCol w:w="167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05"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序号</w:t>
            </w:r>
          </w:p>
        </w:tc>
        <w:tc>
          <w:tcPr>
            <w:tcW w:w="1950"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人员姓名</w:t>
            </w:r>
          </w:p>
        </w:tc>
        <w:tc>
          <w:tcPr>
            <w:tcW w:w="2647"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身份证号</w:t>
            </w:r>
          </w:p>
        </w:tc>
        <w:tc>
          <w:tcPr>
            <w:tcW w:w="1671"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岗位</w:t>
            </w:r>
          </w:p>
        </w:tc>
        <w:tc>
          <w:tcPr>
            <w:tcW w:w="1530" w:type="dxa"/>
            <w:vAlign w:val="center"/>
          </w:tcPr>
          <w:p>
            <w:pPr>
              <w:jc w:val="cente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5"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950"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647"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7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30" w:type="dxa"/>
            <w:vAlign w:val="center"/>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5"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950"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647"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7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30" w:type="dxa"/>
            <w:vAlign w:val="center"/>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5"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950"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647"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7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30" w:type="dxa"/>
            <w:vAlign w:val="center"/>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5"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950"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647"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7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30" w:type="dxa"/>
            <w:vAlign w:val="center"/>
          </w:tcPr>
          <w:p>
            <w:pPr>
              <w:rPr>
                <w:rFonts w:ascii="Times New Roman" w:hAnsi="Times New Roman"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5"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950"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2647"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671" w:type="dxa"/>
            <w:vAlign w:val="center"/>
          </w:tcPr>
          <w:p>
            <w:pPr>
              <w:rPr>
                <w:rFonts w:ascii="Times New Roman" w:hAnsi="Times New Roman" w:eastAsia="仿宋"/>
                <w:color w:val="000000" w:themeColor="text1"/>
                <w:sz w:val="24"/>
                <w:highlight w:val="none"/>
                <w14:textFill>
                  <w14:solidFill>
                    <w14:schemeClr w14:val="tx1"/>
                  </w14:solidFill>
                </w14:textFill>
              </w:rPr>
            </w:pPr>
          </w:p>
        </w:tc>
        <w:tc>
          <w:tcPr>
            <w:tcW w:w="1530" w:type="dxa"/>
            <w:vAlign w:val="center"/>
          </w:tcPr>
          <w:p>
            <w:pPr>
              <w:rPr>
                <w:rFonts w:ascii="Times New Roman" w:hAnsi="Times New Roman" w:eastAsia="仿宋"/>
                <w:color w:val="000000" w:themeColor="text1"/>
                <w:sz w:val="24"/>
                <w:highlight w:val="none"/>
                <w14:textFill>
                  <w14:solidFill>
                    <w14:schemeClr w14:val="tx1"/>
                  </w14:solidFill>
                </w14:textFill>
              </w:rPr>
            </w:pPr>
          </w:p>
        </w:tc>
      </w:tr>
    </w:tbl>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本公司承诺上述材料真实有效且具备履行合同所必需的设备和专业技术能力。</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供应商名称（加盖公章）：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    期：</w:t>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3.4  依法缴纳税收和社会保障资金的良好记录</w:t>
      </w: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提供投标截止日前6个月内任意1个月依法缴纳税收和社会保障资金的相关材料。如依法免税或不需要缴纳社会保障资金的，须提供相应证明材料</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说明： </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1.复印件上应加盖本单位公章。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2.如果是联合体投标，联合体各方均需提供上述证明。</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3.5 参加政府采购活动前3年内在经营活动中没有重大违法记录的书面声明</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说明：1.按照招标文件格式提供，否则不良后果供应商自行承担。</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2.如果是联合体投标，联合体各方均需提供上述证明。</w:t>
      </w:r>
      <w:r>
        <w:rPr>
          <w:rFonts w:ascii="Times New Roman" w:hAnsi="Times New Roman" w:eastAsia="仿宋"/>
          <w:color w:val="000000" w:themeColor="text1"/>
          <w:sz w:val="24"/>
          <w:highlight w:val="none"/>
          <w14:textFill>
            <w14:solidFill>
              <w14:schemeClr w14:val="tx1"/>
            </w14:solidFill>
          </w14:textFill>
        </w:rPr>
        <w:br w:type="textWrapping"/>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3.5.1在经营活动中没有重大违法记录的书面声明</w:t>
      </w:r>
    </w:p>
    <w:p>
      <w:pPr>
        <w:rPr>
          <w:rFonts w:ascii="Times New Roman" w:hAnsi="Times New Roman" w:eastAsia="仿宋"/>
          <w:b/>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在经营活动中没有重大违法记录的书面声明</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致：东莞市万江招投标服务所</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本公司参加</w:t>
      </w:r>
      <w:r>
        <w:rPr>
          <w:rFonts w:ascii="Times New Roman" w:hAnsi="Times New Roman" w:eastAsia="仿宋"/>
          <w:color w:val="000000" w:themeColor="text1"/>
          <w:sz w:val="24"/>
          <w:highlight w:val="none"/>
          <w:u w:val="single"/>
          <w14:textFill>
            <w14:solidFill>
              <w14:schemeClr w14:val="tx1"/>
            </w14:solidFill>
          </w14:textFill>
        </w:rPr>
        <w:t xml:space="preserve">          </w:t>
      </w:r>
      <w:r>
        <w:rPr>
          <w:rFonts w:ascii="Times New Roman" w:hAnsi="Times New Roman" w:eastAsia="仿宋"/>
          <w:color w:val="000000" w:themeColor="text1"/>
          <w:sz w:val="24"/>
          <w:highlight w:val="none"/>
          <w14:textFill>
            <w14:solidFill>
              <w14:schemeClr w14:val="tx1"/>
            </w14:solidFill>
          </w14:textFill>
        </w:rPr>
        <w:t>采购项目（采购编号：</w:t>
      </w:r>
      <w:r>
        <w:rPr>
          <w:rFonts w:ascii="Times New Roman" w:hAnsi="Times New Roman" w:eastAsia="仿宋"/>
          <w:color w:val="000000" w:themeColor="text1"/>
          <w:sz w:val="24"/>
          <w:highlight w:val="none"/>
          <w:u w:val="single"/>
          <w14:textFill>
            <w14:solidFill>
              <w14:schemeClr w14:val="tx1"/>
            </w14:solidFill>
          </w14:textFill>
        </w:rPr>
        <w:t>　　　　</w:t>
      </w:r>
      <w:r>
        <w:rPr>
          <w:rFonts w:ascii="Times New Roman" w:hAnsi="Times New Roman" w:eastAsia="仿宋"/>
          <w:color w:val="000000" w:themeColor="text1"/>
          <w:sz w:val="24"/>
          <w:highlight w:val="none"/>
          <w14:textFill>
            <w14:solidFill>
              <w14:schemeClr w14:val="tx1"/>
            </w14:solidFill>
          </w14:textFill>
        </w:rPr>
        <w:t>）的政府采购活动，并声明：</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本公司参加本采购项目政府采购前3年内在经营活动中没有因违法经营受到刑事处罚或者责令停产停业、吊销许可证或者执照、较大数额罚款等行政处罚。</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特此声明！</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供应商名称（加盖公章）：</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日期：</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color w:val="000000" w:themeColor="text1"/>
          <w:sz w:val="24"/>
          <w:highlight w:val="none"/>
          <w14:textFill>
            <w14:solidFill>
              <w14:schemeClr w14:val="tx1"/>
            </w14:solidFill>
          </w14:textFill>
        </w:rPr>
        <w:t xml:space="preserve"> </w:t>
      </w:r>
      <w:r>
        <w:rPr>
          <w:rFonts w:ascii="Times New Roman" w:hAnsi="Times New Roman" w:eastAsia="仿宋"/>
          <w:b/>
          <w:color w:val="000000" w:themeColor="text1"/>
          <w:sz w:val="24"/>
          <w:highlight w:val="none"/>
          <w14:textFill>
            <w14:solidFill>
              <w14:schemeClr w14:val="tx1"/>
            </w14:solidFill>
          </w14:textFill>
        </w:rPr>
        <w:t>3.6供应商须知资料表要求的其他资格证明文件</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说明：1.应提供供应商须知资料表要求的其他资格证明文件。</w:t>
      </w:r>
    </w:p>
    <w:p>
      <w:pPr>
        <w:spacing w:line="480" w:lineRule="exact"/>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2.复印件上应加盖本单位公章。</w:t>
      </w:r>
    </w:p>
    <w:p>
      <w:pPr>
        <w:spacing w:line="480" w:lineRule="exact"/>
        <w:ind w:left="960" w:hanging="960" w:hangingChars="400"/>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3.如果是联合体投标，联合体各方需提供的满足招标文件要求的其他资格证明文件。</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4 商务技术证明文件</w:t>
      </w:r>
    </w:p>
    <w:p>
      <w:pPr>
        <w:jc w:val="center"/>
        <w:rPr>
          <w:rFonts w:ascii="Times New Roman" w:hAnsi="Times New Roman" w:eastAsia="仿宋"/>
          <w:b/>
          <w:color w:val="000000" w:themeColor="text1"/>
          <w:sz w:val="24"/>
          <w:highlight w:val="none"/>
          <w14:textFill>
            <w14:solidFill>
              <w14:schemeClr w14:val="tx1"/>
            </w14:solidFill>
          </w14:textFill>
        </w:rPr>
      </w:pPr>
    </w:p>
    <w:p>
      <w:pPr>
        <w:jc w:val="center"/>
        <w:rPr>
          <w:rFonts w:ascii="Times New Roman" w:hAnsi="Times New Roman" w:eastAsia="仿宋"/>
          <w:color w:val="000000" w:themeColor="text1"/>
          <w:sz w:val="24"/>
          <w:highlight w:val="none"/>
          <w14:textFill>
            <w14:solidFill>
              <w14:schemeClr w14:val="tx1"/>
            </w14:solidFill>
          </w14:textFill>
        </w:rPr>
      </w:pPr>
    </w:p>
    <w:p>
      <w:pPr>
        <w:jc w:val="cente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供应商按照招标文件商务技术评审内容提供相关的证明材料。</w:t>
      </w:r>
      <w:r>
        <w:rPr>
          <w:rFonts w:ascii="Times New Roman" w:hAnsi="Times New Roman" w:eastAsia="仿宋"/>
          <w:color w:val="000000" w:themeColor="text1"/>
          <w:sz w:val="24"/>
          <w:highlight w:val="none"/>
          <w14:textFill>
            <w14:solidFill>
              <w14:schemeClr w14:val="tx1"/>
            </w14:solidFill>
          </w14:textFill>
        </w:rPr>
        <w:br w:type="page"/>
      </w: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t>5 其他文件</w:t>
      </w:r>
    </w:p>
    <w:p>
      <w:pPr>
        <w:rPr>
          <w:rFonts w:ascii="Times New Roman" w:hAnsi="Times New Roman" w:eastAsia="仿宋"/>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t xml:space="preserve">  </w:t>
      </w:r>
    </w:p>
    <w:p>
      <w:pPr>
        <w:rPr>
          <w:rFonts w:ascii="Times New Roman" w:hAnsi="Times New Roman" w:eastAsia="仿宋"/>
          <w:color w:val="000000" w:themeColor="text1"/>
          <w:sz w:val="24"/>
          <w:highlight w:val="none"/>
          <w14:textFill>
            <w14:solidFill>
              <w14:schemeClr w14:val="tx1"/>
            </w14:solidFill>
          </w14:textFill>
        </w:rPr>
      </w:pPr>
    </w:p>
    <w:p>
      <w:pPr>
        <w:rPr>
          <w:rFonts w:ascii="Times New Roman" w:hAnsi="Times New Roman" w:eastAsia="仿宋"/>
          <w:color w:val="000000" w:themeColor="text1"/>
          <w:sz w:val="24"/>
          <w:highlight w:val="none"/>
          <w14:textFill>
            <w14:solidFill>
              <w14:schemeClr w14:val="tx1"/>
            </w14:solidFill>
          </w14:textFill>
        </w:rPr>
      </w:pPr>
    </w:p>
    <w:p>
      <w:pPr>
        <w:rPr>
          <w:highlight w:val="none"/>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5.1中小企业声明函</w:t>
      </w:r>
      <w:r>
        <w:rPr>
          <w:highlight w:val="none"/>
        </w:rPr>
        <w:t>（以下格式文件由供应商根据需要选用）</w:t>
      </w:r>
    </w:p>
    <w:p>
      <w:pPr>
        <w:rPr>
          <w:rFonts w:ascii="Times New Roman" w:hAnsi="Times New Roman" w:eastAsia="仿宋"/>
          <w:b/>
          <w:color w:val="000000" w:themeColor="text1"/>
          <w:sz w:val="24"/>
          <w:highlight w:val="none"/>
          <w14:textFill>
            <w14:solidFill>
              <w14:schemeClr w14:val="tx1"/>
            </w14:solidFill>
          </w14:textFill>
        </w:rPr>
      </w:pPr>
    </w:p>
    <w:p>
      <w:pPr>
        <w:ind w:firstLine="480"/>
        <w:rPr>
          <w:highlight w:val="none"/>
        </w:rPr>
      </w:pPr>
      <w:r>
        <w:rPr>
          <w:highlight w:val="none"/>
        </w:rPr>
        <w:t>中小企业声明函（所投产品制造商为中小企业时提交本函，所属行业应符合采购文件中明确的本项目所属行业）</w:t>
      </w:r>
    </w:p>
    <w:p>
      <w:pPr>
        <w:jc w:val="center"/>
        <w:rPr>
          <w:highlight w:val="none"/>
        </w:rPr>
      </w:pPr>
      <w:r>
        <w:rPr>
          <w:b/>
          <w:sz w:val="24"/>
          <w:highlight w:val="none"/>
        </w:rPr>
        <w:t>中小企业声明函（货物）</w:t>
      </w:r>
    </w:p>
    <w:p>
      <w:pPr>
        <w:ind w:firstLine="480"/>
        <w:rPr>
          <w:highlight w:val="none"/>
        </w:rPr>
      </w:pPr>
      <w:r>
        <w:rPr>
          <w:highlight w:val="none"/>
        </w:rPr>
        <w:t>本公司（联合体）郑重声明，根据《政府采购促进中小企业发展管理办法》（财库﹝2020﹞46号）的规定，本公司（联合体）参加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 xml:space="preserve"> 企业名称（盖章）：__________________</w:t>
      </w:r>
    </w:p>
    <w:p>
      <w:pPr>
        <w:rPr>
          <w:highlight w:val="none"/>
        </w:rPr>
      </w:pPr>
      <w:r>
        <w:rPr>
          <w:highlight w:val="none"/>
        </w:rPr>
        <w:t>日期： 年 月 日</w:t>
      </w:r>
    </w:p>
    <w:p>
      <w:pPr>
        <w:ind w:firstLine="480"/>
        <w:rPr>
          <w:highlight w:val="none"/>
        </w:rPr>
      </w:pPr>
    </w:p>
    <w:p>
      <w:pPr>
        <w:ind w:firstLine="480"/>
        <w:rPr>
          <w:highlight w:val="none"/>
        </w:rPr>
      </w:pP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highlight w:val="none"/>
        </w:rPr>
      </w:pPr>
    </w:p>
    <w:p>
      <w:pPr>
        <w:rPr>
          <w:highlight w:val="none"/>
        </w:rPr>
      </w:pPr>
      <w:r>
        <w:rPr>
          <w:highlight w:val="none"/>
        </w:rPr>
        <w:t xml:space="preserve"> </w:t>
      </w:r>
    </w:p>
    <w:p>
      <w:pPr>
        <w:rPr>
          <w:highlight w:val="none"/>
        </w:rPr>
      </w:pPr>
    </w:p>
    <w:p>
      <w:pPr>
        <w:ind w:firstLine="480"/>
        <w:rPr>
          <w:highlight w:val="none"/>
        </w:rPr>
      </w:pPr>
    </w:p>
    <w:p>
      <w:pPr>
        <w:ind w:firstLine="480"/>
        <w:rPr>
          <w:highlight w:val="none"/>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b/>
          <w:color w:val="000000" w:themeColor="text1"/>
          <w:sz w:val="24"/>
          <w:highlight w:val="none"/>
          <w14:textFill>
            <w14:solidFill>
              <w14:schemeClr w14:val="tx1"/>
            </w14:solidFill>
          </w14:textFill>
        </w:rPr>
        <w:br w:type="page"/>
      </w:r>
    </w:p>
    <w:p>
      <w:pPr>
        <w:rPr>
          <w:highlight w:val="none"/>
        </w:rPr>
      </w:pPr>
      <w:r>
        <w:rPr>
          <w:rFonts w:ascii="Times New Roman" w:hAnsi="Times New Roman" w:eastAsia="仿宋"/>
          <w:b/>
          <w:color w:val="000000" w:themeColor="text1"/>
          <w:sz w:val="24"/>
          <w:highlight w:val="none"/>
          <w14:textFill>
            <w14:solidFill>
              <w14:schemeClr w14:val="tx1"/>
            </w14:solidFill>
          </w14:textFill>
        </w:rPr>
        <w:t>5.</w:t>
      </w:r>
      <w:r>
        <w:rPr>
          <w:rFonts w:hint="eastAsia" w:ascii="Times New Roman" w:hAnsi="Times New Roman" w:eastAsia="仿宋"/>
          <w:b/>
          <w:color w:val="000000" w:themeColor="text1"/>
          <w:sz w:val="24"/>
          <w:highlight w:val="none"/>
          <w14:textFill>
            <w14:solidFill>
              <w14:schemeClr w14:val="tx1"/>
            </w14:solidFill>
          </w14:textFill>
        </w:rPr>
        <w:t>2</w:t>
      </w:r>
      <w:r>
        <w:rPr>
          <w:b/>
          <w:sz w:val="24"/>
          <w:highlight w:val="none"/>
        </w:rPr>
        <w:t>监狱企业</w:t>
      </w:r>
      <w:r>
        <w:rPr>
          <w:rFonts w:hint="eastAsia"/>
          <w:b/>
          <w:sz w:val="24"/>
          <w:highlight w:val="none"/>
        </w:rPr>
        <w:t>声明函</w:t>
      </w:r>
    </w:p>
    <w:p>
      <w:pPr>
        <w:rPr>
          <w:highlight w:val="none"/>
        </w:rPr>
      </w:pPr>
    </w:p>
    <w:p>
      <w:pPr>
        <w:ind w:firstLine="480"/>
        <w:rPr>
          <w:highlight w:val="none"/>
        </w:rPr>
      </w:pPr>
      <w:r>
        <w:rPr>
          <w:highlight w:val="none"/>
        </w:rPr>
        <w:t>（以下格式文件由供应商根据需要选用）</w:t>
      </w:r>
    </w:p>
    <w:p>
      <w:pPr>
        <w:jc w:val="center"/>
        <w:rPr>
          <w:highlight w:val="none"/>
        </w:rPr>
      </w:pPr>
      <w:r>
        <w:rPr>
          <w:b/>
          <w:sz w:val="24"/>
          <w:highlight w:val="none"/>
        </w:rPr>
        <w:t>监狱企业</w:t>
      </w:r>
    </w:p>
    <w:p>
      <w:pPr>
        <w:ind w:firstLine="480"/>
        <w:rPr>
          <w:highlight w:val="none"/>
        </w:rPr>
      </w:pPr>
      <w:r>
        <w:rPr>
          <w:highlight w:val="none"/>
        </w:rPr>
        <w:t>提供由监狱管理局、戒毒管理局（含新疆生产建设兵团）出具的属于监狱企业的证明文件。</w:t>
      </w:r>
    </w:p>
    <w:p>
      <w:pPr>
        <w:ind w:firstLine="480"/>
        <w:rPr>
          <w:highlight w:val="none"/>
        </w:rPr>
      </w:pPr>
    </w:p>
    <w:p>
      <w:pPr>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p>
    <w:p>
      <w:pPr>
        <w:rPr>
          <w:highlight w:val="none"/>
        </w:rPr>
      </w:pPr>
      <w:r>
        <w:rPr>
          <w:rFonts w:ascii="Times New Roman" w:hAnsi="Times New Roman" w:eastAsia="仿宋"/>
          <w:b/>
          <w:color w:val="000000" w:themeColor="text1"/>
          <w:sz w:val="24"/>
          <w:highlight w:val="none"/>
          <w14:textFill>
            <w14:solidFill>
              <w14:schemeClr w14:val="tx1"/>
            </w14:solidFill>
          </w14:textFill>
        </w:rPr>
        <w:t xml:space="preserve">5.3  </w:t>
      </w:r>
      <w:r>
        <w:rPr>
          <w:b/>
          <w:sz w:val="24"/>
          <w:highlight w:val="none"/>
        </w:rPr>
        <w:t>残疾人福利性单位声明函</w:t>
      </w:r>
      <w:r>
        <w:rPr>
          <w:rFonts w:ascii="Times New Roman" w:hAnsi="Times New Roman" w:eastAsia="仿宋"/>
          <w:b/>
          <w:color w:val="000000" w:themeColor="text1"/>
          <w:sz w:val="24"/>
          <w:highlight w:val="none"/>
          <w14:textFill>
            <w14:solidFill>
              <w14:schemeClr w14:val="tx1"/>
            </w14:solidFill>
          </w14:textFill>
        </w:rPr>
        <w:t xml:space="preserve"> </w:t>
      </w:r>
      <w:r>
        <w:rPr>
          <w:highlight w:val="none"/>
        </w:rPr>
        <w:t>（以下格式文件由供应商根据需要选用）</w:t>
      </w:r>
    </w:p>
    <w:p>
      <w:pPr>
        <w:rPr>
          <w:highlight w:val="none"/>
        </w:rPr>
      </w:pPr>
    </w:p>
    <w:p>
      <w:pPr>
        <w:jc w:val="center"/>
        <w:rPr>
          <w:highlight w:val="none"/>
        </w:rPr>
      </w:pPr>
      <w:r>
        <w:rPr>
          <w:b/>
          <w:sz w:val="24"/>
          <w:highlight w:val="none"/>
        </w:rPr>
        <w:t>残疾人福利性单位声明函</w:t>
      </w:r>
    </w:p>
    <w:p>
      <w:pPr>
        <w:ind w:firstLine="480"/>
        <w:rPr>
          <w:highlight w:val="none"/>
        </w:rPr>
      </w:pPr>
      <w:r>
        <w:rPr>
          <w:highlight w:val="none"/>
        </w:rPr>
        <w:t>本单位郑重声明，根据《财政部 民政部 中国残疾人联合会关于促进残疾人就业政府采购政策的通知》（财库〔2017〕</w:t>
      </w:r>
      <w:r>
        <w:rPr>
          <w:highlight w:val="none"/>
        </w:rPr>
        <w:tab/>
      </w:r>
      <w:r>
        <w:rPr>
          <w:highlight w:val="none"/>
        </w:rPr>
        <w:tab/>
      </w:r>
      <w:r>
        <w:rPr>
          <w:highlight w:val="none"/>
        </w:rPr>
        <w:tab/>
      </w:r>
      <w:r>
        <w:rPr>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highlight w:val="none"/>
        </w:rPr>
      </w:pPr>
      <w:r>
        <w:rPr>
          <w:highlight w:val="none"/>
        </w:rPr>
        <w:t>本单位对上述声明的真实性负责。如有虚假，将依法承担相应责任。</w:t>
      </w:r>
    </w:p>
    <w:p>
      <w:pPr>
        <w:rPr>
          <w:highlight w:val="none"/>
        </w:rPr>
      </w:pPr>
      <w:r>
        <w:rPr>
          <w:highlight w:val="none"/>
        </w:rPr>
        <w:t xml:space="preserve"> 单位名称（盖章）：__________________</w:t>
      </w:r>
    </w:p>
    <w:p>
      <w:pPr>
        <w:rPr>
          <w:highlight w:val="none"/>
        </w:rPr>
      </w:pPr>
      <w:r>
        <w:rPr>
          <w:highlight w:val="none"/>
        </w:rPr>
        <w:t>日期： 年 月 日</w:t>
      </w:r>
    </w:p>
    <w:p>
      <w:pPr>
        <w:ind w:firstLine="480"/>
        <w:rPr>
          <w:highlight w:val="none"/>
        </w:rPr>
      </w:pPr>
      <w:r>
        <w:rPr>
          <w:highlight w:val="none"/>
        </w:rPr>
        <w:t>注：本函未填写或未勾选视作未做声明。</w:t>
      </w:r>
    </w:p>
    <w:p>
      <w:pPr>
        <w:jc w:val="left"/>
        <w:rPr>
          <w:rFonts w:ascii="Times New Roman" w:hAnsi="Times New Roman" w:eastAsia="仿宋"/>
          <w:b/>
          <w:bCs/>
          <w:color w:val="000000" w:themeColor="text1"/>
          <w:sz w:val="24"/>
          <w:highlight w:val="none"/>
          <w14:textFill>
            <w14:solidFill>
              <w14:schemeClr w14:val="tx1"/>
            </w14:solidFill>
          </w14:textFill>
        </w:rPr>
      </w:pPr>
    </w:p>
    <w:p>
      <w:pPr>
        <w:jc w:val="left"/>
        <w:rPr>
          <w:rFonts w:ascii="Times New Roman" w:hAnsi="Times New Roman" w:eastAsia="仿宋"/>
          <w:b/>
          <w:color w:val="000000" w:themeColor="text1"/>
          <w:sz w:val="24"/>
          <w:highlight w:val="none"/>
          <w14:textFill>
            <w14:solidFill>
              <w14:schemeClr w14:val="tx1"/>
            </w14:solidFill>
          </w14:textFill>
        </w:rPr>
      </w:pPr>
      <w:r>
        <w:rPr>
          <w:rFonts w:ascii="Times New Roman" w:hAnsi="Times New Roman" w:eastAsia="仿宋"/>
          <w:color w:val="000000" w:themeColor="text1"/>
          <w:sz w:val="24"/>
          <w:highlight w:val="none"/>
          <w14:textFill>
            <w14:solidFill>
              <w14:schemeClr w14:val="tx1"/>
            </w14:solidFill>
          </w14:textFill>
        </w:rPr>
        <w:br w:type="page"/>
      </w:r>
      <w:r>
        <w:rPr>
          <w:rFonts w:ascii="Times New Roman" w:hAnsi="Times New Roman" w:eastAsia="仿宋"/>
          <w:b/>
          <w:color w:val="000000" w:themeColor="text1"/>
          <w:sz w:val="24"/>
          <w:highlight w:val="none"/>
          <w14:textFill>
            <w14:solidFill>
              <w14:schemeClr w14:val="tx1"/>
            </w14:solidFill>
          </w14:textFill>
        </w:rPr>
        <w:t>5.4联合体共同投标协议书</w:t>
      </w:r>
    </w:p>
    <w:p>
      <w:pPr>
        <w:rPr>
          <w:rFonts w:ascii="Times New Roman" w:hAnsi="Times New Roman" w:eastAsia="仿宋"/>
          <w:color w:val="000000" w:themeColor="text1"/>
          <w:sz w:val="24"/>
          <w:highlight w:val="none"/>
          <w14:textFill>
            <w14:solidFill>
              <w14:schemeClr w14:val="tx1"/>
            </w14:solidFill>
          </w14:textFill>
        </w:rPr>
      </w:pPr>
    </w:p>
    <w:p>
      <w:pPr>
        <w:ind w:firstLine="480"/>
        <w:rPr>
          <w:highlight w:val="none"/>
        </w:rPr>
      </w:pPr>
      <w:r>
        <w:rPr>
          <w:highlight w:val="none"/>
        </w:rPr>
        <w:t>（以下格式文件由供应商根据需要选用）</w:t>
      </w:r>
    </w:p>
    <w:p>
      <w:pPr>
        <w:jc w:val="center"/>
        <w:rPr>
          <w:highlight w:val="none"/>
        </w:rPr>
      </w:pPr>
      <w:r>
        <w:rPr>
          <w:b/>
          <w:sz w:val="24"/>
          <w:highlight w:val="none"/>
        </w:rPr>
        <w:t>联合体共同投标协议书</w:t>
      </w:r>
    </w:p>
    <w:p>
      <w:pPr>
        <w:ind w:firstLine="480"/>
        <w:rPr>
          <w:highlight w:val="none"/>
        </w:rPr>
      </w:pPr>
      <w:r>
        <w:rPr>
          <w:highlight w:val="none"/>
        </w:rPr>
        <w:t>立约方：</w:t>
      </w:r>
      <w:r>
        <w:rPr>
          <w:highlight w:val="none"/>
          <w:u w:val="single"/>
        </w:rPr>
        <w:t>（甲公司全称）</w:t>
      </w:r>
    </w:p>
    <w:p>
      <w:pPr>
        <w:ind w:firstLine="480"/>
        <w:rPr>
          <w:highlight w:val="none"/>
        </w:rPr>
      </w:pPr>
      <w:r>
        <w:rPr>
          <w:highlight w:val="none"/>
          <w:u w:val="single"/>
        </w:rPr>
        <w:t>（乙公司全称）</w:t>
      </w:r>
    </w:p>
    <w:p>
      <w:pPr>
        <w:ind w:firstLine="480"/>
        <w:rPr>
          <w:highlight w:val="none"/>
        </w:rPr>
      </w:pPr>
      <w:r>
        <w:rPr>
          <w:highlight w:val="none"/>
          <w:u w:val="single"/>
        </w:rPr>
        <w:t>（……公司全称）</w:t>
      </w:r>
    </w:p>
    <w:p>
      <w:pPr>
        <w:ind w:firstLine="480"/>
        <w:rPr>
          <w:highlight w:val="none"/>
        </w:rPr>
      </w:pPr>
      <w:r>
        <w:rPr>
          <w:highlight w:val="none"/>
          <w:u w:val="single"/>
        </w:rPr>
        <w:t>（甲公司全称）、（乙公司全称）、（……公司全称）</w:t>
      </w:r>
      <w:r>
        <w:rPr>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highlight w:val="none"/>
        </w:rPr>
      </w:pPr>
      <w:r>
        <w:rPr>
          <w:highlight w:val="none"/>
        </w:rPr>
        <w:t>一、联合体各方关系</w:t>
      </w:r>
    </w:p>
    <w:p>
      <w:pPr>
        <w:ind w:firstLine="480"/>
        <w:rPr>
          <w:highlight w:val="none"/>
        </w:rPr>
      </w:pPr>
      <w:r>
        <w:rPr>
          <w:highlight w:val="none"/>
          <w:u w:val="single"/>
        </w:rPr>
        <w:t>（甲公司全称）、（乙公司全称）、（……公司全称）</w:t>
      </w:r>
      <w:r>
        <w:rPr>
          <w:highlight w:val="none"/>
        </w:rPr>
        <w:t>共同组成一个联合体，以一个投标人的身份共同参加本项目的响应。（甲公司全称）、（乙公司全称）、（……公司全称）作为联合体成员，若中标，联合体各方共同与签订政府采购合同。</w:t>
      </w:r>
    </w:p>
    <w:p>
      <w:pPr>
        <w:ind w:firstLine="480"/>
        <w:rPr>
          <w:highlight w:val="none"/>
        </w:rPr>
      </w:pPr>
      <w:r>
        <w:rPr>
          <w:highlight w:val="none"/>
        </w:rPr>
        <w:t>二、联合体内部有关事项约定如下：</w:t>
      </w:r>
    </w:p>
    <w:p>
      <w:pPr>
        <w:ind w:firstLine="480"/>
        <w:rPr>
          <w:highlight w:val="none"/>
        </w:rPr>
      </w:pPr>
      <w:r>
        <w:rPr>
          <w:highlight w:val="none"/>
        </w:rPr>
        <w:t>1.（甲公司全称）作为联合体的牵头单位，代表联合体双方负责投标和合同实施阶段的主办、协调工作。</w:t>
      </w:r>
    </w:p>
    <w:p>
      <w:pPr>
        <w:ind w:firstLine="480"/>
        <w:rPr>
          <w:highlight w:val="none"/>
        </w:rPr>
      </w:pPr>
      <w:r>
        <w:rPr>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highlight w:val="none"/>
        </w:rPr>
      </w:pPr>
      <w:r>
        <w:rPr>
          <w:highlight w:val="none"/>
        </w:rPr>
        <w:t>3.如果本联合体中标，</w:t>
      </w:r>
      <w:r>
        <w:rPr>
          <w:highlight w:val="none"/>
          <w:u w:val="single"/>
        </w:rPr>
        <w:t>（甲公司全称）</w:t>
      </w:r>
      <w:r>
        <w:rPr>
          <w:highlight w:val="none"/>
        </w:rPr>
        <w:t>负责本项目___________部分，</w:t>
      </w:r>
      <w:r>
        <w:rPr>
          <w:highlight w:val="none"/>
          <w:u w:val="single"/>
        </w:rPr>
        <w:t>（乙公司全称）</w:t>
      </w:r>
      <w:r>
        <w:rPr>
          <w:highlight w:val="none"/>
        </w:rPr>
        <w:t>负责本项目___________部分。</w:t>
      </w:r>
    </w:p>
    <w:p>
      <w:pPr>
        <w:ind w:firstLine="480"/>
        <w:rPr>
          <w:highlight w:val="none"/>
        </w:rPr>
      </w:pPr>
      <w:r>
        <w:rPr>
          <w:highlight w:val="none"/>
        </w:rPr>
        <w:t>4.如中标，联合体各方共同与（采购人）签订合同书，并就中标项目向采购人负责有连带的和各自的法律责任；</w:t>
      </w:r>
    </w:p>
    <w:p>
      <w:pPr>
        <w:ind w:firstLine="480"/>
        <w:rPr>
          <w:highlight w:val="none"/>
        </w:rPr>
      </w:pPr>
      <w:r>
        <w:rPr>
          <w:highlight w:val="none"/>
        </w:rPr>
        <w:t>5.联合体成员（公司全称）为（请填写：小型、微型）企业，将承担合同总金额_____%的工作内容（联合体成员中有小型、微型企业时适用）。</w:t>
      </w:r>
    </w:p>
    <w:p>
      <w:pPr>
        <w:ind w:firstLine="480"/>
        <w:rPr>
          <w:highlight w:val="none"/>
        </w:rPr>
      </w:pPr>
      <w:r>
        <w:rPr>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rPr>
          <w:highlight w:val="none"/>
        </w:rPr>
      </w:pPr>
      <w:r>
        <w:rPr>
          <w:highlight w:val="none"/>
        </w:rPr>
        <w:t>四、联合体如因违约过失责任而导致采购人经济损失或被索赔时，本联合体任何一方均同意无条件优先清偿采购人的一切债务和经济赔偿。</w:t>
      </w:r>
    </w:p>
    <w:p>
      <w:pPr>
        <w:ind w:firstLine="480"/>
        <w:rPr>
          <w:highlight w:val="none"/>
        </w:rPr>
      </w:pPr>
      <w:r>
        <w:rPr>
          <w:highlight w:val="none"/>
        </w:rPr>
        <w:t>五、本协议在自签署之日起生效，有效期内有效，如获中标资格，合同有效期延续至合同履行完毕之日。</w:t>
      </w:r>
    </w:p>
    <w:p>
      <w:pPr>
        <w:ind w:firstLine="480"/>
        <w:rPr>
          <w:highlight w:val="none"/>
        </w:rPr>
      </w:pPr>
      <w:r>
        <w:rPr>
          <w:highlight w:val="none"/>
        </w:rPr>
        <w:t>六、本协议书正本一式_____份，随投标文件装订_____份，送采购人_____份，联合体成员各一份；副本一式_____份，联合体成员各执_____份。</w:t>
      </w:r>
    </w:p>
    <w:p>
      <w:pPr>
        <w:rPr>
          <w:highlight w:val="none"/>
        </w:rPr>
      </w:pPr>
      <w:r>
        <w:rPr>
          <w:highlight w:val="none"/>
        </w:rPr>
        <w:t>甲公司全称：____（盖章）________，乙公司全称：____（盖章）________，……公司全称：____（盖章）________，</w:t>
      </w:r>
    </w:p>
    <w:p>
      <w:pPr>
        <w:rPr>
          <w:highlight w:val="none"/>
        </w:rPr>
      </w:pPr>
      <w:r>
        <w:rPr>
          <w:highlight w:val="none"/>
        </w:rPr>
        <w:t>____年____月 ____日，____年____月____日，____年____月____日</w:t>
      </w:r>
    </w:p>
    <w:p>
      <w:pPr>
        <w:ind w:firstLine="480"/>
        <w:rPr>
          <w:highlight w:val="none"/>
        </w:rPr>
      </w:pPr>
      <w:r>
        <w:rPr>
          <w:highlight w:val="none"/>
        </w:rPr>
        <w:t>注：1．联合响应时需签本协议，联合体各方成员应在本协议上共同盖章确认。</w:t>
      </w:r>
    </w:p>
    <w:p>
      <w:pPr>
        <w:ind w:firstLine="480"/>
        <w:rPr>
          <w:highlight w:val="none"/>
        </w:rPr>
      </w:pPr>
      <w:r>
        <w:rPr>
          <w:highlight w:val="none"/>
        </w:rPr>
        <w:t>2．本协议内容不得擅自修改。此协议将作为签订合同的附件之一。</w:t>
      </w:r>
    </w:p>
    <w:p>
      <w:pPr>
        <w:pStyle w:val="30"/>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仿宋" w:hAnsi="仿宋" w:eastAsia="仿宋" w:cs="仿宋"/>
          <w:highlight w:val="none"/>
        </w:rPr>
      </w:pPr>
    </w:p>
    <w:p>
      <w:pPr>
        <w:rPr>
          <w:highlight w:val="none"/>
        </w:rPr>
      </w:pPr>
    </w:p>
    <w:p>
      <w:pPr>
        <w:rPr>
          <w:rFonts w:ascii="Times New Roman" w:hAnsi="Times New Roman" w:eastAsia="仿宋"/>
          <w:b/>
          <w:color w:val="000000" w:themeColor="text1"/>
          <w:sz w:val="24"/>
          <w:highlight w:val="none"/>
          <w14:textFill>
            <w14:solidFill>
              <w14:schemeClr w14:val="tx1"/>
            </w14:solidFill>
          </w14:textFill>
        </w:rPr>
      </w:pPr>
      <w:r>
        <w:rPr>
          <w:rFonts w:hint="eastAsia" w:ascii="Times New Roman" w:hAnsi="Times New Roman" w:eastAsia="仿宋"/>
          <w:b/>
          <w:color w:val="000000" w:themeColor="text1"/>
          <w:sz w:val="24"/>
          <w:highlight w:val="none"/>
          <w14:textFill>
            <w14:solidFill>
              <w14:schemeClr w14:val="tx1"/>
            </w14:solidFill>
          </w14:textFill>
        </w:rPr>
        <w:t>5.5</w:t>
      </w:r>
      <w:r>
        <w:rPr>
          <w:rFonts w:ascii="Times New Roman" w:hAnsi="Times New Roman" w:eastAsia="仿宋"/>
          <w:b/>
          <w:color w:val="000000" w:themeColor="text1"/>
          <w:sz w:val="24"/>
          <w:highlight w:val="none"/>
          <w14:textFill>
            <w14:solidFill>
              <w14:schemeClr w14:val="tx1"/>
            </w14:solidFill>
          </w14:textFill>
        </w:rPr>
        <w:t>询问函、质疑函、投诉书</w:t>
      </w:r>
    </w:p>
    <w:p>
      <w:pPr>
        <w:rPr>
          <w:rFonts w:ascii="Times New Roman" w:hAnsi="Times New Roman" w:eastAsia="仿宋"/>
          <w:b/>
          <w:color w:val="000000" w:themeColor="text1"/>
          <w:sz w:val="24"/>
          <w:highlight w:val="none"/>
          <w14:textFill>
            <w14:solidFill>
              <w14:schemeClr w14:val="tx1"/>
            </w14:solidFill>
          </w14:textFill>
        </w:rPr>
      </w:pPr>
    </w:p>
    <w:p>
      <w:pPr>
        <w:rPr>
          <w:highlight w:val="none"/>
        </w:rPr>
      </w:pPr>
      <w:r>
        <w:rPr>
          <w:highlight w:val="none"/>
        </w:rPr>
        <w:t>（以下格式文件由供应商根据需要选用）</w:t>
      </w:r>
    </w:p>
    <w:p>
      <w:pPr>
        <w:jc w:val="center"/>
        <w:rPr>
          <w:highlight w:val="none"/>
        </w:rPr>
      </w:pPr>
      <w:r>
        <w:rPr>
          <w:b/>
          <w:sz w:val="24"/>
          <w:highlight w:val="none"/>
        </w:rPr>
        <w:t>询问函、质疑函、投诉书格式</w:t>
      </w:r>
    </w:p>
    <w:p>
      <w:pPr>
        <w:ind w:firstLine="480"/>
        <w:rPr>
          <w:highlight w:val="none"/>
        </w:rPr>
      </w:pPr>
      <w:r>
        <w:rPr>
          <w:highlight w:val="none"/>
        </w:rPr>
        <w:t>说明：本部分格式为投标人提交询问函、质疑函、投诉函时使用，不属于投标文件格式的组成部分。</w:t>
      </w:r>
    </w:p>
    <w:p>
      <w:pPr>
        <w:jc w:val="center"/>
        <w:rPr>
          <w:highlight w:val="none"/>
        </w:rPr>
      </w:pPr>
      <w:r>
        <w:rPr>
          <w:b/>
          <w:sz w:val="24"/>
          <w:highlight w:val="none"/>
        </w:rPr>
        <w:t>询问函</w:t>
      </w:r>
    </w:p>
    <w:p>
      <w:pPr>
        <w:ind w:firstLine="480"/>
        <w:rPr>
          <w:highlight w:val="none"/>
        </w:rPr>
      </w:pPr>
      <w:r>
        <w:rPr>
          <w:highlight w:val="none"/>
        </w:rPr>
        <w:t>东莞市万江招投标服务所</w:t>
      </w:r>
    </w:p>
    <w:p>
      <w:pPr>
        <w:ind w:firstLine="480"/>
        <w:rPr>
          <w:highlight w:val="none"/>
        </w:rPr>
      </w:pPr>
      <w:r>
        <w:rPr>
          <w:highlight w:val="none"/>
        </w:rPr>
        <w:t>我单位已登记并准备参与万江街道科技护城墙（一期）和智能视频(二期)光纤服务项目项目（采购项目编号：441900004-2022-00430）的投标活动，现有以下几个内容（或条款）存在疑问（或无法理解），特提出询问。</w:t>
      </w:r>
    </w:p>
    <w:p>
      <w:pPr>
        <w:ind w:firstLine="480"/>
        <w:rPr>
          <w:highlight w:val="none"/>
        </w:rPr>
      </w:pPr>
      <w:r>
        <w:rPr>
          <w:highlight w:val="none"/>
        </w:rPr>
        <w:t>一、_____________________（事项一）</w:t>
      </w:r>
    </w:p>
    <w:p>
      <w:pPr>
        <w:ind w:firstLine="480"/>
        <w:rPr>
          <w:highlight w:val="none"/>
        </w:rPr>
      </w:pPr>
      <w:r>
        <w:rPr>
          <w:highlight w:val="none"/>
        </w:rPr>
        <w:t>（1）____________________（问题或条款内容）</w:t>
      </w:r>
    </w:p>
    <w:p>
      <w:pPr>
        <w:ind w:firstLine="480"/>
        <w:rPr>
          <w:highlight w:val="none"/>
        </w:rPr>
      </w:pPr>
      <w:r>
        <w:rPr>
          <w:highlight w:val="none"/>
        </w:rPr>
        <w:t>（2）____________________（说明疑问或无法理解原因）</w:t>
      </w:r>
    </w:p>
    <w:p>
      <w:pPr>
        <w:ind w:firstLine="480"/>
        <w:rPr>
          <w:highlight w:val="none"/>
        </w:rPr>
      </w:pPr>
      <w:r>
        <w:rPr>
          <w:highlight w:val="none"/>
        </w:rPr>
        <w:t>（3）____________________（建议）</w:t>
      </w:r>
    </w:p>
    <w:p>
      <w:pPr>
        <w:ind w:firstLine="480"/>
        <w:rPr>
          <w:highlight w:val="none"/>
        </w:rPr>
      </w:pPr>
      <w:r>
        <w:rPr>
          <w:highlight w:val="none"/>
        </w:rPr>
        <w:t>二、_____________________（事项二）</w:t>
      </w:r>
    </w:p>
    <w:p>
      <w:pPr>
        <w:ind w:firstLine="480"/>
        <w:rPr>
          <w:highlight w:val="none"/>
        </w:rPr>
      </w:pPr>
      <w:r>
        <w:rPr>
          <w:highlight w:val="none"/>
        </w:rPr>
        <w:t>...</w:t>
      </w:r>
    </w:p>
    <w:p>
      <w:pPr>
        <w:ind w:firstLine="480"/>
        <w:rPr>
          <w:highlight w:val="none"/>
        </w:rPr>
      </w:pPr>
      <w:r>
        <w:rPr>
          <w:highlight w:val="none"/>
        </w:rPr>
        <w:t>随附相关证明材料如下：（目录）</w:t>
      </w:r>
    </w:p>
    <w:p>
      <w:pPr>
        <w:rPr>
          <w:highlight w:val="none"/>
        </w:rPr>
      </w:pPr>
      <w:r>
        <w:rPr>
          <w:highlight w:val="none"/>
        </w:rPr>
        <w:t>询问人（公章）：_____________________</w:t>
      </w:r>
    </w:p>
    <w:p>
      <w:pPr>
        <w:rPr>
          <w:highlight w:val="none"/>
        </w:rPr>
      </w:pPr>
      <w:r>
        <w:rPr>
          <w:highlight w:val="none"/>
        </w:rPr>
        <w:t>法定代表人或授权代表（签字或盖章）：_____________________</w:t>
      </w:r>
    </w:p>
    <w:p>
      <w:pPr>
        <w:rPr>
          <w:highlight w:val="none"/>
        </w:rPr>
      </w:pPr>
      <w:r>
        <w:rPr>
          <w:highlight w:val="none"/>
        </w:rPr>
        <w:t>地址/邮编：_____________________</w:t>
      </w:r>
    </w:p>
    <w:p>
      <w:pPr>
        <w:rPr>
          <w:highlight w:val="none"/>
        </w:rPr>
      </w:pPr>
      <w:r>
        <w:rPr>
          <w:highlight w:val="none"/>
        </w:rPr>
        <w:t>电话/传真：_____________________</w:t>
      </w:r>
    </w:p>
    <w:p>
      <w:pPr>
        <w:rPr>
          <w:highlight w:val="none"/>
        </w:rPr>
      </w:pPr>
      <w:r>
        <w:rPr>
          <w:highlight w:val="none"/>
        </w:rPr>
        <w:t>日期： 年 月 日</w:t>
      </w:r>
    </w:p>
    <w:p>
      <w:pPr>
        <w:ind w:firstLine="480"/>
        <w:rPr>
          <w:highlight w:val="none"/>
        </w:rPr>
      </w:pPr>
    </w:p>
    <w:p>
      <w:pPr>
        <w:rPr>
          <w:highlight w:val="none"/>
        </w:rPr>
      </w:pPr>
      <w:r>
        <w:rPr>
          <w:highlight w:val="none"/>
        </w:rPr>
        <w:t xml:space="preserve"> </w:t>
      </w:r>
    </w:p>
    <w:p>
      <w:pPr>
        <w:rPr>
          <w:highlight w:val="none"/>
        </w:rPr>
      </w:pPr>
    </w:p>
    <w:p>
      <w:pPr>
        <w:jc w:val="center"/>
        <w:rPr>
          <w:highlight w:val="none"/>
        </w:rPr>
      </w:pPr>
      <w:r>
        <w:rPr>
          <w:b/>
          <w:sz w:val="24"/>
          <w:highlight w:val="none"/>
        </w:rPr>
        <w:t>质疑函</w:t>
      </w:r>
    </w:p>
    <w:p>
      <w:pPr>
        <w:ind w:firstLine="480"/>
        <w:rPr>
          <w:highlight w:val="none"/>
        </w:rPr>
      </w:pPr>
      <w:r>
        <w:rPr>
          <w:highlight w:val="none"/>
        </w:rPr>
        <w:t>一、质疑供应商基本信息</w:t>
      </w:r>
    </w:p>
    <w:p>
      <w:pPr>
        <w:ind w:firstLine="480"/>
        <w:rPr>
          <w:highlight w:val="none"/>
        </w:rPr>
      </w:pPr>
      <w:r>
        <w:rPr>
          <w:highlight w:val="none"/>
        </w:rPr>
        <w:t>质疑供应商：</w:t>
      </w:r>
    </w:p>
    <w:p>
      <w:pPr>
        <w:ind w:firstLine="480"/>
        <w:rPr>
          <w:highlight w:val="none"/>
        </w:rPr>
      </w:pPr>
      <w:r>
        <w:rPr>
          <w:highlight w:val="none"/>
        </w:rPr>
        <w:t>地址：_____________________邮编：_____________________</w:t>
      </w:r>
    </w:p>
    <w:p>
      <w:pPr>
        <w:ind w:firstLine="480"/>
        <w:rPr>
          <w:highlight w:val="none"/>
        </w:rPr>
      </w:pPr>
      <w:r>
        <w:rPr>
          <w:highlight w:val="none"/>
        </w:rPr>
        <w:t>联系：_____________________联系电话：_____________________</w:t>
      </w:r>
    </w:p>
    <w:p>
      <w:pPr>
        <w:ind w:firstLine="480"/>
        <w:rPr>
          <w:highlight w:val="none"/>
        </w:rPr>
      </w:pPr>
      <w:r>
        <w:rPr>
          <w:highlight w:val="none"/>
        </w:rPr>
        <w:t>授权代表：_____________________</w:t>
      </w:r>
    </w:p>
    <w:p>
      <w:pPr>
        <w:ind w:firstLine="480"/>
        <w:rPr>
          <w:highlight w:val="none"/>
        </w:rPr>
      </w:pPr>
      <w:r>
        <w:rPr>
          <w:highlight w:val="none"/>
        </w:rPr>
        <w:t>联系电话：_____________________</w:t>
      </w:r>
    </w:p>
    <w:p>
      <w:pPr>
        <w:ind w:firstLine="480"/>
        <w:rPr>
          <w:highlight w:val="none"/>
        </w:rPr>
      </w:pPr>
      <w:r>
        <w:rPr>
          <w:highlight w:val="none"/>
        </w:rPr>
        <w:t>地址：_____________________邮编：_____________________</w:t>
      </w:r>
    </w:p>
    <w:p>
      <w:pPr>
        <w:ind w:firstLine="480"/>
        <w:rPr>
          <w:highlight w:val="none"/>
        </w:rPr>
      </w:pPr>
      <w:r>
        <w:rPr>
          <w:highlight w:val="none"/>
        </w:rPr>
        <w:t>二、质疑项目基本情况</w:t>
      </w:r>
    </w:p>
    <w:p>
      <w:pPr>
        <w:ind w:firstLine="480"/>
        <w:rPr>
          <w:highlight w:val="none"/>
        </w:rPr>
      </w:pPr>
      <w:r>
        <w:rPr>
          <w:highlight w:val="none"/>
        </w:rPr>
        <w:t>质疑项目的名称：_____________________</w:t>
      </w:r>
    </w:p>
    <w:p>
      <w:pPr>
        <w:ind w:firstLine="480"/>
        <w:rPr>
          <w:highlight w:val="none"/>
        </w:rPr>
      </w:pPr>
      <w:r>
        <w:rPr>
          <w:highlight w:val="none"/>
        </w:rPr>
        <w:t>质疑项目的编号：_____________________ 包号：_____________________</w:t>
      </w:r>
    </w:p>
    <w:p>
      <w:pPr>
        <w:ind w:firstLine="480"/>
        <w:rPr>
          <w:highlight w:val="none"/>
        </w:rPr>
      </w:pPr>
      <w:r>
        <w:rPr>
          <w:highlight w:val="none"/>
        </w:rPr>
        <w:t>采购人名称：_____________________</w:t>
      </w:r>
    </w:p>
    <w:p>
      <w:pPr>
        <w:ind w:firstLine="480"/>
        <w:rPr>
          <w:highlight w:val="none"/>
        </w:rPr>
      </w:pPr>
      <w:r>
        <w:rPr>
          <w:highlight w:val="none"/>
        </w:rPr>
        <w:t>采购文件获取日期：_____________________</w:t>
      </w:r>
    </w:p>
    <w:p>
      <w:pPr>
        <w:ind w:firstLine="480"/>
        <w:rPr>
          <w:highlight w:val="none"/>
        </w:rPr>
      </w:pPr>
      <w:r>
        <w:rPr>
          <w:highlight w:val="none"/>
        </w:rPr>
        <w:t>三、质疑事项具体内容</w:t>
      </w:r>
    </w:p>
    <w:p>
      <w:pPr>
        <w:ind w:firstLine="480"/>
        <w:rPr>
          <w:highlight w:val="none"/>
        </w:rPr>
      </w:pPr>
      <w:r>
        <w:rPr>
          <w:highlight w:val="none"/>
        </w:rPr>
        <w:t>质疑事项1：_____________________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质疑事项2：_____________________</w:t>
      </w:r>
    </w:p>
    <w:p>
      <w:pPr>
        <w:ind w:firstLine="480"/>
        <w:rPr>
          <w:highlight w:val="none"/>
        </w:rPr>
      </w:pPr>
      <w:r>
        <w:rPr>
          <w:highlight w:val="none"/>
        </w:rPr>
        <w:t>……</w:t>
      </w:r>
    </w:p>
    <w:p>
      <w:pPr>
        <w:ind w:firstLine="480"/>
        <w:rPr>
          <w:highlight w:val="none"/>
        </w:rPr>
      </w:pPr>
      <w:r>
        <w:rPr>
          <w:highlight w:val="none"/>
        </w:rPr>
        <w:t>四、与质疑事项相关的质疑请求</w:t>
      </w:r>
    </w:p>
    <w:p>
      <w:pPr>
        <w:ind w:firstLine="480"/>
        <w:rPr>
          <w:highlight w:val="none"/>
        </w:rPr>
      </w:pPr>
      <w:r>
        <w:rPr>
          <w:highlight w:val="none"/>
        </w:rPr>
        <w:t>请求：__________________________________________</w:t>
      </w:r>
    </w:p>
    <w:p>
      <w:pPr>
        <w:rPr>
          <w:highlight w:val="none"/>
        </w:rPr>
      </w:pPr>
      <w:r>
        <w:rPr>
          <w:highlight w:val="none"/>
        </w:rPr>
        <w:t xml:space="preserve"> 签字(签章)：_____________________ 公章：_____________________</w:t>
      </w:r>
    </w:p>
    <w:p>
      <w:pPr>
        <w:rPr>
          <w:highlight w:val="none"/>
        </w:rPr>
      </w:pPr>
      <w:r>
        <w:rPr>
          <w:highlight w:val="none"/>
        </w:rPr>
        <w:t>日期： 年 月 日</w:t>
      </w:r>
    </w:p>
    <w:p>
      <w:pPr>
        <w:ind w:firstLine="480"/>
        <w:rPr>
          <w:highlight w:val="none"/>
        </w:rPr>
      </w:pPr>
      <w:r>
        <w:rPr>
          <w:highlight w:val="none"/>
        </w:rPr>
        <w:t>质疑函制作说明：</w:t>
      </w:r>
    </w:p>
    <w:p>
      <w:pPr>
        <w:ind w:firstLine="480"/>
        <w:rPr>
          <w:highlight w:val="none"/>
        </w:rPr>
      </w:pPr>
      <w:r>
        <w:rPr>
          <w:highlight w:val="none"/>
        </w:rPr>
        <w:t>1.供应商提出质疑时，应提交质疑函和必要的证明材料。</w:t>
      </w:r>
    </w:p>
    <w:p>
      <w:pPr>
        <w:ind w:firstLine="480"/>
        <w:rPr>
          <w:highlight w:val="none"/>
        </w:rPr>
      </w:pPr>
      <w:r>
        <w:rPr>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highlight w:val="none"/>
        </w:rPr>
      </w:pPr>
      <w:r>
        <w:rPr>
          <w:highlight w:val="none"/>
        </w:rPr>
        <w:t>3.质疑供应商若对项目的某一分包进行质疑，质疑函中应列明具体采购包号。</w:t>
      </w:r>
    </w:p>
    <w:p>
      <w:pPr>
        <w:ind w:firstLine="480"/>
        <w:rPr>
          <w:highlight w:val="none"/>
        </w:rPr>
      </w:pPr>
      <w:r>
        <w:rPr>
          <w:highlight w:val="none"/>
        </w:rPr>
        <w:t>4.质疑函的质疑事项应具体、明确，并有必要的事实依据和法律依据。</w:t>
      </w:r>
    </w:p>
    <w:p>
      <w:pPr>
        <w:ind w:firstLine="480"/>
        <w:rPr>
          <w:highlight w:val="none"/>
        </w:rPr>
      </w:pPr>
      <w:r>
        <w:rPr>
          <w:highlight w:val="none"/>
        </w:rPr>
        <w:t>5.质疑函的质疑请求应与质疑事项相关。</w:t>
      </w:r>
    </w:p>
    <w:p>
      <w:pPr>
        <w:ind w:firstLine="480"/>
        <w:rPr>
          <w:highlight w:val="none"/>
        </w:rPr>
      </w:pPr>
      <w:r>
        <w:rPr>
          <w:highlight w:val="none"/>
        </w:rPr>
        <w:t>6.质疑供应商为自然人的，质疑函应由本人签字；质疑供应商为法人或者其他组织的，质疑函应由法定代表人、主要负责人，或者其授权代表签字或者盖章，并加盖公章。</w:t>
      </w:r>
    </w:p>
    <w:p>
      <w:pPr>
        <w:ind w:firstLine="480"/>
        <w:rPr>
          <w:highlight w:val="none"/>
        </w:rPr>
      </w:pPr>
    </w:p>
    <w:p>
      <w:pPr>
        <w:rPr>
          <w:highlight w:val="none"/>
        </w:rPr>
      </w:pPr>
      <w:r>
        <w:rPr>
          <w:highlight w:val="none"/>
        </w:rPr>
        <w:t xml:space="preserve"> </w:t>
      </w:r>
    </w:p>
    <w:p>
      <w:pPr>
        <w:rPr>
          <w:highlight w:val="none"/>
        </w:rPr>
      </w:pPr>
    </w:p>
    <w:p>
      <w:pPr>
        <w:jc w:val="center"/>
        <w:rPr>
          <w:highlight w:val="none"/>
        </w:rPr>
      </w:pPr>
      <w:r>
        <w:rPr>
          <w:b/>
          <w:sz w:val="24"/>
          <w:highlight w:val="none"/>
        </w:rPr>
        <w:t>投诉书</w:t>
      </w:r>
    </w:p>
    <w:p>
      <w:pPr>
        <w:ind w:firstLine="480"/>
        <w:rPr>
          <w:highlight w:val="none"/>
        </w:rPr>
      </w:pPr>
      <w:r>
        <w:rPr>
          <w:highlight w:val="none"/>
        </w:rPr>
        <w:t>一、投诉相关主体基本情况</w:t>
      </w:r>
    </w:p>
    <w:p>
      <w:pPr>
        <w:ind w:firstLine="480"/>
        <w:rPr>
          <w:highlight w:val="none"/>
        </w:rPr>
      </w:pPr>
      <w:r>
        <w:rPr>
          <w:highlight w:val="none"/>
        </w:rPr>
        <w:t>投诉人：____________________</w:t>
      </w:r>
    </w:p>
    <w:p>
      <w:pPr>
        <w:ind w:firstLine="480"/>
        <w:rPr>
          <w:highlight w:val="none"/>
        </w:rPr>
      </w:pPr>
      <w:r>
        <w:rPr>
          <w:highlight w:val="none"/>
        </w:rPr>
        <w:t>地 址：____________________邮编：____________________</w:t>
      </w:r>
    </w:p>
    <w:p>
      <w:pPr>
        <w:ind w:firstLine="480"/>
        <w:rPr>
          <w:highlight w:val="none"/>
        </w:rPr>
      </w:pPr>
      <w:r>
        <w:rPr>
          <w:highlight w:val="none"/>
        </w:rPr>
        <w:t>法定代表人/主要负责人：____________________</w:t>
      </w:r>
    </w:p>
    <w:p>
      <w:pPr>
        <w:ind w:firstLine="480"/>
        <w:rPr>
          <w:highlight w:val="none"/>
        </w:rPr>
      </w:pPr>
      <w:r>
        <w:rPr>
          <w:highlight w:val="none"/>
        </w:rPr>
        <w:t>联系电话：____________________</w:t>
      </w:r>
    </w:p>
    <w:p>
      <w:pPr>
        <w:ind w:firstLine="480"/>
        <w:rPr>
          <w:highlight w:val="none"/>
        </w:rPr>
      </w:pPr>
      <w:r>
        <w:rPr>
          <w:highlight w:val="none"/>
        </w:rPr>
        <w:t>授权代表：____________________联系电话：____________________</w:t>
      </w:r>
    </w:p>
    <w:p>
      <w:pPr>
        <w:ind w:firstLine="480"/>
        <w:rPr>
          <w:highlight w:val="none"/>
        </w:rPr>
      </w:pPr>
      <w:r>
        <w:rPr>
          <w:highlight w:val="none"/>
        </w:rPr>
        <w:t>地 址：____________________邮编：____________________</w:t>
      </w:r>
    </w:p>
    <w:p>
      <w:pPr>
        <w:ind w:firstLine="480"/>
        <w:rPr>
          <w:highlight w:val="none"/>
        </w:rPr>
      </w:pPr>
      <w:r>
        <w:rPr>
          <w:highlight w:val="none"/>
        </w:rPr>
        <w:t>被投诉人1：____________________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被投诉人2：____________________</w:t>
      </w:r>
    </w:p>
    <w:p>
      <w:pPr>
        <w:ind w:firstLine="480"/>
        <w:rPr>
          <w:highlight w:val="none"/>
        </w:rPr>
      </w:pPr>
      <w:r>
        <w:rPr>
          <w:highlight w:val="none"/>
        </w:rPr>
        <w:t>……</w:t>
      </w:r>
    </w:p>
    <w:p>
      <w:pPr>
        <w:ind w:firstLine="480"/>
        <w:rPr>
          <w:highlight w:val="none"/>
        </w:rPr>
      </w:pPr>
      <w:r>
        <w:rPr>
          <w:highlight w:val="none"/>
        </w:rPr>
        <w:t>相关供应商：_____________________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二、投诉项目基本情况</w:t>
      </w:r>
    </w:p>
    <w:p>
      <w:pPr>
        <w:ind w:firstLine="480"/>
        <w:rPr>
          <w:highlight w:val="none"/>
        </w:rPr>
      </w:pPr>
      <w:r>
        <w:rPr>
          <w:highlight w:val="none"/>
        </w:rPr>
        <w:t>采购项目名称：____________________</w:t>
      </w:r>
    </w:p>
    <w:p>
      <w:pPr>
        <w:ind w:firstLine="480"/>
        <w:rPr>
          <w:highlight w:val="none"/>
        </w:rPr>
      </w:pPr>
      <w:r>
        <w:rPr>
          <w:highlight w:val="none"/>
        </w:rPr>
        <w:t>采购项目编号： ____________________包号：____________________</w:t>
      </w:r>
    </w:p>
    <w:p>
      <w:pPr>
        <w:ind w:firstLine="480"/>
        <w:rPr>
          <w:highlight w:val="none"/>
        </w:rPr>
      </w:pPr>
      <w:r>
        <w:rPr>
          <w:highlight w:val="none"/>
        </w:rPr>
        <w:t>采购人名称：____________________</w:t>
      </w:r>
    </w:p>
    <w:p>
      <w:pPr>
        <w:ind w:firstLine="480"/>
        <w:rPr>
          <w:highlight w:val="none"/>
        </w:rPr>
      </w:pPr>
      <w:r>
        <w:rPr>
          <w:highlight w:val="none"/>
        </w:rPr>
        <w:t>代理机构名称：____________________</w:t>
      </w:r>
    </w:p>
    <w:p>
      <w:pPr>
        <w:ind w:firstLine="480"/>
        <w:rPr>
          <w:highlight w:val="none"/>
        </w:rPr>
      </w:pPr>
      <w:r>
        <w:rPr>
          <w:highlight w:val="none"/>
        </w:rPr>
        <w:t>采购文件公告:</w:t>
      </w:r>
      <w:r>
        <w:rPr>
          <w:highlight w:val="none"/>
          <w:u w:val="single"/>
        </w:rPr>
        <w:t>是/否</w:t>
      </w:r>
      <w:r>
        <w:rPr>
          <w:highlight w:val="none"/>
        </w:rPr>
        <w:t>公告期限：_____________________</w:t>
      </w:r>
    </w:p>
    <w:p>
      <w:pPr>
        <w:ind w:firstLine="480"/>
        <w:rPr>
          <w:highlight w:val="none"/>
        </w:rPr>
      </w:pPr>
      <w:r>
        <w:rPr>
          <w:highlight w:val="none"/>
        </w:rPr>
        <w:t>采购结果公告:</w:t>
      </w:r>
      <w:r>
        <w:rPr>
          <w:highlight w:val="none"/>
          <w:u w:val="single"/>
        </w:rPr>
        <w:t>是/否</w:t>
      </w:r>
      <w:r>
        <w:rPr>
          <w:highlight w:val="none"/>
        </w:rPr>
        <w:t>公告期限：_____________________</w:t>
      </w:r>
    </w:p>
    <w:p>
      <w:pPr>
        <w:ind w:firstLine="480"/>
        <w:rPr>
          <w:highlight w:val="none"/>
        </w:rPr>
      </w:pPr>
      <w:r>
        <w:rPr>
          <w:highlight w:val="none"/>
        </w:rPr>
        <w:t>三、质疑基本情况</w:t>
      </w:r>
    </w:p>
    <w:p>
      <w:pPr>
        <w:ind w:firstLine="480"/>
        <w:rPr>
          <w:highlight w:val="none"/>
        </w:rPr>
      </w:pPr>
      <w:r>
        <w:rPr>
          <w:highlight w:val="none"/>
        </w:rPr>
        <w:t>投诉人于 ____年____月____日,向提出质疑，质疑事项为：_____________________</w:t>
      </w:r>
    </w:p>
    <w:p>
      <w:pPr>
        <w:ind w:firstLine="480"/>
        <w:rPr>
          <w:highlight w:val="none"/>
        </w:rPr>
      </w:pPr>
      <w:r>
        <w:rPr>
          <w:highlight w:val="none"/>
          <w:u w:val="single"/>
        </w:rPr>
        <w:t>采购人/代理机构</w:t>
      </w:r>
      <w:r>
        <w:rPr>
          <w:highlight w:val="none"/>
        </w:rPr>
        <w:t>于____年____月____日,就质疑事项作出了答复/没有在法定期限内作出答复。</w:t>
      </w:r>
    </w:p>
    <w:p>
      <w:pPr>
        <w:ind w:firstLine="480"/>
        <w:rPr>
          <w:highlight w:val="none"/>
        </w:rPr>
      </w:pPr>
      <w:r>
        <w:rPr>
          <w:highlight w:val="none"/>
        </w:rPr>
        <w:t>四、投诉事项具体内容</w:t>
      </w:r>
    </w:p>
    <w:p>
      <w:pPr>
        <w:ind w:firstLine="480"/>
        <w:rPr>
          <w:highlight w:val="none"/>
        </w:rPr>
      </w:pPr>
      <w:r>
        <w:rPr>
          <w:highlight w:val="none"/>
        </w:rPr>
        <w:t>投诉事项 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投诉事项2：_____________________</w:t>
      </w:r>
    </w:p>
    <w:p>
      <w:pPr>
        <w:ind w:firstLine="480"/>
        <w:rPr>
          <w:highlight w:val="none"/>
        </w:rPr>
      </w:pPr>
      <w:r>
        <w:rPr>
          <w:highlight w:val="none"/>
        </w:rPr>
        <w:t>……</w:t>
      </w:r>
    </w:p>
    <w:p>
      <w:pPr>
        <w:ind w:firstLine="480"/>
        <w:rPr>
          <w:highlight w:val="none"/>
        </w:rPr>
      </w:pPr>
      <w:r>
        <w:rPr>
          <w:highlight w:val="none"/>
        </w:rPr>
        <w:t>五、与投诉事项相关的投诉请求</w:t>
      </w:r>
    </w:p>
    <w:p>
      <w:pPr>
        <w:ind w:firstLine="480"/>
        <w:rPr>
          <w:highlight w:val="none"/>
        </w:rPr>
      </w:pPr>
      <w:r>
        <w:rPr>
          <w:highlight w:val="none"/>
        </w:rPr>
        <w:t>请求：________________________</w:t>
      </w:r>
    </w:p>
    <w:p>
      <w:pPr>
        <w:ind w:firstLine="480"/>
        <w:rPr>
          <w:highlight w:val="none"/>
        </w:rPr>
      </w:pPr>
    </w:p>
    <w:p>
      <w:pPr>
        <w:rPr>
          <w:highlight w:val="none"/>
        </w:rPr>
      </w:pPr>
      <w:r>
        <w:rPr>
          <w:highlight w:val="none"/>
        </w:rPr>
        <w:t xml:space="preserve"> 签字(签章)： ________公章________</w:t>
      </w:r>
    </w:p>
    <w:p>
      <w:pPr>
        <w:rPr>
          <w:highlight w:val="none"/>
        </w:rPr>
      </w:pPr>
      <w:r>
        <w:rPr>
          <w:highlight w:val="none"/>
        </w:rPr>
        <w:t>日期：____年____月____日</w:t>
      </w:r>
    </w:p>
    <w:p>
      <w:pPr>
        <w:ind w:firstLine="480"/>
        <w:rPr>
          <w:highlight w:val="none"/>
        </w:rPr>
      </w:pPr>
    </w:p>
    <w:p>
      <w:pPr>
        <w:ind w:firstLine="480"/>
        <w:rPr>
          <w:highlight w:val="none"/>
        </w:rPr>
      </w:pPr>
      <w:r>
        <w:rPr>
          <w:highlight w:val="none"/>
        </w:rPr>
        <w:t>投诉书制作说明：</w:t>
      </w:r>
    </w:p>
    <w:p>
      <w:pPr>
        <w:ind w:firstLine="480"/>
        <w:rPr>
          <w:highlight w:val="none"/>
        </w:rPr>
      </w:pPr>
      <w:r>
        <w:rPr>
          <w:highlight w:val="none"/>
        </w:rPr>
        <w:t>1.投诉人提起投诉时，应当提交投诉书和必要的证明材料，并按照被投诉人和与投诉事项有关的供应商数量提供投诉书副本。</w:t>
      </w:r>
    </w:p>
    <w:p>
      <w:pPr>
        <w:ind w:firstLine="480"/>
        <w:rPr>
          <w:highlight w:val="none"/>
        </w:rPr>
      </w:pPr>
      <w:r>
        <w:rPr>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highlight w:val="none"/>
        </w:rPr>
      </w:pPr>
      <w:r>
        <w:rPr>
          <w:highlight w:val="none"/>
        </w:rPr>
        <w:t>3.投诉人若对项目的某一分包进行投诉，投诉书应列明具体分包号。</w:t>
      </w:r>
    </w:p>
    <w:p>
      <w:pPr>
        <w:ind w:firstLine="480"/>
        <w:rPr>
          <w:highlight w:val="none"/>
        </w:rPr>
      </w:pPr>
      <w:r>
        <w:rPr>
          <w:highlight w:val="none"/>
        </w:rPr>
        <w:t>4.投诉书应简要列明质疑事项，质疑函、质疑答复等作为附件材料提供。</w:t>
      </w:r>
    </w:p>
    <w:p>
      <w:pPr>
        <w:ind w:firstLine="480"/>
        <w:rPr>
          <w:highlight w:val="none"/>
        </w:rPr>
      </w:pPr>
      <w:r>
        <w:rPr>
          <w:highlight w:val="none"/>
        </w:rPr>
        <w:t>5.投诉书的投诉事项应具体、明确，并有必要的事实依据和法律依据。</w:t>
      </w:r>
    </w:p>
    <w:p>
      <w:pPr>
        <w:ind w:firstLine="480"/>
        <w:rPr>
          <w:highlight w:val="none"/>
        </w:rPr>
      </w:pPr>
      <w:r>
        <w:rPr>
          <w:highlight w:val="none"/>
        </w:rPr>
        <w:t>6.投诉书的投诉请求应与投诉事项相关。</w:t>
      </w:r>
    </w:p>
    <w:p>
      <w:pPr>
        <w:ind w:firstLine="480"/>
        <w:rPr>
          <w:highlight w:val="none"/>
        </w:rPr>
      </w:pPr>
      <w:r>
        <w:rPr>
          <w:highlight w:val="none"/>
        </w:rPr>
        <w:t>7.投诉人为自然人的，投诉书应当由本人签字；投诉人为法人或者其他组织的，投诉书应当由法定代表人、主要负责人，或者其授权代表签字或者盖章，并加盖公章。</w:t>
      </w:r>
    </w:p>
    <w:p>
      <w:pPr>
        <w:ind w:firstLine="480"/>
        <w:rPr>
          <w:highlight w:val="none"/>
        </w:rPr>
      </w:pPr>
    </w:p>
    <w:p>
      <w:pPr>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A9A88"/>
    <w:multiLevelType w:val="singleLevel"/>
    <w:tmpl w:val="92DA9A88"/>
    <w:lvl w:ilvl="0" w:tentative="0">
      <w:start w:val="1"/>
      <w:numFmt w:val="decimal"/>
      <w:suff w:val="nothing"/>
      <w:lvlText w:val="%1、"/>
      <w:lvlJc w:val="left"/>
    </w:lvl>
  </w:abstractNum>
  <w:abstractNum w:abstractNumId="1">
    <w:nsid w:val="BAEDDCCE"/>
    <w:multiLevelType w:val="singleLevel"/>
    <w:tmpl w:val="BAEDDCCE"/>
    <w:lvl w:ilvl="0" w:tentative="0">
      <w:start w:val="1"/>
      <w:numFmt w:val="decimal"/>
      <w:suff w:val="nothing"/>
      <w:lvlText w:val="（%1）"/>
      <w:lvlJc w:val="left"/>
      <w:rPr>
        <w:rFonts w:hint="default"/>
        <w:u w:val="none"/>
      </w:rPr>
    </w:lvl>
  </w:abstractNum>
  <w:abstractNum w:abstractNumId="2">
    <w:nsid w:val="21FC91BC"/>
    <w:multiLevelType w:val="singleLevel"/>
    <w:tmpl w:val="21FC91BC"/>
    <w:lvl w:ilvl="0" w:tentative="0">
      <w:start w:val="12"/>
      <w:numFmt w:val="decimal"/>
      <w:suff w:val="space"/>
      <w:lvlText w:val="%1."/>
      <w:lvlJc w:val="left"/>
    </w:lvl>
  </w:abstractNum>
  <w:abstractNum w:abstractNumId="3">
    <w:nsid w:val="43DC0987"/>
    <w:multiLevelType w:val="multilevel"/>
    <w:tmpl w:val="43DC0987"/>
    <w:lvl w:ilvl="0" w:tentative="0">
      <w:start w:val="1"/>
      <w:numFmt w:val="decimal"/>
      <w:lvlText w:val="%1."/>
      <w:lvlJc w:val="left"/>
      <w:pPr>
        <w:ind w:left="0" w:firstLine="0"/>
      </w:pPr>
      <w:rPr>
        <w:rFonts w:hint="eastAsia" w:ascii="宋体" w:hAnsi="仿宋" w:eastAsia="宋体"/>
        <w:b/>
        <w:bCs w:val="0"/>
        <w:i w:val="0"/>
        <w:iCs w:val="0"/>
        <w:caps w:val="0"/>
        <w:smallCaps w:val="0"/>
        <w:strike w:val="0"/>
        <w:dstrike w:val="0"/>
        <w:vanish w:val="0"/>
        <w:spacing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284" w:firstLine="0"/>
      </w:pPr>
      <w:rPr>
        <w:rFonts w:hint="eastAsia"/>
        <w:b/>
        <w:bCs w:val="0"/>
        <w:i w:val="0"/>
      </w:rPr>
    </w:lvl>
    <w:lvl w:ilvl="2" w:tentative="0">
      <w:start w:val="1"/>
      <w:numFmt w:val="decimal"/>
      <w:pStyle w:val="6"/>
      <w:lvlText w:val="%1.%2.%3."/>
      <w:lvlJc w:val="left"/>
      <w:pPr>
        <w:ind w:left="284" w:firstLine="0"/>
      </w:pPr>
      <w:rPr>
        <w:rFonts w:hint="eastAsia" w:ascii="宋体" w:hAnsi="仿宋" w:eastAsia="宋体"/>
        <w:b/>
        <w:i w:val="0"/>
        <w:sz w:val="24"/>
      </w:rPr>
    </w:lvl>
    <w:lvl w:ilvl="3" w:tentative="0">
      <w:start w:val="1"/>
      <w:numFmt w:val="decimal"/>
      <w:lvlText w:val="%1.%2.%3.%4."/>
      <w:lvlJc w:val="left"/>
      <w:pPr>
        <w:ind w:left="0" w:firstLine="0"/>
      </w:pPr>
      <w:rPr>
        <w:rFonts w:hint="eastAsia" w:ascii="宋体" w:hAnsi="仿宋"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77CC6249"/>
    <w:multiLevelType w:val="singleLevel"/>
    <w:tmpl w:val="77CC6249"/>
    <w:lvl w:ilvl="0" w:tentative="0">
      <w:start w:val="1"/>
      <w:numFmt w:val="decimal"/>
      <w:suff w:val="space"/>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23221"/>
    <w:rsid w:val="0006741E"/>
    <w:rsid w:val="00075EBE"/>
    <w:rsid w:val="00076DAB"/>
    <w:rsid w:val="000B3141"/>
    <w:rsid w:val="000C5E4D"/>
    <w:rsid w:val="000F1A16"/>
    <w:rsid w:val="00106025"/>
    <w:rsid w:val="00127900"/>
    <w:rsid w:val="0014659E"/>
    <w:rsid w:val="00155F5F"/>
    <w:rsid w:val="00175594"/>
    <w:rsid w:val="00183C0A"/>
    <w:rsid w:val="001A03A2"/>
    <w:rsid w:val="001C374C"/>
    <w:rsid w:val="001D6AEF"/>
    <w:rsid w:val="001E3F79"/>
    <w:rsid w:val="001F31B4"/>
    <w:rsid w:val="00221036"/>
    <w:rsid w:val="0025428C"/>
    <w:rsid w:val="002A4DB5"/>
    <w:rsid w:val="002E0D52"/>
    <w:rsid w:val="002E3AE4"/>
    <w:rsid w:val="002F28B4"/>
    <w:rsid w:val="00300DC1"/>
    <w:rsid w:val="0036198C"/>
    <w:rsid w:val="0037163A"/>
    <w:rsid w:val="00376517"/>
    <w:rsid w:val="003F121C"/>
    <w:rsid w:val="004227C6"/>
    <w:rsid w:val="004274A2"/>
    <w:rsid w:val="00442011"/>
    <w:rsid w:val="004B09F5"/>
    <w:rsid w:val="00526043"/>
    <w:rsid w:val="00526D26"/>
    <w:rsid w:val="00571846"/>
    <w:rsid w:val="00587D6E"/>
    <w:rsid w:val="005D01B6"/>
    <w:rsid w:val="005F3A85"/>
    <w:rsid w:val="00601EE3"/>
    <w:rsid w:val="0063756E"/>
    <w:rsid w:val="00664003"/>
    <w:rsid w:val="006779CA"/>
    <w:rsid w:val="006A3845"/>
    <w:rsid w:val="006D6232"/>
    <w:rsid w:val="00731DB5"/>
    <w:rsid w:val="007A1B33"/>
    <w:rsid w:val="007A5795"/>
    <w:rsid w:val="007B25C6"/>
    <w:rsid w:val="007C16D3"/>
    <w:rsid w:val="007E5DA6"/>
    <w:rsid w:val="00831DEE"/>
    <w:rsid w:val="008355FB"/>
    <w:rsid w:val="00846B01"/>
    <w:rsid w:val="008718A8"/>
    <w:rsid w:val="00872FC3"/>
    <w:rsid w:val="00876D8A"/>
    <w:rsid w:val="0088486C"/>
    <w:rsid w:val="008B0BB9"/>
    <w:rsid w:val="008D206F"/>
    <w:rsid w:val="00921FF1"/>
    <w:rsid w:val="00940DBE"/>
    <w:rsid w:val="00944B21"/>
    <w:rsid w:val="009926BD"/>
    <w:rsid w:val="009D758C"/>
    <w:rsid w:val="00A552E7"/>
    <w:rsid w:val="00A56032"/>
    <w:rsid w:val="00A72ED5"/>
    <w:rsid w:val="00AD1AE8"/>
    <w:rsid w:val="00AF7662"/>
    <w:rsid w:val="00B52438"/>
    <w:rsid w:val="00B660CA"/>
    <w:rsid w:val="00B7147E"/>
    <w:rsid w:val="00B86D13"/>
    <w:rsid w:val="00BC4700"/>
    <w:rsid w:val="00C017C5"/>
    <w:rsid w:val="00C2132E"/>
    <w:rsid w:val="00C269B7"/>
    <w:rsid w:val="00C738B9"/>
    <w:rsid w:val="00CB03EC"/>
    <w:rsid w:val="00D12D91"/>
    <w:rsid w:val="00D27EF0"/>
    <w:rsid w:val="00D523EB"/>
    <w:rsid w:val="00D62F24"/>
    <w:rsid w:val="00D7297E"/>
    <w:rsid w:val="00D74895"/>
    <w:rsid w:val="00D959D1"/>
    <w:rsid w:val="00DD0615"/>
    <w:rsid w:val="00DE332F"/>
    <w:rsid w:val="00DE6CD6"/>
    <w:rsid w:val="00DF4752"/>
    <w:rsid w:val="00E554B0"/>
    <w:rsid w:val="00E60C6F"/>
    <w:rsid w:val="00EB21DF"/>
    <w:rsid w:val="00EB3134"/>
    <w:rsid w:val="00EB79E3"/>
    <w:rsid w:val="00F1403B"/>
    <w:rsid w:val="00F35F36"/>
    <w:rsid w:val="00F576E1"/>
    <w:rsid w:val="00FA6138"/>
    <w:rsid w:val="00FE3C9E"/>
    <w:rsid w:val="00FE61E0"/>
    <w:rsid w:val="00FF4BA0"/>
    <w:rsid w:val="0262278B"/>
    <w:rsid w:val="045456C8"/>
    <w:rsid w:val="0B3C5D0B"/>
    <w:rsid w:val="0B701EA7"/>
    <w:rsid w:val="16344315"/>
    <w:rsid w:val="16D81DCE"/>
    <w:rsid w:val="177F50ED"/>
    <w:rsid w:val="18666E0F"/>
    <w:rsid w:val="1D525252"/>
    <w:rsid w:val="21723CB8"/>
    <w:rsid w:val="22B77EFC"/>
    <w:rsid w:val="22CA7D26"/>
    <w:rsid w:val="275D5599"/>
    <w:rsid w:val="28AD5CD3"/>
    <w:rsid w:val="2B17723C"/>
    <w:rsid w:val="2C6430E1"/>
    <w:rsid w:val="2E13270E"/>
    <w:rsid w:val="301701B2"/>
    <w:rsid w:val="338109BD"/>
    <w:rsid w:val="367A421B"/>
    <w:rsid w:val="3EA6765B"/>
    <w:rsid w:val="427A72D5"/>
    <w:rsid w:val="44E0102F"/>
    <w:rsid w:val="45576E6B"/>
    <w:rsid w:val="486A6B9C"/>
    <w:rsid w:val="48813FBB"/>
    <w:rsid w:val="4EF26FC9"/>
    <w:rsid w:val="4FAA3CD4"/>
    <w:rsid w:val="500F7FF9"/>
    <w:rsid w:val="53B52B8D"/>
    <w:rsid w:val="54F10AAD"/>
    <w:rsid w:val="55E31A0A"/>
    <w:rsid w:val="57877644"/>
    <w:rsid w:val="57DD69AB"/>
    <w:rsid w:val="595B172E"/>
    <w:rsid w:val="5A9713EB"/>
    <w:rsid w:val="5B1E4304"/>
    <w:rsid w:val="5C277E69"/>
    <w:rsid w:val="5F533BE2"/>
    <w:rsid w:val="61B22DAF"/>
    <w:rsid w:val="670037B0"/>
    <w:rsid w:val="67305070"/>
    <w:rsid w:val="6806487B"/>
    <w:rsid w:val="689C5E8C"/>
    <w:rsid w:val="6C51115E"/>
    <w:rsid w:val="6D2F782E"/>
    <w:rsid w:val="756807D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link w:val="28"/>
    <w:qFormat/>
    <w:uiPriority w:val="0"/>
    <w:pPr>
      <w:keepNext/>
      <w:keepLines/>
      <w:spacing w:before="260" w:after="260" w:line="1200" w:lineRule="exact"/>
      <w:jc w:val="center"/>
      <w:outlineLvl w:val="1"/>
    </w:pPr>
    <w:rPr>
      <w:rFonts w:ascii="Arial" w:hAnsi="Arial" w:eastAsia="宋体" w:cs="Times New Roman"/>
      <w:b/>
      <w:sz w:val="44"/>
      <w:szCs w:val="22"/>
    </w:rPr>
  </w:style>
  <w:style w:type="paragraph" w:styleId="4">
    <w:name w:val="heading 3"/>
    <w:basedOn w:val="1"/>
    <w:next w:val="1"/>
    <w:link w:val="29"/>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autoSpaceDE/>
      <w:autoSpaceDN/>
      <w:spacing w:line="360" w:lineRule="auto"/>
      <w:outlineLvl w:val="3"/>
    </w:pPr>
    <w:rPr>
      <w:rFonts w:asciiTheme="majorHAnsi" w:hAnsiTheme="majorHAnsi" w:cstheme="majorBidi"/>
      <w:b/>
      <w:bCs/>
      <w:kern w:val="2"/>
      <w:sz w:val="24"/>
      <w:szCs w:val="28"/>
    </w:rPr>
  </w:style>
  <w:style w:type="paragraph" w:styleId="6">
    <w:name w:val="heading 5"/>
    <w:basedOn w:val="1"/>
    <w:next w:val="1"/>
    <w:unhideWhenUsed/>
    <w:qFormat/>
    <w:uiPriority w:val="9"/>
    <w:pPr>
      <w:keepNext/>
      <w:keepLines/>
      <w:numPr>
        <w:ilvl w:val="2"/>
        <w:numId w:val="1"/>
      </w:numPr>
      <w:autoSpaceDE/>
      <w:autoSpaceDN/>
      <w:spacing w:line="360" w:lineRule="auto"/>
      <w:outlineLvl w:val="4"/>
    </w:pPr>
    <w:rPr>
      <w:rFonts w:asciiTheme="minorHAnsi" w:hAnsiTheme="minorHAnsi" w:cstheme="minorBidi"/>
      <w:bCs/>
      <w:kern w:val="2"/>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rPr>
      <w:rFonts w:ascii="Calibri" w:hAnsi="Calibri" w:eastAsia="宋体" w:cs="Times New Roman"/>
      <w:szCs w:val="22"/>
    </w:rPr>
  </w:style>
  <w:style w:type="paragraph" w:styleId="7">
    <w:name w:val="Normal Indent"/>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8">
    <w:name w:val="annotation text"/>
    <w:basedOn w:val="1"/>
    <w:link w:val="26"/>
    <w:qFormat/>
    <w:uiPriority w:val="99"/>
    <w:pPr>
      <w:jc w:val="left"/>
    </w:pPr>
    <w:rPr>
      <w:rFonts w:ascii="Times New Roman" w:hAnsi="Times New Roman" w:eastAsia="宋体" w:cs="Times New Roman"/>
      <w:lang w:val="zh-CN" w:eastAsia="zh-CN"/>
    </w:rPr>
  </w:style>
  <w:style w:type="paragraph" w:styleId="9">
    <w:name w:val="Plain Text"/>
    <w:basedOn w:val="1"/>
    <w:link w:val="27"/>
    <w:qFormat/>
    <w:uiPriority w:val="0"/>
    <w:rPr>
      <w:rFonts w:ascii="宋体" w:hAnsi="Courier New" w:eastAsia="宋体" w:cs="Times New Roman"/>
      <w:szCs w:val="22"/>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835"/>
      </w:tabs>
    </w:pPr>
    <w:rPr>
      <w:rFonts w:ascii="Calibri" w:hAnsi="Calibri" w:eastAsia="宋体" w:cs="Times New Roman"/>
      <w:szCs w:val="22"/>
    </w:rPr>
  </w:style>
  <w:style w:type="paragraph" w:styleId="13">
    <w:name w:val="Body Text First Indent"/>
    <w:basedOn w:val="2"/>
    <w:link w:val="31"/>
    <w:qFormat/>
    <w:uiPriority w:val="0"/>
    <w:pPr>
      <w:ind w:firstLine="420" w:firstLineChars="100"/>
    </w:pPr>
    <w:rPr>
      <w:rFonts w:asciiTheme="minorHAnsi" w:hAnsiTheme="minorHAnsi" w:eastAsiaTheme="minorEastAsia" w:cstheme="minorBidi"/>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rFonts w:hint="default" w:ascii="Tahoma" w:hAnsi="Tahoma" w:eastAsia="宋体" w:cs="Tahoma"/>
      <w:b/>
      <w:bCs/>
      <w:spacing w:val="10"/>
      <w:sz w:val="24"/>
      <w:lang w:val="en-US" w:eastAsia="zh-CN" w:bidi="ar-SA"/>
    </w:rPr>
  </w:style>
  <w:style w:type="character" w:customStyle="1" w:styleId="18">
    <w:name w:val="页眉 Char"/>
    <w:basedOn w:val="16"/>
    <w:link w:val="11"/>
    <w:qFormat/>
    <w:uiPriority w:val="0"/>
    <w:rPr>
      <w:kern w:val="2"/>
      <w:sz w:val="18"/>
      <w:szCs w:val="18"/>
    </w:rPr>
  </w:style>
  <w:style w:type="character" w:customStyle="1" w:styleId="19">
    <w:name w:val="页脚 Char"/>
    <w:basedOn w:val="16"/>
    <w:link w:val="10"/>
    <w:qFormat/>
    <w:uiPriority w:val="0"/>
    <w:rPr>
      <w:kern w:val="2"/>
      <w:sz w:val="18"/>
      <w:szCs w:val="18"/>
    </w:rPr>
  </w:style>
  <w:style w:type="character" w:customStyle="1" w:styleId="20">
    <w:name w:val="正文文本 Char"/>
    <w:basedOn w:val="16"/>
    <w:link w:val="2"/>
    <w:qFormat/>
    <w:uiPriority w:val="0"/>
    <w:rPr>
      <w:rFonts w:ascii="Calibri" w:hAnsi="Calibri" w:eastAsia="宋体" w:cs="Times New Roman"/>
      <w:kern w:val="2"/>
      <w:sz w:val="21"/>
      <w:szCs w:val="22"/>
    </w:rPr>
  </w:style>
  <w:style w:type="paragraph" w:styleId="21">
    <w:name w:val="List Paragraph"/>
    <w:basedOn w:val="1"/>
    <w:qFormat/>
    <w:uiPriority w:val="34"/>
    <w:pPr>
      <w:ind w:firstLine="420" w:firstLineChars="200"/>
    </w:pPr>
    <w:rPr>
      <w:rFonts w:ascii="Calibri" w:hAnsi="Calibri" w:eastAsia="宋体" w:cs="Times New Roman"/>
      <w:szCs w:val="22"/>
    </w:rPr>
  </w:style>
  <w:style w:type="paragraph" w:customStyle="1" w:styleId="22">
    <w:name w:val="列出段落1"/>
    <w:basedOn w:val="1"/>
    <w:qFormat/>
    <w:uiPriority w:val="0"/>
    <w:pPr>
      <w:spacing w:line="360" w:lineRule="auto"/>
      <w:ind w:firstLine="420" w:firstLineChars="200"/>
    </w:pPr>
    <w:rPr>
      <w:rFonts w:ascii="Calibri" w:hAnsi="Calibri" w:eastAsia="宋体" w:cs="Times New Roman"/>
      <w:szCs w:val="22"/>
    </w:rPr>
  </w:style>
  <w:style w:type="paragraph" w:customStyle="1" w:styleId="23">
    <w:name w:val="Table Paragraph"/>
    <w:basedOn w:val="1"/>
    <w:qFormat/>
    <w:uiPriority w:val="1"/>
    <w:pPr>
      <w:autoSpaceDE w:val="0"/>
      <w:autoSpaceDN w:val="0"/>
      <w:jc w:val="left"/>
    </w:pPr>
    <w:rPr>
      <w:rFonts w:ascii="宋体" w:hAnsi="宋体" w:eastAsia="宋体" w:cs="宋体"/>
      <w:kern w:val="0"/>
      <w:sz w:val="22"/>
      <w:szCs w:val="22"/>
      <w:lang w:eastAsia="en-US"/>
    </w:rPr>
  </w:style>
  <w:style w:type="character" w:customStyle="1" w:styleId="24">
    <w:name w:val="正文缩进2格 Char Char"/>
    <w:link w:val="25"/>
    <w:qFormat/>
    <w:uiPriority w:val="0"/>
    <w:rPr>
      <w:rFonts w:ascii="仿宋_GB2312" w:hAnsi="宋体" w:eastAsia="仿宋_GB2312"/>
      <w:sz w:val="31"/>
      <w:szCs w:val="28"/>
    </w:rPr>
  </w:style>
  <w:style w:type="paragraph" w:customStyle="1" w:styleId="25">
    <w:name w:val="正文缩进2格"/>
    <w:basedOn w:val="1"/>
    <w:link w:val="24"/>
    <w:qFormat/>
    <w:uiPriority w:val="99"/>
    <w:pPr>
      <w:spacing w:line="600" w:lineRule="exact"/>
      <w:ind w:firstLine="639" w:firstLineChars="206"/>
    </w:pPr>
    <w:rPr>
      <w:rFonts w:ascii="仿宋_GB2312" w:hAnsi="宋体" w:eastAsia="仿宋_GB2312"/>
      <w:kern w:val="0"/>
      <w:sz w:val="31"/>
      <w:szCs w:val="28"/>
    </w:rPr>
  </w:style>
  <w:style w:type="character" w:customStyle="1" w:styleId="26">
    <w:name w:val="批注文字 Char"/>
    <w:basedOn w:val="16"/>
    <w:link w:val="8"/>
    <w:qFormat/>
    <w:uiPriority w:val="99"/>
    <w:rPr>
      <w:rFonts w:ascii="Times New Roman" w:hAnsi="Times New Roman" w:eastAsia="宋体" w:cs="Times New Roman"/>
      <w:kern w:val="2"/>
      <w:sz w:val="21"/>
      <w:szCs w:val="24"/>
      <w:lang w:val="zh-CN" w:eastAsia="zh-CN"/>
    </w:rPr>
  </w:style>
  <w:style w:type="character" w:customStyle="1" w:styleId="27">
    <w:name w:val="纯文本 Char"/>
    <w:basedOn w:val="16"/>
    <w:link w:val="9"/>
    <w:qFormat/>
    <w:uiPriority w:val="0"/>
    <w:rPr>
      <w:rFonts w:ascii="宋体" w:hAnsi="Courier New" w:eastAsia="宋体" w:cs="Times New Roman"/>
      <w:kern w:val="2"/>
      <w:sz w:val="21"/>
      <w:szCs w:val="22"/>
    </w:rPr>
  </w:style>
  <w:style w:type="character" w:customStyle="1" w:styleId="28">
    <w:name w:val="标题 2 Char"/>
    <w:basedOn w:val="16"/>
    <w:link w:val="3"/>
    <w:qFormat/>
    <w:uiPriority w:val="0"/>
    <w:rPr>
      <w:rFonts w:ascii="Arial" w:hAnsi="Arial" w:eastAsia="宋体" w:cs="Times New Roman"/>
      <w:b/>
      <w:kern w:val="2"/>
      <w:sz w:val="44"/>
      <w:szCs w:val="22"/>
    </w:rPr>
  </w:style>
  <w:style w:type="character" w:customStyle="1" w:styleId="29">
    <w:name w:val="标题 3 Char"/>
    <w:basedOn w:val="16"/>
    <w:link w:val="4"/>
    <w:semiHidden/>
    <w:qFormat/>
    <w:uiPriority w:val="0"/>
    <w:rPr>
      <w:b/>
      <w:bCs/>
      <w:kern w:val="2"/>
      <w:sz w:val="32"/>
      <w:szCs w:val="32"/>
    </w:rPr>
  </w:style>
  <w:style w:type="paragraph" w:customStyle="1" w:styleId="30">
    <w:name w:val="表格文字"/>
    <w:basedOn w:val="1"/>
    <w:qFormat/>
    <w:uiPriority w:val="0"/>
    <w:pPr>
      <w:spacing w:before="25" w:after="25"/>
      <w:jc w:val="left"/>
    </w:pPr>
    <w:rPr>
      <w:rFonts w:ascii="Calibri" w:hAnsi="Calibri" w:eastAsia="宋体" w:cs="Times New Roman"/>
      <w:spacing w:val="10"/>
      <w:kern w:val="0"/>
      <w:sz w:val="24"/>
      <w:szCs w:val="22"/>
    </w:rPr>
  </w:style>
  <w:style w:type="character" w:customStyle="1" w:styleId="31">
    <w:name w:val="正文首行缩进 Char"/>
    <w:basedOn w:val="20"/>
    <w:link w:val="13"/>
    <w:qFormat/>
    <w:uiPriority w:val="0"/>
    <w:rPr>
      <w:rFonts w:ascii="Calibri" w:hAnsi="Calibri" w:eastAsia="宋体" w:cs="Times New Roman"/>
      <w:kern w:val="2"/>
      <w:sz w:val="21"/>
      <w:szCs w:val="24"/>
    </w:rPr>
  </w:style>
  <w:style w:type="paragraph" w:customStyle="1" w:styleId="32">
    <w:name w:val="列出段落2"/>
    <w:basedOn w:val="1"/>
    <w:qFormat/>
    <w:uiPriority w:val="34"/>
    <w:pPr>
      <w:ind w:firstLine="420" w:firstLineChars="200"/>
    </w:pPr>
    <w:rPr>
      <w:rFonts w:ascii="Calibri" w:hAnsi="Calibri" w:eastAsia="宋体" w:cs="Times New Roman"/>
      <w:szCs w:val="22"/>
    </w:rPr>
  </w:style>
  <w:style w:type="table" w:customStyle="1" w:styleId="33">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47775</Words>
  <Characters>11065</Characters>
  <Lines>92</Lines>
  <Paragraphs>117</Paragraphs>
  <TotalTime>0</TotalTime>
  <ScaleCrop>false</ScaleCrop>
  <LinksUpToDate>false</LinksUpToDate>
  <CharactersWithSpaces>58723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2022-09-15T03:28:00Z</dcterms:created>
  <dc:creator>五块钱</dc:creator>
  <cp:lastModifiedBy>lenovo</cp:lastModifiedBy>
  <cp:lastPrinted>2022-09-16T03:52:00Z</cp:lastPrinted>
  <dcterms:modified xsi:type="dcterms:W3CDTF">2023-04-20T02:19:55Z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