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hint="eastAsia" w:ascii="Times New Roman" w:hAnsi="Times New Roman" w:eastAsia="黑体"/>
          <w:sz w:val="32"/>
          <w:szCs w:val="32"/>
        </w:rPr>
        <w:t>1</w:t>
      </w:r>
    </w:p>
    <w:p>
      <w:pPr>
        <w:pStyle w:val="23"/>
        <w:ind w:firstLine="480"/>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重点任务分工表</w:t>
      </w:r>
    </w:p>
    <w:p>
      <w:pPr>
        <w:pStyle w:val="23"/>
        <w:ind w:firstLine="480"/>
        <w:rPr>
          <w:rFonts w:hint="eastAsia" w:ascii="黑体" w:hAnsi="黑体" w:eastAsia="黑体" w:cs="黑体"/>
          <w:szCs w:val="24"/>
        </w:rPr>
      </w:pPr>
    </w:p>
    <w:tbl>
      <w:tblPr>
        <w:tblStyle w:val="11"/>
        <w:tblW w:w="14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1354"/>
        <w:gridCol w:w="6270"/>
        <w:gridCol w:w="1773"/>
        <w:gridCol w:w="1346"/>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blHeader/>
          <w:jc w:val="center"/>
        </w:trPr>
        <w:tc>
          <w:tcPr>
            <w:tcW w:w="1767" w:type="dxa"/>
            <w:noWrap w:val="0"/>
            <w:vAlign w:val="center"/>
          </w:tcPr>
          <w:p>
            <w:pPr>
              <w:jc w:val="center"/>
              <w:rPr>
                <w:rFonts w:hint="eastAsia" w:ascii="黑体" w:hAnsi="黑体" w:eastAsia="黑体" w:cs="黑体"/>
                <w:szCs w:val="21"/>
              </w:rPr>
            </w:pPr>
            <w:r>
              <w:rPr>
                <w:rFonts w:hint="eastAsia" w:ascii="黑体" w:hAnsi="黑体" w:eastAsia="黑体" w:cs="黑体"/>
                <w:szCs w:val="21"/>
              </w:rPr>
              <w:t>重点任务</w:t>
            </w:r>
          </w:p>
        </w:tc>
        <w:tc>
          <w:tcPr>
            <w:tcW w:w="1354" w:type="dxa"/>
            <w:noWrap w:val="0"/>
            <w:vAlign w:val="center"/>
          </w:tcPr>
          <w:p>
            <w:pPr>
              <w:bidi/>
              <w:ind w:left="0" w:right="0"/>
              <w:jc w:val="center"/>
              <w:rPr>
                <w:rFonts w:hint="eastAsia" w:ascii="黑体" w:hAnsi="黑体" w:eastAsia="黑体" w:cs="黑体"/>
                <w:szCs w:val="21"/>
              </w:rPr>
            </w:pPr>
            <w:r>
              <w:rPr>
                <w:rFonts w:hint="eastAsia" w:ascii="黑体" w:hAnsi="黑体" w:eastAsia="黑体" w:cs="黑体"/>
                <w:szCs w:val="21"/>
              </w:rPr>
              <w:t>子项编号</w:t>
            </w:r>
          </w:p>
        </w:tc>
        <w:tc>
          <w:tcPr>
            <w:tcW w:w="6270" w:type="dxa"/>
            <w:noWrap w:val="0"/>
            <w:vAlign w:val="center"/>
          </w:tcPr>
          <w:p>
            <w:pPr>
              <w:jc w:val="center"/>
              <w:rPr>
                <w:rFonts w:hint="eastAsia" w:ascii="黑体" w:hAnsi="黑体" w:eastAsia="黑体" w:cs="黑体"/>
                <w:szCs w:val="21"/>
              </w:rPr>
            </w:pPr>
            <w:r>
              <w:rPr>
                <w:rFonts w:hint="eastAsia" w:ascii="黑体" w:hAnsi="黑体" w:eastAsia="黑体" w:cs="黑体"/>
                <w:szCs w:val="21"/>
              </w:rPr>
              <w:t>任务目标及工作内容</w:t>
            </w:r>
          </w:p>
        </w:tc>
        <w:tc>
          <w:tcPr>
            <w:tcW w:w="1773" w:type="dxa"/>
            <w:noWrap w:val="0"/>
            <w:vAlign w:val="center"/>
          </w:tcPr>
          <w:p>
            <w:pPr>
              <w:jc w:val="center"/>
              <w:rPr>
                <w:rFonts w:hint="eastAsia" w:ascii="黑体" w:hAnsi="黑体" w:eastAsia="黑体" w:cs="黑体"/>
                <w:szCs w:val="21"/>
              </w:rPr>
            </w:pPr>
            <w:r>
              <w:rPr>
                <w:rFonts w:hint="eastAsia" w:ascii="黑体" w:hAnsi="黑体" w:eastAsia="黑体" w:cs="黑体"/>
                <w:szCs w:val="21"/>
              </w:rPr>
              <w:t>牵头单位</w:t>
            </w:r>
          </w:p>
        </w:tc>
        <w:tc>
          <w:tcPr>
            <w:tcW w:w="1346" w:type="dxa"/>
            <w:noWrap w:val="0"/>
            <w:vAlign w:val="center"/>
          </w:tcPr>
          <w:p>
            <w:pPr>
              <w:jc w:val="center"/>
              <w:rPr>
                <w:rFonts w:hint="eastAsia" w:ascii="黑体" w:hAnsi="黑体" w:eastAsia="黑体" w:cs="黑体"/>
                <w:szCs w:val="21"/>
              </w:rPr>
            </w:pPr>
            <w:r>
              <w:rPr>
                <w:rFonts w:hint="eastAsia" w:ascii="黑体" w:hAnsi="黑体" w:eastAsia="黑体" w:cs="黑体"/>
                <w:szCs w:val="21"/>
              </w:rPr>
              <w:t>完成时限</w:t>
            </w:r>
          </w:p>
        </w:tc>
        <w:tc>
          <w:tcPr>
            <w:tcW w:w="2207" w:type="dxa"/>
            <w:noWrap w:val="0"/>
            <w:vAlign w:val="center"/>
          </w:tcPr>
          <w:p>
            <w:pPr>
              <w:jc w:val="center"/>
              <w:rPr>
                <w:rFonts w:hint="eastAsia" w:ascii="黑体" w:hAnsi="黑体" w:eastAsia="黑体" w:cs="黑体"/>
                <w:szCs w:val="21"/>
              </w:rPr>
            </w:pPr>
            <w:r>
              <w:rPr>
                <w:rFonts w:hint="eastAsia" w:ascii="黑体" w:hAnsi="黑体" w:eastAsia="黑体" w:cs="黑体"/>
                <w:szCs w:val="21"/>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767" w:type="dxa"/>
            <w:noWrap w:val="0"/>
            <w:vAlign w:val="center"/>
          </w:tcPr>
          <w:p>
            <w:pPr>
              <w:numPr>
                <w:ilvl w:val="0"/>
                <w:numId w:val="2"/>
              </w:numPr>
              <w:rPr>
                <w:rFonts w:ascii="Times New Roman" w:hAnsi="Times New Roman" w:eastAsia="仿宋_GB2312"/>
                <w:szCs w:val="21"/>
              </w:rPr>
            </w:pPr>
            <w:r>
              <w:rPr>
                <w:rFonts w:hint="eastAsia" w:ascii="Times New Roman" w:hAnsi="Times New Roman" w:eastAsia="仿宋_GB2312"/>
                <w:szCs w:val="21"/>
              </w:rPr>
              <w:t>升级改造涉气产业</w:t>
            </w:r>
          </w:p>
        </w:tc>
        <w:tc>
          <w:tcPr>
            <w:tcW w:w="1354" w:type="dxa"/>
            <w:noWrap w:val="0"/>
            <w:vAlign w:val="center"/>
          </w:tcPr>
          <w:p>
            <w:pPr>
              <w:numPr>
                <w:ilvl w:val="0"/>
                <w:numId w:val="3"/>
              </w:numPr>
              <w:bidi/>
              <w:ind w:left="0" w:right="0"/>
              <w:jc w:val="center"/>
              <w:rPr>
                <w:rFonts w:ascii="Times New Roman" w:hAnsi="Times New Roman" w:eastAsia="仿宋_GB2312"/>
                <w:szCs w:val="21"/>
              </w:rPr>
            </w:pPr>
          </w:p>
        </w:tc>
        <w:tc>
          <w:tcPr>
            <w:tcW w:w="6270"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在满足我镇能源保供需求基础上，合理调整全镇储油库布局、数量，压减非必要仓储库容，引导布局设置不合理、经营不规范的储油库退出。</w:t>
            </w:r>
          </w:p>
        </w:tc>
        <w:tc>
          <w:tcPr>
            <w:tcW w:w="1773" w:type="dxa"/>
            <w:noWrap w:val="0"/>
            <w:vAlign w:val="center"/>
          </w:tcPr>
          <w:p>
            <w:pPr>
              <w:jc w:val="center"/>
              <w:rPr>
                <w:rFonts w:ascii="Times New Roman" w:hAnsi="Times New Roman" w:eastAsia="仿宋_GB2312"/>
                <w:szCs w:val="21"/>
              </w:rPr>
            </w:pPr>
            <w:r>
              <w:rPr>
                <w:rFonts w:hint="eastAsia" w:ascii="Times New Roman" w:hAnsi="Times New Roman" w:eastAsia="仿宋_GB2312"/>
                <w:szCs w:val="21"/>
              </w:rPr>
              <w:t>经济发展</w:t>
            </w:r>
            <w:r>
              <w:rPr>
                <w:rFonts w:ascii="Times New Roman" w:hAnsi="Times New Roman" w:eastAsia="仿宋_GB2312"/>
                <w:szCs w:val="21"/>
              </w:rPr>
              <w:t>局</w:t>
            </w:r>
          </w:p>
        </w:tc>
        <w:tc>
          <w:tcPr>
            <w:tcW w:w="1346" w:type="dxa"/>
            <w:noWrap w:val="0"/>
            <w:vAlign w:val="center"/>
          </w:tcPr>
          <w:p>
            <w:pPr>
              <w:jc w:val="center"/>
              <w:rPr>
                <w:rFonts w:ascii="Times New Roman" w:hAnsi="Times New Roman" w:eastAsia="仿宋_GB2312"/>
                <w:szCs w:val="21"/>
              </w:rPr>
            </w:pPr>
            <w:r>
              <w:rPr>
                <w:rFonts w:ascii="Times New Roman" w:hAnsi="Times New Roman" w:eastAsia="仿宋_GB2312"/>
                <w:szCs w:val="21"/>
              </w:rPr>
              <w:t>持续落实</w:t>
            </w:r>
          </w:p>
        </w:tc>
        <w:tc>
          <w:tcPr>
            <w:tcW w:w="2207" w:type="dxa"/>
            <w:noWrap w:val="0"/>
            <w:vAlign w:val="center"/>
          </w:tcPr>
          <w:p>
            <w:pPr>
              <w:rPr>
                <w:rFonts w:hint="eastAsia" w:ascii="Times New Roman" w:hAnsi="Times New Roman" w:eastAsia="仿宋_GB2312"/>
                <w:szCs w:val="21"/>
              </w:rPr>
            </w:pPr>
            <w:r>
              <w:rPr>
                <w:rFonts w:ascii="Times New Roman" w:hAnsi="Times New Roman" w:eastAsia="仿宋_GB2312"/>
                <w:szCs w:val="21"/>
              </w:rPr>
              <w:t>公安分局、自然资源分局、生态环境分局、交通分局、应急管理分局、市场监管分局、税务分局</w:t>
            </w:r>
            <w:r>
              <w:rPr>
                <w:rFonts w:hint="eastAsia" w:ascii="Times New Roman" w:hAnsi="Times New Roman" w:eastAsia="仿宋_GB2312"/>
                <w:szCs w:val="21"/>
              </w:rPr>
              <w:t>、</w:t>
            </w:r>
            <w:r>
              <w:rPr>
                <w:rFonts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767" w:type="dxa"/>
            <w:noWrap w:val="0"/>
            <w:vAlign w:val="center"/>
          </w:tcPr>
          <w:p>
            <w:pPr>
              <w:numPr>
                <w:ilvl w:val="0"/>
                <w:numId w:val="2"/>
              </w:numPr>
              <w:rPr>
                <w:rFonts w:ascii="Times New Roman" w:hAnsi="Times New Roman" w:eastAsia="仿宋_GB2312"/>
                <w:szCs w:val="21"/>
              </w:rPr>
            </w:pPr>
            <w:r>
              <w:rPr>
                <w:rFonts w:hint="eastAsia" w:ascii="Times New Roman" w:hAnsi="Times New Roman" w:eastAsia="仿宋_GB2312"/>
                <w:szCs w:val="21"/>
              </w:rPr>
              <w:t>加快“绿岛”项目建设</w:t>
            </w:r>
          </w:p>
        </w:tc>
        <w:tc>
          <w:tcPr>
            <w:tcW w:w="1354" w:type="dxa"/>
            <w:noWrap w:val="0"/>
            <w:vAlign w:val="center"/>
          </w:tcPr>
          <w:p>
            <w:pPr>
              <w:numPr>
                <w:ilvl w:val="0"/>
                <w:numId w:val="3"/>
              </w:numPr>
              <w:bidi/>
              <w:ind w:left="0" w:right="0"/>
              <w:jc w:val="center"/>
              <w:rPr>
                <w:rFonts w:ascii="Times New Roman" w:hAnsi="Times New Roman" w:eastAsia="仿宋_GB2312"/>
                <w:szCs w:val="21"/>
              </w:rPr>
            </w:pPr>
          </w:p>
        </w:tc>
        <w:tc>
          <w:tcPr>
            <w:tcW w:w="6270"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大力推广可再生活性炭，2023年6月底前推动4家重点企业使用可再生活性炭。</w:t>
            </w:r>
          </w:p>
        </w:tc>
        <w:tc>
          <w:tcPr>
            <w:tcW w:w="1773" w:type="dxa"/>
            <w:noWrap w:val="0"/>
            <w:vAlign w:val="center"/>
          </w:tcPr>
          <w:p>
            <w:pPr>
              <w:jc w:val="center"/>
              <w:rPr>
                <w:rFonts w:hint="eastAsia" w:ascii="Times New Roman" w:hAnsi="Times New Roman" w:eastAsia="仿宋_GB2312"/>
                <w:szCs w:val="21"/>
              </w:rPr>
            </w:pPr>
            <w:r>
              <w:rPr>
                <w:rFonts w:ascii="Times New Roman" w:hAnsi="Times New Roman" w:eastAsia="仿宋_GB2312"/>
                <w:szCs w:val="21"/>
              </w:rPr>
              <w:t>生态环境分局</w:t>
            </w:r>
          </w:p>
        </w:tc>
        <w:tc>
          <w:tcPr>
            <w:tcW w:w="1346"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2022年6月底</w:t>
            </w:r>
          </w:p>
        </w:tc>
        <w:tc>
          <w:tcPr>
            <w:tcW w:w="2207" w:type="dxa"/>
            <w:noWrap w:val="0"/>
            <w:vAlign w:val="center"/>
          </w:tcPr>
          <w:p>
            <w:pPr>
              <w:rPr>
                <w:rFonts w:hint="eastAsia" w:ascii="Times New Roman" w:hAnsi="Times New Roman" w:eastAsia="仿宋_GB2312"/>
                <w:szCs w:val="21"/>
              </w:rPr>
            </w:pPr>
            <w:r>
              <w:rPr>
                <w:rFonts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767" w:type="dxa"/>
            <w:vMerge w:val="restart"/>
            <w:noWrap w:val="0"/>
            <w:vAlign w:val="center"/>
          </w:tcPr>
          <w:p>
            <w:pPr>
              <w:numPr>
                <w:ilvl w:val="0"/>
                <w:numId w:val="2"/>
              </w:numPr>
              <w:rPr>
                <w:rFonts w:ascii="Times New Roman" w:hAnsi="Times New Roman" w:eastAsia="仿宋_GB2312"/>
                <w:szCs w:val="21"/>
              </w:rPr>
            </w:pPr>
            <w:r>
              <w:rPr>
                <w:rFonts w:hint="eastAsia" w:ascii="Times New Roman" w:hAnsi="Times New Roman" w:eastAsia="仿宋_GB2312"/>
                <w:szCs w:val="21"/>
              </w:rPr>
              <w:t>实施低VOCS含量原辅材料替代</w:t>
            </w:r>
          </w:p>
        </w:tc>
        <w:tc>
          <w:tcPr>
            <w:tcW w:w="1354" w:type="dxa"/>
            <w:noWrap w:val="0"/>
            <w:vAlign w:val="center"/>
          </w:tcPr>
          <w:p>
            <w:pPr>
              <w:numPr>
                <w:ilvl w:val="0"/>
                <w:numId w:val="3"/>
              </w:numPr>
              <w:bidi/>
              <w:ind w:left="0" w:right="0"/>
              <w:jc w:val="center"/>
              <w:rPr>
                <w:rFonts w:ascii="Times New Roman" w:hAnsi="Times New Roman" w:eastAsia="仿宋_GB2312"/>
                <w:szCs w:val="21"/>
              </w:rPr>
            </w:pPr>
          </w:p>
        </w:tc>
        <w:tc>
          <w:tcPr>
            <w:tcW w:w="6270"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家具制造、包装印刷行业基本实现低VOCs含量原辅材料替代。</w:t>
            </w:r>
          </w:p>
        </w:tc>
        <w:tc>
          <w:tcPr>
            <w:tcW w:w="1773"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局、经济发展局</w:t>
            </w:r>
          </w:p>
        </w:tc>
        <w:tc>
          <w:tcPr>
            <w:tcW w:w="1346" w:type="dxa"/>
            <w:noWrap w:val="0"/>
            <w:vAlign w:val="center"/>
          </w:tcPr>
          <w:p>
            <w:pPr>
              <w:jc w:val="center"/>
              <w:rPr>
                <w:rFonts w:ascii="Times New Roman" w:hAnsi="Times New Roman" w:eastAsia="仿宋_GB2312"/>
                <w:szCs w:val="21"/>
              </w:rPr>
            </w:pPr>
            <w:r>
              <w:rPr>
                <w:rFonts w:ascii="Times New Roman" w:hAnsi="Times New Roman" w:eastAsia="仿宋_GB2312"/>
                <w:szCs w:val="21"/>
              </w:rPr>
              <w:t>2023</w:t>
            </w:r>
            <w:r>
              <w:rPr>
                <w:rFonts w:hint="eastAsia" w:ascii="Times New Roman" w:hAnsi="Times New Roman" w:eastAsia="仿宋_GB2312"/>
                <w:szCs w:val="21"/>
              </w:rPr>
              <w:t>年3月</w:t>
            </w:r>
            <w:r>
              <w:rPr>
                <w:rFonts w:ascii="Times New Roman" w:hAnsi="Times New Roman" w:eastAsia="仿宋_GB2312"/>
                <w:szCs w:val="21"/>
              </w:rPr>
              <w:t>底</w:t>
            </w:r>
            <w:r>
              <w:rPr>
                <w:rFonts w:hint="eastAsia" w:ascii="Times New Roman" w:hAnsi="Times New Roman" w:eastAsia="仿宋_GB2312"/>
                <w:szCs w:val="21"/>
              </w:rPr>
              <w:t>前</w:t>
            </w:r>
          </w:p>
        </w:tc>
        <w:tc>
          <w:tcPr>
            <w:tcW w:w="2207" w:type="dxa"/>
            <w:noWrap w:val="0"/>
            <w:vAlign w:val="center"/>
          </w:tcPr>
          <w:p>
            <w:pPr>
              <w:rPr>
                <w:rFonts w:hint="eastAsia" w:ascii="Times New Roman" w:hAnsi="Times New Roman" w:eastAsia="仿宋_GB2312"/>
                <w:szCs w:val="21"/>
              </w:rPr>
            </w:pP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767" w:type="dxa"/>
            <w:vMerge w:val="continue"/>
            <w:noWrap w:val="0"/>
            <w:vAlign w:val="center"/>
          </w:tcPr>
          <w:p>
            <w:pPr>
              <w:ind w:left="425" w:hanging="425"/>
              <w:rPr>
                <w:rFonts w:ascii="Times New Roman" w:hAnsi="Times New Roman" w:eastAsia="仿宋_GB2312"/>
                <w:szCs w:val="21"/>
              </w:rPr>
            </w:pPr>
          </w:p>
        </w:tc>
        <w:tc>
          <w:tcPr>
            <w:tcW w:w="1354" w:type="dxa"/>
            <w:noWrap w:val="0"/>
            <w:vAlign w:val="center"/>
          </w:tcPr>
          <w:p>
            <w:pPr>
              <w:numPr>
                <w:ilvl w:val="0"/>
                <w:numId w:val="3"/>
              </w:numPr>
              <w:bidi/>
              <w:ind w:left="0" w:right="0"/>
              <w:jc w:val="center"/>
              <w:rPr>
                <w:rFonts w:ascii="Times New Roman" w:hAnsi="Times New Roman" w:eastAsia="仿宋_GB2312"/>
                <w:szCs w:val="21"/>
              </w:rPr>
            </w:pPr>
          </w:p>
        </w:tc>
        <w:tc>
          <w:tcPr>
            <w:tcW w:w="6270"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全面摸底电子元件制造、橡胶和塑料制品（含表面涂装工序）、制鞋等重点行业企业低VOCs含量原辅材料替代现状，推动使用溶剂型涂料、油墨、胶粘剂、清洗剂的企业实现应替尽替。</w:t>
            </w:r>
          </w:p>
        </w:tc>
        <w:tc>
          <w:tcPr>
            <w:tcW w:w="1773" w:type="dxa"/>
            <w:noWrap w:val="0"/>
            <w:vAlign w:val="center"/>
          </w:tcPr>
          <w:p>
            <w:pPr>
              <w:jc w:val="center"/>
              <w:rPr>
                <w:rFonts w:hint="eastAsia" w:ascii="Times New Roman" w:hAnsi="Times New Roman" w:eastAsia="仿宋_GB2312"/>
                <w:b/>
                <w:bCs/>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r>
              <w:rPr>
                <w:rFonts w:hint="eastAsia" w:ascii="Times New Roman" w:hAnsi="Times New Roman" w:eastAsia="仿宋_GB2312"/>
                <w:szCs w:val="21"/>
              </w:rPr>
              <w:t>、经济发展局</w:t>
            </w:r>
          </w:p>
        </w:tc>
        <w:tc>
          <w:tcPr>
            <w:tcW w:w="1346" w:type="dxa"/>
            <w:noWrap w:val="0"/>
            <w:vAlign w:val="center"/>
          </w:tcPr>
          <w:p>
            <w:pPr>
              <w:jc w:val="center"/>
              <w:rPr>
                <w:rFonts w:ascii="Times New Roman" w:hAnsi="Times New Roman" w:eastAsia="仿宋_GB2312"/>
                <w:szCs w:val="21"/>
              </w:rPr>
            </w:pPr>
            <w:r>
              <w:rPr>
                <w:rFonts w:ascii="Times New Roman" w:hAnsi="Times New Roman" w:eastAsia="仿宋_GB2312"/>
                <w:szCs w:val="21"/>
              </w:rPr>
              <w:t>按节点推进、202</w:t>
            </w:r>
            <w:r>
              <w:rPr>
                <w:rFonts w:hint="eastAsia" w:ascii="Times New Roman" w:hAnsi="Times New Roman" w:eastAsia="仿宋_GB2312"/>
                <w:szCs w:val="21"/>
              </w:rPr>
              <w:t>3</w:t>
            </w:r>
            <w:r>
              <w:rPr>
                <w:rFonts w:ascii="Times New Roman" w:hAnsi="Times New Roman" w:eastAsia="仿宋_GB2312"/>
                <w:szCs w:val="21"/>
              </w:rPr>
              <w:t>年底全部完成</w:t>
            </w:r>
          </w:p>
        </w:tc>
        <w:tc>
          <w:tcPr>
            <w:tcW w:w="2207" w:type="dxa"/>
            <w:noWrap w:val="0"/>
            <w:vAlign w:val="center"/>
          </w:tcPr>
          <w:p>
            <w:pPr>
              <w:rPr>
                <w:rFonts w:hint="eastAsia" w:ascii="Times New Roman" w:hAnsi="Times New Roman" w:eastAsia="仿宋_GB2312"/>
                <w:szCs w:val="21"/>
              </w:rPr>
            </w:pPr>
            <w:r>
              <w:rPr>
                <w:rFonts w:ascii="Times New Roman" w:hAnsi="Times New Roman" w:eastAsia="仿宋_GB2312"/>
                <w:szCs w:val="21"/>
              </w:rPr>
              <w:t>交通</w:t>
            </w:r>
            <w:r>
              <w:rPr>
                <w:rFonts w:hint="eastAsia" w:ascii="Times New Roman" w:hAnsi="Times New Roman" w:eastAsia="仿宋_GB2312"/>
                <w:szCs w:val="21"/>
              </w:rPr>
              <w:t>分</w:t>
            </w:r>
            <w:r>
              <w:rPr>
                <w:rFonts w:ascii="Times New Roman" w:hAnsi="Times New Roman" w:eastAsia="仿宋_GB2312"/>
                <w:szCs w:val="21"/>
              </w:rPr>
              <w:t>局</w:t>
            </w: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767" w:type="dxa"/>
            <w:vMerge w:val="continue"/>
            <w:noWrap w:val="0"/>
            <w:vAlign w:val="center"/>
          </w:tcPr>
          <w:p>
            <w:pPr>
              <w:ind w:left="425" w:hanging="425"/>
              <w:rPr>
                <w:rFonts w:ascii="Times New Roman" w:hAnsi="Times New Roman" w:eastAsia="仿宋_GB2312"/>
                <w:szCs w:val="21"/>
              </w:rPr>
            </w:pPr>
          </w:p>
        </w:tc>
        <w:tc>
          <w:tcPr>
            <w:tcW w:w="1354" w:type="dxa"/>
            <w:noWrap w:val="0"/>
            <w:vAlign w:val="center"/>
          </w:tcPr>
          <w:p>
            <w:pPr>
              <w:numPr>
                <w:ilvl w:val="0"/>
                <w:numId w:val="3"/>
              </w:numPr>
              <w:bidi/>
              <w:ind w:left="0" w:right="0"/>
              <w:jc w:val="center"/>
              <w:rPr>
                <w:rFonts w:ascii="Times New Roman" w:hAnsi="Times New Roman" w:eastAsia="仿宋_GB2312"/>
                <w:szCs w:val="21"/>
              </w:rPr>
            </w:pPr>
          </w:p>
        </w:tc>
        <w:tc>
          <w:tcPr>
            <w:tcW w:w="6270" w:type="dxa"/>
            <w:noWrap w:val="0"/>
            <w:vAlign w:val="center"/>
          </w:tcPr>
          <w:p>
            <w:pPr>
              <w:widowControl/>
              <w:ind w:firstLine="420" w:firstLineChars="200"/>
              <w:rPr>
                <w:rFonts w:ascii="Times New Roman" w:hAnsi="Times New Roman" w:eastAsia="仿宋_GB2312"/>
                <w:szCs w:val="21"/>
              </w:rPr>
            </w:pPr>
            <w:r>
              <w:rPr>
                <w:rFonts w:ascii="Times New Roman" w:hAnsi="Times New Roman" w:eastAsia="仿宋_GB2312"/>
                <w:szCs w:val="21"/>
                <w:lang w:bidi="ar"/>
              </w:rPr>
              <w:t>市场监管部门要严格按照产品VOCs含量限值和有害物质限量标准要求，组织开展产品质量监督抽查，依法查处生产、销售VOCs含量不符合质量标准的原材料和产品的行为。2023年3月底前，建立全</w:t>
            </w:r>
            <w:r>
              <w:rPr>
                <w:rFonts w:hint="eastAsia" w:ascii="Times New Roman" w:hAnsi="Times New Roman" w:eastAsia="仿宋_GB2312"/>
                <w:szCs w:val="21"/>
                <w:lang w:bidi="ar"/>
              </w:rPr>
              <w:t>镇</w:t>
            </w:r>
            <w:r>
              <w:rPr>
                <w:rFonts w:ascii="Times New Roman" w:hAnsi="Times New Roman" w:eastAsia="仿宋_GB2312"/>
                <w:szCs w:val="21"/>
                <w:lang w:bidi="ar"/>
              </w:rPr>
              <w:t>涂料、油墨、胶粘剂、清洗剂等原辅材料生产企业名录，每季度抽查比例不低于25%，年底前完成全覆盖检查。</w:t>
            </w:r>
          </w:p>
        </w:tc>
        <w:tc>
          <w:tcPr>
            <w:tcW w:w="1773"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市场监管分局</w:t>
            </w:r>
          </w:p>
        </w:tc>
        <w:tc>
          <w:tcPr>
            <w:tcW w:w="1346" w:type="dxa"/>
            <w:noWrap w:val="0"/>
            <w:vAlign w:val="center"/>
          </w:tcPr>
          <w:p>
            <w:pPr>
              <w:jc w:val="center"/>
              <w:rPr>
                <w:rFonts w:ascii="Times New Roman" w:hAnsi="Times New Roman" w:eastAsia="仿宋_GB2312"/>
                <w:szCs w:val="21"/>
              </w:rPr>
            </w:pPr>
            <w:r>
              <w:rPr>
                <w:rFonts w:ascii="Times New Roman" w:hAnsi="Times New Roman" w:eastAsia="仿宋_GB2312"/>
                <w:szCs w:val="21"/>
              </w:rPr>
              <w:t>按节点推进、202</w:t>
            </w:r>
            <w:r>
              <w:rPr>
                <w:rFonts w:hint="eastAsia" w:ascii="Times New Roman" w:hAnsi="Times New Roman" w:eastAsia="仿宋_GB2312"/>
                <w:szCs w:val="21"/>
              </w:rPr>
              <w:t>3</w:t>
            </w:r>
            <w:r>
              <w:rPr>
                <w:rFonts w:ascii="Times New Roman" w:hAnsi="Times New Roman" w:eastAsia="仿宋_GB2312"/>
                <w:szCs w:val="21"/>
              </w:rPr>
              <w:t>年底全部完成</w:t>
            </w:r>
          </w:p>
        </w:tc>
        <w:tc>
          <w:tcPr>
            <w:tcW w:w="2207" w:type="dxa"/>
            <w:noWrap w:val="0"/>
            <w:vAlign w:val="center"/>
          </w:tcPr>
          <w:p>
            <w:pPr>
              <w:rPr>
                <w:rFonts w:hint="eastAsia" w:ascii="Times New Roman" w:hAnsi="Times New Roman" w:eastAsia="仿宋_GB2312"/>
                <w:szCs w:val="21"/>
              </w:rPr>
            </w:pPr>
            <w:r>
              <w:rPr>
                <w:rFonts w:hint="eastAsia" w:ascii="Times New Roman" w:hAnsi="Times New Roman" w:eastAsia="仿宋_GB2312"/>
                <w:szCs w:val="21"/>
              </w:rPr>
              <w:t>生态环境分局、各村（园区）</w:t>
            </w:r>
          </w:p>
        </w:tc>
      </w:tr>
    </w:tbl>
    <w:p>
      <w:pPr>
        <w:rPr>
          <w:rFonts w:ascii="Times New Roman" w:hAnsi="Times New Roman" w:eastAsia="仿宋_GB2312"/>
          <w:szCs w:val="21"/>
        </w:rPr>
        <w:sectPr>
          <w:headerReference r:id="rId3" w:type="default"/>
          <w:footerReference r:id="rId5" w:type="default"/>
          <w:headerReference r:id="rId4" w:type="even"/>
          <w:footerReference r:id="rId6" w:type="even"/>
          <w:pgSz w:w="16838" w:h="11905" w:orient="landscape"/>
          <w:pgMar w:top="1531" w:right="2041" w:bottom="1531" w:left="2041" w:header="851" w:footer="850" w:gutter="0"/>
          <w:pgNumType w:fmt="numberInDash"/>
          <w:cols w:space="720" w:num="1"/>
          <w:docGrid w:linePitch="435" w:charSpace="0"/>
        </w:sectPr>
      </w:pPr>
    </w:p>
    <w:tbl>
      <w:tblPr>
        <w:tblStyle w:val="11"/>
        <w:tblW w:w="14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366"/>
        <w:gridCol w:w="6325"/>
        <w:gridCol w:w="1790"/>
        <w:gridCol w:w="1358"/>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784" w:type="dxa"/>
            <w:noWrap w:val="0"/>
            <w:vAlign w:val="center"/>
          </w:tcPr>
          <w:p>
            <w:pPr>
              <w:numPr>
                <w:ilvl w:val="0"/>
                <w:numId w:val="2"/>
              </w:numPr>
              <w:rPr>
                <w:rFonts w:ascii="Times New Roman" w:hAnsi="Times New Roman" w:eastAsia="仿宋_GB2312"/>
                <w:szCs w:val="21"/>
              </w:rPr>
            </w:pPr>
            <w:r>
              <w:rPr>
                <w:rFonts w:hint="eastAsia" w:ascii="Times New Roman" w:hAnsi="Times New Roman" w:eastAsia="仿宋_GB2312"/>
                <w:szCs w:val="21"/>
              </w:rPr>
              <w:t>压减煤炭消费总量</w:t>
            </w: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强化煤炭消费预警和管控机制，压实属地和相关企业主体责任，2023年全市煤炭消费总量控制在1000万吨以内，同比压减60万吨以上。</w:t>
            </w:r>
          </w:p>
        </w:tc>
        <w:tc>
          <w:tcPr>
            <w:tcW w:w="1790" w:type="dxa"/>
            <w:noWrap w:val="0"/>
            <w:vAlign w:val="center"/>
          </w:tcPr>
          <w:p>
            <w:pPr>
              <w:jc w:val="center"/>
              <w:rPr>
                <w:rFonts w:ascii="Times New Roman" w:hAnsi="Times New Roman" w:eastAsia="仿宋_GB2312"/>
                <w:szCs w:val="21"/>
              </w:rPr>
            </w:pPr>
            <w:r>
              <w:rPr>
                <w:rFonts w:hint="eastAsia" w:ascii="Times New Roman" w:hAnsi="Times New Roman" w:eastAsia="仿宋_GB2312"/>
                <w:szCs w:val="21"/>
              </w:rPr>
              <w:t>经济发展</w:t>
            </w:r>
            <w:r>
              <w:rPr>
                <w:rFonts w:ascii="Times New Roman" w:hAnsi="Times New Roman" w:eastAsia="仿宋_GB2312"/>
                <w:szCs w:val="21"/>
              </w:rPr>
              <w:t>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持续落实</w:t>
            </w:r>
          </w:p>
        </w:tc>
        <w:tc>
          <w:tcPr>
            <w:tcW w:w="2227" w:type="dxa"/>
            <w:noWrap w:val="0"/>
            <w:vAlign w:val="center"/>
          </w:tcPr>
          <w:p>
            <w:pPr>
              <w:rPr>
                <w:rFonts w:hint="eastAsia"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784" w:type="dxa"/>
            <w:vMerge w:val="restart"/>
            <w:noWrap w:val="0"/>
            <w:vAlign w:val="center"/>
          </w:tcPr>
          <w:p>
            <w:pPr>
              <w:numPr>
                <w:ilvl w:val="0"/>
                <w:numId w:val="2"/>
              </w:numPr>
              <w:jc w:val="left"/>
              <w:rPr>
                <w:rFonts w:ascii="Times New Roman" w:hAnsi="Times New Roman" w:eastAsia="仿宋_GB2312"/>
                <w:szCs w:val="21"/>
              </w:rPr>
            </w:pPr>
            <w:r>
              <w:rPr>
                <w:rFonts w:hint="eastAsia" w:ascii="Times New Roman" w:hAnsi="Times New Roman" w:eastAsia="仿宋_GB2312"/>
                <w:szCs w:val="21"/>
              </w:rPr>
              <w:t>推动移动源结构升级</w:t>
            </w: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加强国Ⅲ排放标准柴油货车禁行区、黑烟车禁行区执法，2023年6月底前力争全市淘汰国Ⅲ排放标准柴油车1万辆以上，12月底前共淘汰2万辆以上。</w:t>
            </w:r>
            <w:r>
              <w:rPr>
                <w:rFonts w:hint="eastAsia" w:ascii="Times New Roman" w:hAnsi="Times New Roman" w:eastAsia="仿宋_GB2312"/>
                <w:szCs w:val="21"/>
              </w:rPr>
              <w:t>我镇</w:t>
            </w:r>
            <w:r>
              <w:rPr>
                <w:rFonts w:ascii="Times New Roman" w:hAnsi="Times New Roman" w:eastAsia="仿宋_GB2312"/>
                <w:szCs w:val="21"/>
              </w:rPr>
              <w:t>任务数以市公安局下发的任务数为准。</w:t>
            </w:r>
          </w:p>
        </w:tc>
        <w:tc>
          <w:tcPr>
            <w:tcW w:w="1790"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公安分局</w:t>
            </w:r>
          </w:p>
        </w:tc>
        <w:tc>
          <w:tcPr>
            <w:tcW w:w="1358" w:type="dxa"/>
            <w:noWrap w:val="0"/>
            <w:vAlign w:val="center"/>
          </w:tcPr>
          <w:p>
            <w:pPr>
              <w:jc w:val="center"/>
              <w:rPr>
                <w:rFonts w:hint="eastAsia" w:ascii="Times New Roman" w:hAnsi="Times New Roman" w:eastAsia="仿宋_GB2312"/>
                <w:szCs w:val="21"/>
              </w:rPr>
            </w:pPr>
            <w:r>
              <w:rPr>
                <w:rFonts w:ascii="Times New Roman" w:hAnsi="Times New Roman" w:eastAsia="仿宋_GB2312"/>
                <w:szCs w:val="21"/>
              </w:rPr>
              <w:t>按节点推进、202</w:t>
            </w:r>
            <w:r>
              <w:rPr>
                <w:rFonts w:hint="eastAsia" w:ascii="Times New Roman" w:hAnsi="Times New Roman" w:eastAsia="仿宋_GB2312"/>
                <w:szCs w:val="21"/>
              </w:rPr>
              <w:t>3</w:t>
            </w:r>
            <w:r>
              <w:rPr>
                <w:rFonts w:ascii="Times New Roman" w:hAnsi="Times New Roman" w:eastAsia="仿宋_GB2312"/>
                <w:szCs w:val="21"/>
              </w:rPr>
              <w:t>年底全部完成</w:t>
            </w:r>
          </w:p>
        </w:tc>
        <w:tc>
          <w:tcPr>
            <w:tcW w:w="2227" w:type="dxa"/>
            <w:noWrap w:val="0"/>
            <w:vAlign w:val="center"/>
          </w:tcPr>
          <w:p>
            <w:pPr>
              <w:rPr>
                <w:rFonts w:hint="eastAsia" w:ascii="Times New Roman" w:hAnsi="Times New Roman" w:eastAsia="仿宋_GB2312"/>
                <w:szCs w:val="21"/>
              </w:rPr>
            </w:pPr>
            <w:r>
              <w:rPr>
                <w:rFonts w:hint="eastAsia" w:ascii="Times New Roman" w:hAnsi="Times New Roman" w:eastAsia="仿宋_GB2312"/>
                <w:szCs w:val="21"/>
              </w:rPr>
              <w:t>生态环境分局、交通分局、各村（园区）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1784" w:type="dxa"/>
            <w:vMerge w:val="continue"/>
            <w:noWrap w:val="0"/>
            <w:vAlign w:val="center"/>
          </w:tcPr>
          <w:p>
            <w:pPr>
              <w:rPr>
                <w:rFonts w:ascii="Times New Roman" w:hAnsi="Times New Roman" w:eastAsia="仿宋_GB2312"/>
                <w:szCs w:val="21"/>
              </w:rPr>
            </w:pP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制定老旧非道路移动机械更新淘汰计划，推进淘汰国一及以下排放标准的工程机械（含按非道路排放标准生产的非道路用车），具备条件的可更换国四及以上排放标准的发动机。2023年9月底前，基本淘汰全市国一及以下排放标准的非道路移动机械。加强非道路移动机械入场管理，2023年10月1日后，禁止国一及以下排放标准的非道路移动机械入场作业。</w:t>
            </w:r>
          </w:p>
        </w:tc>
        <w:tc>
          <w:tcPr>
            <w:tcW w:w="1790"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生态环境分局</w:t>
            </w:r>
          </w:p>
        </w:tc>
        <w:tc>
          <w:tcPr>
            <w:tcW w:w="1358" w:type="dxa"/>
            <w:noWrap w:val="0"/>
            <w:vAlign w:val="center"/>
          </w:tcPr>
          <w:p>
            <w:pPr>
              <w:jc w:val="center"/>
              <w:rPr>
                <w:rFonts w:hint="eastAsia" w:ascii="Times New Roman" w:hAnsi="Times New Roman" w:eastAsia="仿宋_GB2312"/>
                <w:szCs w:val="21"/>
              </w:rPr>
            </w:pPr>
            <w:r>
              <w:rPr>
                <w:rFonts w:ascii="Times New Roman" w:hAnsi="Times New Roman" w:eastAsia="仿宋_GB2312"/>
                <w:szCs w:val="21"/>
              </w:rPr>
              <w:t>2023年9月底</w:t>
            </w:r>
            <w:r>
              <w:rPr>
                <w:rFonts w:hint="eastAsia" w:ascii="Times New Roman" w:hAnsi="Times New Roman" w:eastAsia="仿宋_GB2312"/>
                <w:szCs w:val="21"/>
              </w:rPr>
              <w:t>前完成</w:t>
            </w:r>
          </w:p>
        </w:tc>
        <w:tc>
          <w:tcPr>
            <w:tcW w:w="2227" w:type="dxa"/>
            <w:noWrap w:val="0"/>
            <w:vAlign w:val="center"/>
          </w:tcPr>
          <w:p>
            <w:pPr>
              <w:rPr>
                <w:rFonts w:hint="eastAsia" w:ascii="Times New Roman" w:hAnsi="Times New Roman" w:eastAsia="仿宋_GB2312"/>
                <w:szCs w:val="21"/>
              </w:rPr>
            </w:pPr>
            <w:r>
              <w:rPr>
                <w:rFonts w:hint="eastAsia" w:ascii="Times New Roman" w:hAnsi="Times New Roman" w:eastAsia="仿宋_GB2312"/>
                <w:szCs w:val="21"/>
              </w:rPr>
              <w:t>住建局、水务中心、农林水务局、市场监管分局、交通分局、各村（园区）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784" w:type="dxa"/>
            <w:vMerge w:val="restart"/>
            <w:noWrap w:val="0"/>
            <w:vAlign w:val="center"/>
          </w:tcPr>
          <w:p>
            <w:pPr>
              <w:numPr>
                <w:ilvl w:val="0"/>
                <w:numId w:val="2"/>
              </w:numPr>
              <w:rPr>
                <w:rFonts w:ascii="Times New Roman" w:hAnsi="Times New Roman" w:eastAsia="仿宋_GB2312"/>
                <w:szCs w:val="21"/>
              </w:rPr>
            </w:pPr>
            <w:r>
              <w:rPr>
                <w:rFonts w:ascii="Times New Roman" w:hAnsi="Times New Roman" w:eastAsia="仿宋_GB2312"/>
                <w:szCs w:val="21"/>
              </w:rPr>
              <w:t>开展重点领域深度治理</w:t>
            </w: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涉VOCs企业分级管控和深度治理。推动不少于19家涉VOCs企业开展分级评价，根据分级结果实施差异化管控。强化B级、C级企业管控，重点督促C级企业和VOCs排放大户对照国家和省治理指引编制VOCs深度治理手册，深挖减排潜力并开展治理。</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jc w:val="center"/>
              <w:rPr>
                <w:rFonts w:hint="eastAsia" w:ascii="Times New Roman" w:hAnsi="Times New Roman" w:eastAsia="仿宋_GB2312"/>
                <w:szCs w:val="21"/>
              </w:rPr>
            </w:pPr>
            <w:r>
              <w:rPr>
                <w:rFonts w:ascii="Times New Roman" w:hAnsi="Times New Roman" w:eastAsia="仿宋_GB2312"/>
                <w:szCs w:val="21"/>
              </w:rPr>
              <w:t>按节点推进、202</w:t>
            </w:r>
            <w:r>
              <w:rPr>
                <w:rFonts w:hint="eastAsia" w:ascii="Times New Roman" w:hAnsi="Times New Roman" w:eastAsia="仿宋_GB2312"/>
                <w:szCs w:val="21"/>
              </w:rPr>
              <w:t>3</w:t>
            </w:r>
            <w:r>
              <w:rPr>
                <w:rFonts w:ascii="Times New Roman" w:hAnsi="Times New Roman" w:eastAsia="仿宋_GB2312"/>
                <w:szCs w:val="21"/>
              </w:rPr>
              <w:t>年</w:t>
            </w:r>
            <w:r>
              <w:rPr>
                <w:rFonts w:hint="eastAsia" w:ascii="Times New Roman" w:hAnsi="Times New Roman" w:eastAsia="仿宋_GB2312"/>
                <w:szCs w:val="21"/>
              </w:rPr>
              <w:t>9月</w:t>
            </w:r>
            <w:r>
              <w:rPr>
                <w:rFonts w:ascii="Times New Roman" w:hAnsi="Times New Roman" w:eastAsia="仿宋_GB2312"/>
                <w:szCs w:val="21"/>
              </w:rPr>
              <w:t>底全部完成</w:t>
            </w:r>
          </w:p>
        </w:tc>
        <w:tc>
          <w:tcPr>
            <w:tcW w:w="2227" w:type="dxa"/>
            <w:noWrap w:val="0"/>
            <w:vAlign w:val="center"/>
          </w:tcPr>
          <w:p>
            <w:pPr>
              <w:rPr>
                <w:rFonts w:ascii="Times New Roman" w:hAnsi="Times New Roman" w:eastAsia="仿宋_GB2312"/>
                <w:szCs w:val="21"/>
              </w:rPr>
            </w:pP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1784" w:type="dxa"/>
            <w:vMerge w:val="continue"/>
            <w:noWrap w:val="0"/>
            <w:vAlign w:val="center"/>
          </w:tcPr>
          <w:p>
            <w:pPr>
              <w:ind w:left="425" w:hanging="425"/>
              <w:rPr>
                <w:rFonts w:ascii="Times New Roman" w:hAnsi="Times New Roman" w:eastAsia="仿宋_GB2312"/>
                <w:szCs w:val="21"/>
              </w:rPr>
            </w:pP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hint="eastAsia" w:ascii="Times New Roman" w:hAnsi="Times New Roman" w:eastAsia="仿宋_GB2312"/>
                <w:szCs w:val="21"/>
              </w:rPr>
              <w:t>开展</w:t>
            </w:r>
            <w:r>
              <w:rPr>
                <w:rFonts w:ascii="Times New Roman" w:hAnsi="Times New Roman" w:eastAsia="仿宋_GB2312"/>
                <w:szCs w:val="21"/>
              </w:rPr>
              <w:t>储罐VOCs治理。全面开展储罐VOCs治理问题排查，建立储罐治理清单，制定治理方案。结合摸底评估情况，力争2023年年底前基本完成治理。确需一定整改周期的，最迟在下次检维修期间完成整改。</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2023年年底</w:t>
            </w:r>
          </w:p>
        </w:tc>
        <w:tc>
          <w:tcPr>
            <w:tcW w:w="2227" w:type="dxa"/>
            <w:noWrap w:val="0"/>
            <w:vAlign w:val="center"/>
          </w:tcPr>
          <w:p>
            <w:pPr>
              <w:rPr>
                <w:rFonts w:hint="eastAsia" w:ascii="Times New Roman" w:hAnsi="Times New Roman" w:eastAsia="仿宋_GB2312"/>
                <w:szCs w:val="21"/>
              </w:rPr>
            </w:pP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784" w:type="dxa"/>
            <w:vMerge w:val="continue"/>
            <w:noWrap w:val="0"/>
            <w:vAlign w:val="center"/>
          </w:tcPr>
          <w:p>
            <w:pPr>
              <w:ind w:left="425" w:hanging="425"/>
              <w:rPr>
                <w:rFonts w:ascii="Times New Roman" w:hAnsi="Times New Roman" w:eastAsia="仿宋_GB2312"/>
                <w:szCs w:val="21"/>
              </w:rPr>
            </w:pP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hint="eastAsia" w:ascii="Times New Roman" w:hAnsi="Times New Roman" w:eastAsia="仿宋_GB2312"/>
                <w:szCs w:val="21"/>
                <w:lang w:bidi="ar"/>
              </w:rPr>
              <w:t>开展</w:t>
            </w:r>
            <w:r>
              <w:rPr>
                <w:rFonts w:ascii="Times New Roman" w:hAnsi="Times New Roman" w:eastAsia="仿宋_GB2312"/>
                <w:szCs w:val="21"/>
                <w:lang w:bidi="ar"/>
              </w:rPr>
              <w:t>装卸废气收集治理。运输汽油、航空煤油、石脑油和苯、甲苯、二甲苯等的车辆按照标准采用适宜装载方式，推广采用密封式快速接头，铁路罐车推广使用锁紧式接头。推动油品以及苯、甲苯、二甲苯等挥发性有机液体仓储企业收发台按要求使用下装和密封式快速接头，6月底前所有企业收发台全部改用下装和密封式快速接头。</w:t>
            </w:r>
          </w:p>
        </w:tc>
        <w:tc>
          <w:tcPr>
            <w:tcW w:w="1790"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交通分局、</w:t>
            </w:r>
          </w:p>
          <w:p>
            <w:pPr>
              <w:jc w:val="center"/>
              <w:rPr>
                <w:rFonts w:hint="eastAsia" w:ascii="Times New Roman" w:hAnsi="Times New Roman" w:eastAsia="仿宋_GB2312"/>
                <w:szCs w:val="21"/>
              </w:rPr>
            </w:pPr>
            <w:r>
              <w:rPr>
                <w:rFonts w:hint="eastAsia" w:ascii="Times New Roman" w:hAnsi="Times New Roman" w:eastAsia="仿宋_GB2312"/>
                <w:szCs w:val="21"/>
              </w:rPr>
              <w:t>应急管理分局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2023年6月底</w:t>
            </w:r>
          </w:p>
        </w:tc>
        <w:tc>
          <w:tcPr>
            <w:tcW w:w="2227" w:type="dxa"/>
            <w:noWrap w:val="0"/>
            <w:vAlign w:val="center"/>
          </w:tcPr>
          <w:p>
            <w:pPr>
              <w:rPr>
                <w:rFonts w:hint="eastAsia" w:ascii="Times New Roman" w:hAnsi="Times New Roman" w:eastAsia="仿宋_GB2312"/>
                <w:szCs w:val="21"/>
              </w:rPr>
            </w:pPr>
            <w:r>
              <w:rPr>
                <w:rFonts w:hint="eastAsia" w:ascii="Times New Roman" w:hAnsi="Times New Roman" w:eastAsia="仿宋_GB2312"/>
                <w:szCs w:val="21"/>
              </w:rPr>
              <w:t>公安分局、</w:t>
            </w: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r>
              <w:rPr>
                <w:rFonts w:hint="eastAsia" w:ascii="Times New Roman" w:hAnsi="Times New Roman" w:eastAsia="仿宋_GB2312"/>
                <w:szCs w:val="21"/>
              </w:rPr>
              <w:t>、市场监管分局、各村（园区）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1784" w:type="dxa"/>
            <w:vMerge w:val="continue"/>
            <w:noWrap w:val="0"/>
            <w:vAlign w:val="center"/>
          </w:tcPr>
          <w:p>
            <w:pPr>
              <w:ind w:left="425" w:hanging="425"/>
              <w:rPr>
                <w:rFonts w:ascii="Times New Roman" w:hAnsi="Times New Roman" w:eastAsia="仿宋_GB2312"/>
                <w:szCs w:val="21"/>
              </w:rPr>
            </w:pP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lang w:bidi="ar"/>
              </w:rPr>
              <w:t>提升有机废气收集率和处理率。督促企业落实“应收尽收、分质收集”，择适宜高效治理技术，加强运行维护管理，治理设施较生产设备要做到“先启后停”。组织排查光催化、光氧化、水喷淋（吸收可溶性VOCs除外）、低温等离子及上述组合技术的低效VOCs治理设施，对不能达到治理要求的实施更换或升级改造，逐步淘汰低效VOCs治理设施。逐一排查辖区内RCO（蓄热式催化燃烧法）末端治理设施，确保治理效率达标，对于无法达到运行和处理要求的设备，限期停工整改，待整治完成后才能重新生产。2023年3月底前排查完毕并形成问题清单，5月底前完成存在问题的RCO末端治理设施整改。</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2023年5月底</w:t>
            </w:r>
          </w:p>
        </w:tc>
        <w:tc>
          <w:tcPr>
            <w:tcW w:w="2227" w:type="dxa"/>
            <w:noWrap w:val="0"/>
            <w:vAlign w:val="center"/>
          </w:tcPr>
          <w:p>
            <w:pPr>
              <w:rPr>
                <w:rFonts w:ascii="Times New Roman" w:hAnsi="Times New Roman" w:eastAsia="仿宋_GB2312"/>
                <w:szCs w:val="21"/>
              </w:rPr>
            </w:pP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784" w:type="dxa"/>
            <w:vMerge w:val="continue"/>
            <w:noWrap w:val="0"/>
            <w:vAlign w:val="center"/>
          </w:tcPr>
          <w:p>
            <w:pPr>
              <w:ind w:left="425" w:hanging="425"/>
              <w:rPr>
                <w:rFonts w:ascii="Times New Roman" w:hAnsi="Times New Roman" w:eastAsia="仿宋_GB2312"/>
                <w:szCs w:val="21"/>
              </w:rPr>
            </w:pP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hint="eastAsia" w:ascii="Times New Roman" w:hAnsi="Times New Roman" w:eastAsia="仿宋_GB2312"/>
                <w:szCs w:val="21"/>
                <w:lang w:bidi="ar"/>
              </w:rPr>
              <w:t>开展</w:t>
            </w:r>
            <w:r>
              <w:rPr>
                <w:rFonts w:ascii="Times New Roman" w:hAnsi="Times New Roman" w:eastAsia="仿宋_GB2312"/>
                <w:szCs w:val="21"/>
                <w:lang w:bidi="ar"/>
              </w:rPr>
              <w:t>气回收治理。常态化开展储油库、油罐车、加油站油气回收专项检查和问题整改。</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持续落实</w:t>
            </w:r>
          </w:p>
        </w:tc>
        <w:tc>
          <w:tcPr>
            <w:tcW w:w="2227" w:type="dxa"/>
            <w:noWrap w:val="0"/>
            <w:vAlign w:val="center"/>
          </w:tcPr>
          <w:p>
            <w:pPr>
              <w:rPr>
                <w:rFonts w:ascii="Times New Roman" w:hAnsi="Times New Roman" w:eastAsia="仿宋_GB2312"/>
                <w:szCs w:val="21"/>
              </w:rPr>
            </w:pP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1784" w:type="dxa"/>
            <w:vMerge w:val="continue"/>
            <w:noWrap w:val="0"/>
            <w:vAlign w:val="center"/>
          </w:tcPr>
          <w:p>
            <w:pPr>
              <w:ind w:left="425" w:hanging="425"/>
              <w:rPr>
                <w:rFonts w:ascii="Times New Roman" w:hAnsi="Times New Roman" w:eastAsia="仿宋_GB2312"/>
                <w:szCs w:val="21"/>
              </w:rPr>
            </w:pP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hint="eastAsia" w:ascii="Times New Roman" w:hAnsi="Times New Roman" w:eastAsia="仿宋_GB2312"/>
                <w:szCs w:val="21"/>
                <w:lang w:bidi="ar"/>
              </w:rPr>
              <w:t>落实</w:t>
            </w:r>
            <w:r>
              <w:rPr>
                <w:rFonts w:ascii="Times New Roman" w:hAnsi="Times New Roman" w:eastAsia="仿宋_GB2312"/>
                <w:szCs w:val="21"/>
                <w:lang w:bidi="ar"/>
              </w:rPr>
              <w:t>污染源清单动态更新。持续开展固定污染源及其排放治理情况排查，2023年9月底前，完成人为源大气污染源排放清单编制。督促涉VOCs企业按要求填报《广东省固定污染源VOCs监管系统》，逐级审核填报信息的真实有效性。</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2022年9月底</w:t>
            </w:r>
          </w:p>
        </w:tc>
        <w:tc>
          <w:tcPr>
            <w:tcW w:w="2227" w:type="dxa"/>
            <w:noWrap w:val="0"/>
            <w:vAlign w:val="center"/>
          </w:tcPr>
          <w:p>
            <w:pPr>
              <w:rPr>
                <w:rFonts w:hint="eastAsia" w:ascii="Times New Roman" w:hAnsi="Times New Roman" w:eastAsia="仿宋_GB2312"/>
                <w:szCs w:val="21"/>
              </w:rPr>
            </w:pP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784" w:type="dxa"/>
            <w:vMerge w:val="restart"/>
            <w:noWrap w:val="0"/>
            <w:vAlign w:val="center"/>
          </w:tcPr>
          <w:p>
            <w:pPr>
              <w:numPr>
                <w:ilvl w:val="0"/>
                <w:numId w:val="2"/>
              </w:numPr>
              <w:rPr>
                <w:rFonts w:ascii="Times New Roman" w:hAnsi="Times New Roman" w:eastAsia="仿宋_GB2312"/>
                <w:szCs w:val="21"/>
              </w:rPr>
            </w:pPr>
            <w:r>
              <w:rPr>
                <w:rFonts w:ascii="Times New Roman" w:hAnsi="Times New Roman" w:eastAsia="仿宋_GB2312"/>
                <w:szCs w:val="21"/>
              </w:rPr>
              <w:t>强化企业VOCs排放达标监管</w:t>
            </w: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lang w:bidi="ar"/>
              </w:rPr>
              <w:t>督促企业针对储罐、装卸、敞开液面、泄漏检测与修复（LDAR）、废气收集、废气旁路、治理设施、加油站、非正常工况、产品VOCs质量等10个关键环节每年开展自查自改。整合执法、监测、行业专家等力量组建专门队伍，</w:t>
            </w:r>
            <w:r>
              <w:rPr>
                <w:rFonts w:ascii="Times New Roman" w:hAnsi="Times New Roman" w:eastAsia="仿宋_GB2312"/>
                <w:szCs w:val="21"/>
              </w:rPr>
              <w:t>每月开展不少于1次专项执法检查行动，依法查处相关环境违法行为，推动企业开展规范整治。</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jc w:val="center"/>
              <w:rPr>
                <w:rFonts w:ascii="Times New Roman" w:hAnsi="Times New Roman" w:eastAsia="仿宋_GB2312"/>
                <w:szCs w:val="21"/>
              </w:rPr>
            </w:pPr>
            <w:r>
              <w:rPr>
                <w:rFonts w:hint="eastAsia" w:ascii="Times New Roman" w:hAnsi="Times New Roman" w:eastAsia="仿宋_GB2312"/>
                <w:szCs w:val="21"/>
              </w:rPr>
              <w:t>2023年年底</w:t>
            </w:r>
          </w:p>
        </w:tc>
        <w:tc>
          <w:tcPr>
            <w:tcW w:w="2227" w:type="dxa"/>
            <w:noWrap w:val="0"/>
            <w:vAlign w:val="center"/>
          </w:tcPr>
          <w:p>
            <w:pPr>
              <w:rPr>
                <w:rFonts w:ascii="Times New Roman" w:hAnsi="Times New Roman" w:eastAsia="仿宋_GB2312"/>
                <w:szCs w:val="21"/>
              </w:rPr>
            </w:pP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784" w:type="dxa"/>
            <w:vMerge w:val="continue"/>
            <w:noWrap w:val="0"/>
            <w:vAlign w:val="center"/>
          </w:tcPr>
          <w:p>
            <w:pPr>
              <w:ind w:left="425" w:hanging="425"/>
              <w:rPr>
                <w:rFonts w:ascii="Times New Roman" w:hAnsi="Times New Roman" w:eastAsia="仿宋_GB2312"/>
                <w:szCs w:val="21"/>
              </w:rPr>
            </w:pP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lang w:bidi="ar"/>
              </w:rPr>
              <w:t>加强在线监控数据管理。根据固定污染源烟气排放连续监测技术规范（HJ75）和国家、省关于VOCs在线监测设备（系统）的定期校准及维护工作要点，加强VOCs在线监控设施运行监督管理，督促运维公司按要求开展校准检修并形成台账，确保监测数据真实准确。加大对在线监控数据异常、超标企业的现场执法检查力度。</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2023年年底</w:t>
            </w:r>
          </w:p>
        </w:tc>
        <w:tc>
          <w:tcPr>
            <w:tcW w:w="2227" w:type="dxa"/>
            <w:noWrap w:val="0"/>
            <w:vAlign w:val="center"/>
          </w:tcPr>
          <w:p>
            <w:pPr>
              <w:rPr>
                <w:rFonts w:ascii="Times New Roman" w:hAnsi="Times New Roman" w:eastAsia="仿宋_GB2312"/>
                <w:szCs w:val="21"/>
              </w:rPr>
            </w:pP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784" w:type="dxa"/>
            <w:vMerge w:val="restart"/>
            <w:noWrap w:val="0"/>
            <w:vAlign w:val="center"/>
          </w:tcPr>
          <w:p>
            <w:pPr>
              <w:numPr>
                <w:ilvl w:val="0"/>
                <w:numId w:val="2"/>
              </w:numPr>
              <w:rPr>
                <w:rFonts w:ascii="Times New Roman" w:hAnsi="Times New Roman" w:eastAsia="仿宋_GB2312"/>
                <w:szCs w:val="21"/>
              </w:rPr>
            </w:pPr>
            <w:r>
              <w:rPr>
                <w:rFonts w:hint="eastAsia" w:ascii="Times New Roman" w:hAnsi="Times New Roman" w:eastAsia="仿宋_GB2312"/>
                <w:szCs w:val="21"/>
              </w:rPr>
              <w:t>强化臭氧污染高发时段和季节减排</w:t>
            </w: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lang w:bidi="ar"/>
              </w:rPr>
              <w:t>预报不利气象条件引发臭氧污染时，要指导相关企业提前</w:t>
            </w:r>
            <w:r>
              <w:rPr>
                <w:rFonts w:hint="eastAsia" w:ascii="Times New Roman" w:hAnsi="Times New Roman" w:eastAsia="仿宋_GB2312"/>
                <w:szCs w:val="21"/>
                <w:lang w:bidi="ar"/>
              </w:rPr>
              <w:t>3</w:t>
            </w:r>
            <w:r>
              <w:rPr>
                <w:rFonts w:ascii="Times New Roman" w:hAnsi="Times New Roman" w:eastAsia="仿宋_GB2312"/>
                <w:szCs w:val="21"/>
                <w:lang w:bidi="ar"/>
              </w:rPr>
              <w:t>天按照协商浓度值排放。超出协商值的，要重点监管，严查污染天气应对期间各类违法排污行为。未经向生态环境管理部门报告，原则上禁止在臭氧污染高发季（8－10月）进行开停车、装置停工检修、储罐清洗和防腐防水防锈涂装作业。</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持续落实</w:t>
            </w:r>
          </w:p>
        </w:tc>
        <w:tc>
          <w:tcPr>
            <w:tcW w:w="2227" w:type="dxa"/>
            <w:noWrap w:val="0"/>
            <w:vAlign w:val="center"/>
          </w:tcPr>
          <w:p>
            <w:pPr>
              <w:rPr>
                <w:rFonts w:ascii="Times New Roman" w:hAnsi="Times New Roman" w:eastAsia="仿宋_GB2312"/>
                <w:szCs w:val="21"/>
              </w:rPr>
            </w:pP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784" w:type="dxa"/>
            <w:vMerge w:val="continue"/>
            <w:noWrap w:val="0"/>
            <w:vAlign w:val="center"/>
          </w:tcPr>
          <w:p>
            <w:pPr>
              <w:ind w:left="425" w:hanging="425"/>
              <w:rPr>
                <w:rFonts w:ascii="Times New Roman" w:hAnsi="Times New Roman" w:eastAsia="仿宋_GB2312"/>
                <w:szCs w:val="21"/>
              </w:rPr>
            </w:pP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widowControl/>
              <w:ind w:firstLine="420" w:firstLineChars="200"/>
              <w:outlineLvl w:val="1"/>
              <w:rPr>
                <w:rFonts w:ascii="Times New Roman" w:hAnsi="Times New Roman" w:eastAsia="仿宋_GB2312"/>
                <w:szCs w:val="21"/>
              </w:rPr>
            </w:pPr>
            <w:r>
              <w:rPr>
                <w:rFonts w:ascii="Times New Roman" w:hAnsi="Times New Roman" w:eastAsia="仿宋_GB2312"/>
                <w:szCs w:val="21"/>
                <w:lang w:bidi="ar"/>
              </w:rPr>
              <w:t>引导公众夜间错峰加油，在确保安全的前提下，引导油品经销企业在晚8时至次日早6时期间卸油。</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持续落实</w:t>
            </w:r>
          </w:p>
        </w:tc>
        <w:tc>
          <w:tcPr>
            <w:tcW w:w="2227" w:type="dxa"/>
            <w:noWrap w:val="0"/>
            <w:vAlign w:val="center"/>
          </w:tcPr>
          <w:p>
            <w:pPr>
              <w:rPr>
                <w:rFonts w:ascii="Times New Roman" w:hAnsi="Times New Roman" w:eastAsia="仿宋_GB2312"/>
                <w:szCs w:val="21"/>
              </w:rPr>
            </w:pP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784" w:type="dxa"/>
            <w:vMerge w:val="continue"/>
            <w:noWrap w:val="0"/>
            <w:vAlign w:val="center"/>
          </w:tcPr>
          <w:p>
            <w:pPr>
              <w:ind w:left="425" w:hanging="425"/>
              <w:rPr>
                <w:rFonts w:ascii="Times New Roman" w:hAnsi="Times New Roman" w:eastAsia="仿宋_GB2312"/>
                <w:szCs w:val="21"/>
              </w:rPr>
            </w:pP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pStyle w:val="23"/>
              <w:ind w:firstLine="420"/>
              <w:rPr>
                <w:rFonts w:ascii="Times New Roman" w:hAnsi="Times New Roman" w:eastAsia="仿宋_GB2312"/>
                <w:szCs w:val="21"/>
              </w:rPr>
            </w:pPr>
            <w:r>
              <w:rPr>
                <w:rFonts w:ascii="Times New Roman" w:hAnsi="Times New Roman" w:eastAsia="仿宋_GB2312"/>
                <w:sz w:val="21"/>
                <w:szCs w:val="21"/>
                <w:lang w:bidi="ar"/>
              </w:rPr>
              <w:t>持续开展走航监测摸查行动，加大对重点区域VOCs无组织排放监管力度，依法查处违法排污行为并开展限期治理。</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持续落实</w:t>
            </w:r>
          </w:p>
        </w:tc>
        <w:tc>
          <w:tcPr>
            <w:tcW w:w="2227" w:type="dxa"/>
            <w:noWrap w:val="0"/>
            <w:vAlign w:val="center"/>
          </w:tcPr>
          <w:p>
            <w:pP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1784" w:type="dxa"/>
            <w:noWrap w:val="0"/>
            <w:vAlign w:val="center"/>
          </w:tcPr>
          <w:p>
            <w:pPr>
              <w:numPr>
                <w:ilvl w:val="0"/>
                <w:numId w:val="2"/>
              </w:numPr>
              <w:rPr>
                <w:rFonts w:ascii="Times New Roman" w:hAnsi="Times New Roman" w:eastAsia="仿宋_GB2312"/>
                <w:szCs w:val="21"/>
              </w:rPr>
            </w:pPr>
            <w:r>
              <w:rPr>
                <w:rFonts w:hint="eastAsia" w:ascii="Times New Roman" w:hAnsi="Times New Roman" w:eastAsia="仿宋_GB2312"/>
                <w:szCs w:val="21"/>
              </w:rPr>
              <w:t>提升工业锅炉治理水平</w:t>
            </w: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hint="eastAsia" w:ascii="Times New Roman" w:hAnsi="Times New Roman" w:eastAsia="仿宋_GB2312"/>
                <w:szCs w:val="21"/>
              </w:rPr>
            </w:pPr>
            <w:r>
              <w:rPr>
                <w:rFonts w:ascii="Times New Roman" w:hAnsi="Times New Roman" w:eastAsia="仿宋_GB2312"/>
                <w:szCs w:val="21"/>
                <w:lang w:bidi="ar"/>
              </w:rPr>
              <w:t>全市新建、现有燃气锅炉按《关于东莞市燃气锅炉执行大气污染物特别排放限值的公告》要求，执行大气污染物特别排放限值。不符合排放限值要求的燃气锅炉按期完成低氮燃烧改造，确保达标排放。2023年7月底前，完成生物质锅炉淘汰整治</w:t>
            </w:r>
            <w:r>
              <w:rPr>
                <w:rFonts w:hint="eastAsia" w:ascii="Times New Roman" w:hAnsi="Times New Roman" w:eastAsia="仿宋_GB2312"/>
                <w:szCs w:val="21"/>
                <w:lang w:bidi="ar"/>
              </w:rPr>
              <w:t>。</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2023年7月底</w:t>
            </w:r>
          </w:p>
        </w:tc>
        <w:tc>
          <w:tcPr>
            <w:tcW w:w="2227" w:type="dxa"/>
            <w:noWrap w:val="0"/>
            <w:vAlign w:val="center"/>
          </w:tcPr>
          <w:p>
            <w:pPr>
              <w:rPr>
                <w:rFonts w:ascii="Times New Roman" w:hAnsi="Times New Roman" w:eastAsia="仿宋_GB2312"/>
                <w:szCs w:val="21"/>
              </w:rPr>
            </w:pPr>
            <w:r>
              <w:rPr>
                <w:rFonts w:hint="eastAsia" w:ascii="Times New Roman" w:hAnsi="Times New Roman" w:eastAsia="仿宋_GB2312"/>
                <w:szCs w:val="21"/>
              </w:rPr>
              <w:t>市场监管分局、各村（园区）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784" w:type="dxa"/>
            <w:noWrap w:val="0"/>
            <w:vAlign w:val="center"/>
          </w:tcPr>
          <w:p>
            <w:pPr>
              <w:numPr>
                <w:ilvl w:val="0"/>
                <w:numId w:val="2"/>
              </w:numPr>
              <w:rPr>
                <w:rFonts w:hint="eastAsia" w:ascii="Times New Roman" w:hAnsi="Times New Roman" w:eastAsia="仿宋_GB2312"/>
                <w:szCs w:val="21"/>
              </w:rPr>
            </w:pPr>
            <w:r>
              <w:rPr>
                <w:rFonts w:hint="eastAsia" w:ascii="Times New Roman" w:hAnsi="Times New Roman" w:eastAsia="仿宋_GB2312"/>
                <w:szCs w:val="21"/>
              </w:rPr>
              <w:t>实施重点行业深度治理</w:t>
            </w: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lang w:bidi="ar"/>
              </w:rPr>
            </w:pPr>
            <w:r>
              <w:rPr>
                <w:rFonts w:ascii="Times New Roman" w:hAnsi="Times New Roman" w:eastAsia="仿宋_GB2312"/>
                <w:szCs w:val="21"/>
                <w:lang w:bidi="ar"/>
              </w:rPr>
              <w:t>新建（含搬迁）钢压延加工项目达到超低排放水平。加快钢压延加工企业实施清洁能源替代。鼓励钢压延加工企业加热炉/热处理炉优先采用电能、天然气、液化石油气，使用富氧燃烧技术和低氮燃烧技术。2023年6月底前，钢压延行业全面完成超低排放改造。</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2023年6月底</w:t>
            </w:r>
          </w:p>
        </w:tc>
        <w:tc>
          <w:tcPr>
            <w:tcW w:w="2227" w:type="dxa"/>
            <w:noWrap w:val="0"/>
            <w:vAlign w:val="center"/>
          </w:tcPr>
          <w:p>
            <w:pPr>
              <w:rPr>
                <w:rFonts w:hint="eastAsia" w:ascii="Times New Roman" w:hAnsi="Times New Roman" w:eastAsia="仿宋_GB2312"/>
                <w:szCs w:val="21"/>
              </w:rPr>
            </w:pP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784" w:type="dxa"/>
            <w:noWrap w:val="0"/>
            <w:vAlign w:val="center"/>
          </w:tcPr>
          <w:p>
            <w:pPr>
              <w:numPr>
                <w:ilvl w:val="0"/>
                <w:numId w:val="2"/>
              </w:numPr>
              <w:rPr>
                <w:rFonts w:ascii="Times New Roman" w:hAnsi="Times New Roman" w:eastAsia="仿宋_GB2312"/>
                <w:szCs w:val="21"/>
              </w:rPr>
            </w:pPr>
            <w:r>
              <w:rPr>
                <w:rFonts w:hint="eastAsia" w:ascii="Times New Roman" w:hAnsi="Times New Roman" w:eastAsia="仿宋_GB2312"/>
                <w:szCs w:val="21"/>
              </w:rPr>
              <w:t>低效脱硝设施升级改造</w:t>
            </w: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lang w:bidi="ar"/>
              </w:rPr>
              <w:t>加大对采用低效治理工艺设备的排查整治，推广采用成熟脱硝治理技术。对采用脱硫脱硝一体化、湿法脱硝、微生物法脱硝等治理工艺的锅炉和炉窑进行排查抽测，督促不能稳定达标的整改，推动达标无望或治理难度</w:t>
            </w:r>
            <w:r>
              <w:rPr>
                <w:rFonts w:hint="eastAsia" w:ascii="Times New Roman" w:hAnsi="Times New Roman" w:eastAsia="仿宋_GB2312"/>
                <w:szCs w:val="21"/>
                <w:lang w:bidi="ar"/>
              </w:rPr>
              <w:t>大</w:t>
            </w:r>
            <w:r>
              <w:rPr>
                <w:rFonts w:ascii="Times New Roman" w:hAnsi="Times New Roman" w:eastAsia="仿宋_GB2312"/>
                <w:szCs w:val="21"/>
                <w:lang w:bidi="ar"/>
              </w:rPr>
              <w:t>的改用电锅炉或电炉窑。鼓励采用低氮燃烧、选择性催化还原、选择性非催化还原、活性焦等成熟技术。</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2023年年底</w:t>
            </w:r>
          </w:p>
        </w:tc>
        <w:tc>
          <w:tcPr>
            <w:tcW w:w="2227" w:type="dxa"/>
            <w:noWrap w:val="0"/>
            <w:vAlign w:val="center"/>
          </w:tcPr>
          <w:p>
            <w:pPr>
              <w:rPr>
                <w:rFonts w:ascii="Times New Roman" w:hAnsi="Times New Roman" w:eastAsia="仿宋_GB2312"/>
                <w:szCs w:val="21"/>
              </w:rPr>
            </w:pP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784" w:type="dxa"/>
            <w:noWrap w:val="0"/>
            <w:vAlign w:val="center"/>
          </w:tcPr>
          <w:p>
            <w:pPr>
              <w:numPr>
                <w:ilvl w:val="0"/>
                <w:numId w:val="2"/>
              </w:numPr>
              <w:rPr>
                <w:rFonts w:ascii="Times New Roman" w:hAnsi="Times New Roman" w:eastAsia="仿宋_GB2312"/>
                <w:szCs w:val="21"/>
              </w:rPr>
            </w:pPr>
            <w:r>
              <w:rPr>
                <w:rFonts w:hint="eastAsia" w:ascii="Times New Roman" w:hAnsi="Times New Roman" w:eastAsia="仿宋_GB2312"/>
                <w:szCs w:val="21"/>
              </w:rPr>
              <w:t>聚焦典型行业实施差异化协商减排</w:t>
            </w: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lang w:bidi="ar"/>
              </w:rPr>
              <w:t>鼓励企业自愿深化减排并与政府签订协议书，遵守更严格的大气污染排放要求，执行更全面的大气污染治理任务。鼓励现有企业主动自愿通过污染治理设施升级改造、提高污染治理设施效率、优化调整生产工序等措施深化减排。包括但不限于：玻璃企业实施超低排放改造；钢压延企业实施超低排放改造；垃圾焚烧发电厂控制NOx小时排放浓度不高于60mg/m3；延迟焦化装置采用全密闭除焦工艺，或将焦炭塔顶盖机更换为闸板式顶盖机；连续性生产企业调整生产计划或降低生产负荷等措施以减少污染排放，非连续性生产企业对涉VOCs和NOx排放工序实行错时生产。</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2023年年底</w:t>
            </w:r>
          </w:p>
        </w:tc>
        <w:tc>
          <w:tcPr>
            <w:tcW w:w="2227" w:type="dxa"/>
            <w:noWrap w:val="0"/>
            <w:vAlign w:val="center"/>
          </w:tcPr>
          <w:p>
            <w:pPr>
              <w:rPr>
                <w:rFonts w:ascii="Times New Roman" w:hAnsi="Times New Roman" w:eastAsia="仿宋_GB2312"/>
                <w:szCs w:val="21"/>
              </w:rPr>
            </w:pP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1784" w:type="dxa"/>
            <w:vMerge w:val="restart"/>
            <w:noWrap w:val="0"/>
            <w:vAlign w:val="center"/>
          </w:tcPr>
          <w:p>
            <w:pPr>
              <w:numPr>
                <w:ilvl w:val="0"/>
                <w:numId w:val="2"/>
              </w:numPr>
              <w:rPr>
                <w:rFonts w:ascii="Times New Roman" w:hAnsi="Times New Roman" w:eastAsia="仿宋_GB2312"/>
                <w:szCs w:val="21"/>
              </w:rPr>
            </w:pPr>
            <w:r>
              <w:rPr>
                <w:rFonts w:hint="eastAsia" w:ascii="Times New Roman" w:hAnsi="Times New Roman" w:eastAsia="仿宋_GB2312"/>
                <w:szCs w:val="21"/>
              </w:rPr>
              <w:t>深化在用机动车监管</w:t>
            </w: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严格实施机动车排放检验与维护制度（I/M制度）。完善排放检验、维修治理数据对接共享和闭环管理，推动不合格车辆得到有效治理。强化I站、M站监督管理，每季度开展不少于1次现场抽查，对篡改破坏OBD系统、采用临时更换污染控制装置等弄虚作假行为予以严厉处罚并公开曝光。按照省工作部署，在定期排放检验环节，组织实施汽油车燃油蒸发排放控制系统检验。</w:t>
            </w:r>
          </w:p>
          <w:p>
            <w:pPr>
              <w:ind w:firstLine="420" w:firstLineChars="200"/>
              <w:rPr>
                <w:rFonts w:ascii="Times New Roman" w:hAnsi="Times New Roman" w:eastAsia="仿宋_GB2312"/>
                <w:szCs w:val="21"/>
              </w:rPr>
            </w:pPr>
          </w:p>
        </w:tc>
        <w:tc>
          <w:tcPr>
            <w:tcW w:w="1790" w:type="dxa"/>
            <w:noWrap w:val="0"/>
            <w:vAlign w:val="center"/>
          </w:tcPr>
          <w:p>
            <w:pPr>
              <w:jc w:val="center"/>
              <w:rPr>
                <w:rFonts w:hint="eastAsia"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r>
              <w:rPr>
                <w:rFonts w:hint="eastAsia" w:ascii="Times New Roman" w:hAnsi="Times New Roman" w:eastAsia="仿宋_GB2312"/>
                <w:szCs w:val="21"/>
              </w:rPr>
              <w:t>、交通分局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持续落实</w:t>
            </w:r>
          </w:p>
        </w:tc>
        <w:tc>
          <w:tcPr>
            <w:tcW w:w="2227" w:type="dxa"/>
            <w:noWrap w:val="0"/>
            <w:vAlign w:val="center"/>
          </w:tcPr>
          <w:p>
            <w:pPr>
              <w:rPr>
                <w:rFonts w:hint="eastAsia" w:ascii="Times New Roman" w:hAnsi="Times New Roman" w:eastAsia="仿宋_GB2312"/>
                <w:szCs w:val="21"/>
              </w:rPr>
            </w:pP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1784" w:type="dxa"/>
            <w:vMerge w:val="continue"/>
            <w:noWrap w:val="0"/>
            <w:vAlign w:val="center"/>
          </w:tcPr>
          <w:p>
            <w:pPr>
              <w:rPr>
                <w:rFonts w:hint="eastAsia" w:ascii="Times New Roman" w:hAnsi="Times New Roman" w:eastAsia="仿宋_GB2312"/>
                <w:szCs w:val="21"/>
              </w:rPr>
            </w:pP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加大路检路查力度。落实生态环境部门检测取证、公安机关实施处罚、交通运输部门监督维修的联合监管执法模式，通过“前方遥感监测、后方设点执法”提高监督执法精准性，重点对途径物流园、港口码头等重点区域的路段开展常态化路检路查。全年完成路检路查不少于110辆次，公安机关要依法对超标排放车辆予以处罚。</w:t>
            </w:r>
          </w:p>
        </w:tc>
        <w:tc>
          <w:tcPr>
            <w:tcW w:w="1790"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公安分局、生态环境分局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2023年年底</w:t>
            </w:r>
          </w:p>
        </w:tc>
        <w:tc>
          <w:tcPr>
            <w:tcW w:w="2227" w:type="dxa"/>
            <w:noWrap w:val="0"/>
            <w:vAlign w:val="center"/>
          </w:tcPr>
          <w:p>
            <w:pPr>
              <w:rPr>
                <w:rFonts w:hint="eastAsia" w:ascii="Times New Roman" w:hAnsi="Times New Roman" w:eastAsia="仿宋_GB2312"/>
                <w:szCs w:val="21"/>
              </w:rPr>
            </w:pP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1784" w:type="dxa"/>
            <w:vMerge w:val="continue"/>
            <w:noWrap w:val="0"/>
            <w:vAlign w:val="center"/>
          </w:tcPr>
          <w:p>
            <w:pPr>
              <w:rPr>
                <w:rFonts w:hint="eastAsia" w:ascii="Times New Roman" w:hAnsi="Times New Roman" w:eastAsia="仿宋_GB2312"/>
                <w:szCs w:val="21"/>
              </w:rPr>
            </w:pP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强化用车大户监管。加强对全市柴油车超过10辆的用车大户台账规范管理。将路检超标、遥感监测超标、定期排放检验初检超标、在异地进行定期排放检验的柴油车辆使用单位列为重点抽查对象。每月开展不少于1次入户监督抽测专项行动，加大对重点抽查对象执法检查力度。</w:t>
            </w:r>
          </w:p>
        </w:tc>
        <w:tc>
          <w:tcPr>
            <w:tcW w:w="1790"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生态环境分局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2023年年底</w:t>
            </w:r>
          </w:p>
        </w:tc>
        <w:tc>
          <w:tcPr>
            <w:tcW w:w="2227" w:type="dxa"/>
            <w:noWrap w:val="0"/>
            <w:vAlign w:val="center"/>
          </w:tcPr>
          <w:p>
            <w:pPr>
              <w:rPr>
                <w:rFonts w:hint="eastAsia" w:ascii="Times New Roman" w:hAnsi="Times New Roman" w:eastAsia="仿宋_GB2312"/>
                <w:szCs w:val="21"/>
              </w:rPr>
            </w:pPr>
            <w:r>
              <w:rPr>
                <w:rFonts w:hint="eastAsia" w:ascii="Times New Roman" w:hAnsi="Times New Roman" w:eastAsia="仿宋_GB2312"/>
                <w:szCs w:val="21"/>
              </w:rPr>
              <w:t>公安分局、交通分局，各村（园区）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784" w:type="dxa"/>
            <w:vMerge w:val="continue"/>
            <w:noWrap w:val="0"/>
            <w:vAlign w:val="center"/>
          </w:tcPr>
          <w:p>
            <w:pPr>
              <w:rPr>
                <w:rFonts w:hint="eastAsia" w:ascii="Times New Roman" w:hAnsi="Times New Roman" w:eastAsia="仿宋_GB2312"/>
                <w:szCs w:val="21"/>
              </w:rPr>
            </w:pP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严格机动车限行区执法。加强绿色物流片区、国Ⅲ柴油货车和黑烟车限行区、大城区货车限行区的非现场执法，对闯禁令行为依法予以严厉处罚。生态环境部门要及时将现场检查、遥感监测（包括黑烟车电子抓拍）等方式取得的黑烟车数据或者视频、照片及时移交给同级公安机关交通管理部门依法处理。对于林格曼黑度指标超标的情形，要依法责令限期维修，形成闭环管理。</w:t>
            </w:r>
          </w:p>
        </w:tc>
        <w:tc>
          <w:tcPr>
            <w:tcW w:w="1790"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公安分局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2023年年底</w:t>
            </w:r>
          </w:p>
        </w:tc>
        <w:tc>
          <w:tcPr>
            <w:tcW w:w="2227" w:type="dxa"/>
            <w:noWrap w:val="0"/>
            <w:vAlign w:val="center"/>
          </w:tcPr>
          <w:p>
            <w:pPr>
              <w:rPr>
                <w:rFonts w:hint="eastAsia" w:ascii="Times New Roman" w:hAnsi="Times New Roman" w:eastAsia="仿宋_GB2312"/>
                <w:szCs w:val="21"/>
              </w:rPr>
            </w:pPr>
            <w:r>
              <w:rPr>
                <w:rFonts w:hint="eastAsia" w:ascii="Times New Roman" w:hAnsi="Times New Roman" w:eastAsia="仿宋_GB2312"/>
                <w:szCs w:val="21"/>
              </w:rPr>
              <w:t>生态环境分局、交通分局、各村（园区）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784" w:type="dxa"/>
            <w:noWrap w:val="0"/>
            <w:vAlign w:val="center"/>
          </w:tcPr>
          <w:p>
            <w:pPr>
              <w:numPr>
                <w:ilvl w:val="0"/>
                <w:numId w:val="2"/>
              </w:numPr>
              <w:rPr>
                <w:rFonts w:ascii="Times New Roman" w:hAnsi="Times New Roman" w:eastAsia="仿宋_GB2312"/>
                <w:szCs w:val="21"/>
              </w:rPr>
            </w:pPr>
            <w:r>
              <w:rPr>
                <w:rFonts w:hint="eastAsia" w:ascii="Times New Roman" w:hAnsi="Times New Roman" w:eastAsia="仿宋_GB2312"/>
                <w:szCs w:val="21"/>
              </w:rPr>
              <w:t>加强机动车监控体系建设和应用</w:t>
            </w: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加强排放大数据分析应用。通过遥感监测、定期排放检验、OBD远程监控、用车大户管理台账等信息数据综合分析，追溯超标排放车辆的登记地、排放检验机构、维修单位、加油站点、供油企业、运输单位等，分类建立重点管控对象清单并动态更新，每月定期和不定期联合相关部门对重点管控对象开展现场核查，依法查处相关违法行为。</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rPr>
                <w:rFonts w:hint="eastAsia" w:ascii="Times New Roman" w:hAnsi="Times New Roman" w:eastAsia="仿宋_GB2312"/>
                <w:szCs w:val="21"/>
              </w:rPr>
            </w:pPr>
            <w:r>
              <w:rPr>
                <w:rFonts w:hint="eastAsia" w:ascii="Times New Roman" w:hAnsi="Times New Roman" w:eastAsia="仿宋_GB2312"/>
                <w:szCs w:val="21"/>
              </w:rPr>
              <w:t>2023年年底</w:t>
            </w:r>
          </w:p>
        </w:tc>
        <w:tc>
          <w:tcPr>
            <w:tcW w:w="2227" w:type="dxa"/>
            <w:noWrap w:val="0"/>
            <w:vAlign w:val="center"/>
          </w:tcPr>
          <w:p>
            <w:pPr>
              <w:rPr>
                <w:rFonts w:hint="eastAsia" w:ascii="Times New Roman" w:hAnsi="Times New Roman" w:eastAsia="仿宋_GB2312"/>
                <w:szCs w:val="21"/>
              </w:rPr>
            </w:pPr>
            <w:r>
              <w:rPr>
                <w:rFonts w:ascii="Times New Roman" w:hAnsi="Times New Roman" w:eastAsia="仿宋_GB2312"/>
                <w:szCs w:val="21"/>
              </w:rPr>
              <w:t>经济发展局、公安分局、交通分局、市场监管分局</w:t>
            </w:r>
            <w:r>
              <w:rPr>
                <w:rFonts w:hint="eastAsia" w:ascii="Times New Roman" w:hAnsi="Times New Roman" w:eastAsia="仿宋_GB2312"/>
                <w:szCs w:val="21"/>
              </w:rPr>
              <w:t>、</w:t>
            </w:r>
            <w:r>
              <w:rPr>
                <w:rFonts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1784" w:type="dxa"/>
            <w:noWrap w:val="0"/>
            <w:vAlign w:val="center"/>
          </w:tcPr>
          <w:p>
            <w:pPr>
              <w:numPr>
                <w:ilvl w:val="0"/>
                <w:numId w:val="2"/>
              </w:numPr>
              <w:rPr>
                <w:rFonts w:ascii="Times New Roman" w:hAnsi="Times New Roman" w:eastAsia="仿宋_GB2312"/>
                <w:szCs w:val="21"/>
              </w:rPr>
            </w:pPr>
            <w:r>
              <w:rPr>
                <w:rFonts w:hint="eastAsia" w:ascii="Times New Roman" w:hAnsi="Times New Roman" w:eastAsia="仿宋_GB2312"/>
                <w:szCs w:val="21"/>
              </w:rPr>
              <w:t>加强非道路移动机械污染防治</w:t>
            </w: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严格非道路移动机械全过程监管。禁止使用未经过编码登记的非道路移动机械。组织开展非道路移动机械专项检查，抽查数量不少于60台次，</w:t>
            </w:r>
            <w:r>
              <w:rPr>
                <w:rFonts w:ascii="Times New Roman" w:hAnsi="Times New Roman" w:eastAsia="仿宋_GB2312"/>
                <w:szCs w:val="21"/>
                <w:lang w:bidi="ar"/>
              </w:rPr>
              <w:t>重点查处禁止使用高排放非道路移动机械区域内排放不达标的非道路移动机械、铁路内燃机车，基本消除冒黑烟现象。</w:t>
            </w:r>
          </w:p>
        </w:tc>
        <w:tc>
          <w:tcPr>
            <w:tcW w:w="1790" w:type="dxa"/>
            <w:noWrap w:val="0"/>
            <w:vAlign w:val="center"/>
          </w:tcPr>
          <w:p>
            <w:pPr>
              <w:jc w:val="center"/>
              <w:rPr>
                <w:rFonts w:ascii="Times New Roman" w:hAnsi="Times New Roman" w:eastAsia="仿宋_GB2312"/>
                <w:szCs w:val="21"/>
              </w:rPr>
            </w:pPr>
            <w:r>
              <w:rPr>
                <w:rFonts w:hint="eastAsia" w:ascii="Times New Roman" w:hAnsi="Times New Roman" w:eastAsia="仿宋_GB2312"/>
                <w:szCs w:val="21"/>
              </w:rPr>
              <w:t>生态环境分局</w:t>
            </w:r>
          </w:p>
        </w:tc>
        <w:tc>
          <w:tcPr>
            <w:tcW w:w="1358" w:type="dxa"/>
            <w:noWrap w:val="0"/>
            <w:vAlign w:val="center"/>
          </w:tcPr>
          <w:p>
            <w:pPr>
              <w:rPr>
                <w:rFonts w:hint="eastAsia" w:ascii="Times New Roman" w:hAnsi="Times New Roman" w:eastAsia="仿宋_GB2312"/>
                <w:szCs w:val="21"/>
              </w:rPr>
            </w:pPr>
            <w:r>
              <w:rPr>
                <w:rFonts w:hint="eastAsia" w:ascii="Times New Roman" w:hAnsi="Times New Roman" w:eastAsia="仿宋_GB2312"/>
                <w:szCs w:val="21"/>
              </w:rPr>
              <w:t>2023年年底</w:t>
            </w:r>
          </w:p>
        </w:tc>
        <w:tc>
          <w:tcPr>
            <w:tcW w:w="2227" w:type="dxa"/>
            <w:noWrap w:val="0"/>
            <w:vAlign w:val="center"/>
          </w:tcPr>
          <w:p>
            <w:pPr>
              <w:rPr>
                <w:rFonts w:hint="eastAsia" w:ascii="Times New Roman" w:hAnsi="Times New Roman" w:eastAsia="仿宋_GB2312"/>
                <w:szCs w:val="21"/>
              </w:rPr>
            </w:pPr>
            <w:r>
              <w:rPr>
                <w:rFonts w:ascii="Times New Roman" w:hAnsi="Times New Roman" w:eastAsia="仿宋_GB2312"/>
                <w:szCs w:val="21"/>
              </w:rPr>
              <w:t>住建局、交通分局、水务中心、市场监管分局、农林水务局</w:t>
            </w:r>
            <w:r>
              <w:rPr>
                <w:rFonts w:hint="eastAsia" w:ascii="Times New Roman" w:hAnsi="Times New Roman" w:eastAsia="仿宋_GB2312"/>
                <w:szCs w:val="21"/>
              </w:rPr>
              <w:t>、</w:t>
            </w:r>
            <w:r>
              <w:rPr>
                <w:rFonts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1784" w:type="dxa"/>
            <w:noWrap w:val="0"/>
            <w:vAlign w:val="center"/>
          </w:tcPr>
          <w:p>
            <w:pPr>
              <w:numPr>
                <w:ilvl w:val="0"/>
                <w:numId w:val="2"/>
              </w:numPr>
              <w:rPr>
                <w:rFonts w:ascii="Times New Roman" w:hAnsi="Times New Roman" w:eastAsia="仿宋_GB2312"/>
                <w:szCs w:val="21"/>
              </w:rPr>
            </w:pPr>
            <w:r>
              <w:rPr>
                <w:rFonts w:ascii="Times New Roman" w:hAnsi="Times New Roman" w:eastAsia="仿宋_GB2312"/>
                <w:szCs w:val="21"/>
              </w:rPr>
              <w:t>加强对非法成品油的联动监管</w:t>
            </w: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组织开展打击非法成品油专项行动</w:t>
            </w:r>
            <w:r>
              <w:rPr>
                <w:rFonts w:hint="eastAsia" w:ascii="Times New Roman" w:hAnsi="Times New Roman" w:eastAsia="仿宋_GB2312"/>
                <w:szCs w:val="21"/>
              </w:rPr>
              <w:t>，</w:t>
            </w:r>
            <w:r>
              <w:rPr>
                <w:rFonts w:ascii="Times New Roman" w:hAnsi="Times New Roman" w:eastAsia="仿宋_GB2312"/>
                <w:szCs w:val="21"/>
              </w:rPr>
              <w:t>严厉打击成品油走私行为</w:t>
            </w:r>
            <w:r>
              <w:rPr>
                <w:rFonts w:hint="eastAsia" w:ascii="Times New Roman" w:hAnsi="Times New Roman" w:eastAsia="仿宋_GB2312"/>
                <w:szCs w:val="21"/>
              </w:rPr>
              <w:t>，</w:t>
            </w:r>
            <w:r>
              <w:rPr>
                <w:rFonts w:ascii="Times New Roman" w:hAnsi="Times New Roman" w:eastAsia="仿宋_GB2312"/>
                <w:szCs w:val="21"/>
              </w:rPr>
              <w:t>以“自流黑”整治为重点，严厉打击非法成品油生产、储存、运输、销售、使用全链条违法行为。对储油库、加油（气）站和企业自备油库的抽查覆盖率达100％。重点抽查中小型成品油供应企业油品质量，排查加油站和企业自备油库，查处非法调和成品油油库、批发仓储“黑油点”、撬装“黑油点”、自设罐“黑油点”、流动“黑油点”等。</w:t>
            </w:r>
          </w:p>
        </w:tc>
        <w:tc>
          <w:tcPr>
            <w:tcW w:w="1790" w:type="dxa"/>
            <w:noWrap w:val="0"/>
            <w:vAlign w:val="center"/>
          </w:tcPr>
          <w:p>
            <w:pPr>
              <w:jc w:val="center"/>
              <w:rPr>
                <w:rFonts w:ascii="Times New Roman" w:hAnsi="Times New Roman" w:eastAsia="仿宋_GB2312"/>
                <w:szCs w:val="21"/>
              </w:rPr>
            </w:pPr>
            <w:r>
              <w:rPr>
                <w:rFonts w:hint="eastAsia" w:ascii="Times New Roman" w:hAnsi="Times New Roman" w:eastAsia="仿宋_GB2312"/>
                <w:szCs w:val="21"/>
              </w:rPr>
              <w:t>经济发展</w:t>
            </w:r>
            <w:r>
              <w:rPr>
                <w:rFonts w:ascii="Times New Roman" w:hAnsi="Times New Roman" w:eastAsia="仿宋_GB2312"/>
                <w:szCs w:val="21"/>
              </w:rPr>
              <w:t>局、</w:t>
            </w:r>
          </w:p>
          <w:p>
            <w:pPr>
              <w:jc w:val="center"/>
              <w:rPr>
                <w:rFonts w:ascii="Times New Roman" w:hAnsi="Times New Roman" w:eastAsia="仿宋_GB2312"/>
                <w:szCs w:val="21"/>
              </w:rPr>
            </w:pPr>
            <w:r>
              <w:rPr>
                <w:rFonts w:ascii="Times New Roman" w:hAnsi="Times New Roman" w:eastAsia="仿宋_GB2312"/>
                <w:szCs w:val="21"/>
              </w:rPr>
              <w:t>公安</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rPr>
                <w:rFonts w:hint="eastAsia" w:ascii="Times New Roman" w:hAnsi="Times New Roman" w:eastAsia="仿宋_GB2312"/>
                <w:szCs w:val="21"/>
              </w:rPr>
            </w:pPr>
            <w:r>
              <w:rPr>
                <w:rFonts w:hint="eastAsia" w:ascii="Times New Roman" w:hAnsi="Times New Roman" w:eastAsia="仿宋_GB2312"/>
                <w:szCs w:val="21"/>
              </w:rPr>
              <w:t>2023年年底</w:t>
            </w:r>
          </w:p>
        </w:tc>
        <w:tc>
          <w:tcPr>
            <w:tcW w:w="2227" w:type="dxa"/>
            <w:noWrap w:val="0"/>
            <w:vAlign w:val="center"/>
          </w:tcPr>
          <w:p>
            <w:pPr>
              <w:rPr>
                <w:rFonts w:hint="eastAsia"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局、交通</w:t>
            </w:r>
            <w:r>
              <w:rPr>
                <w:rFonts w:hint="eastAsia" w:ascii="Times New Roman" w:hAnsi="Times New Roman" w:eastAsia="仿宋_GB2312"/>
                <w:szCs w:val="21"/>
              </w:rPr>
              <w:t>分</w:t>
            </w:r>
            <w:r>
              <w:rPr>
                <w:rFonts w:ascii="Times New Roman" w:hAnsi="Times New Roman" w:eastAsia="仿宋_GB2312"/>
                <w:szCs w:val="21"/>
              </w:rPr>
              <w:t>局</w:t>
            </w:r>
            <w:r>
              <w:rPr>
                <w:rFonts w:hint="eastAsia" w:ascii="Times New Roman" w:hAnsi="Times New Roman" w:eastAsia="仿宋_GB2312"/>
                <w:szCs w:val="21"/>
              </w:rPr>
              <w:t>、</w:t>
            </w:r>
            <w:r>
              <w:rPr>
                <w:rFonts w:ascii="Times New Roman" w:hAnsi="Times New Roman" w:eastAsia="仿宋_GB2312"/>
                <w:szCs w:val="21"/>
              </w:rPr>
              <w:t>应急管理</w:t>
            </w:r>
            <w:r>
              <w:rPr>
                <w:rFonts w:hint="eastAsia" w:ascii="Times New Roman" w:hAnsi="Times New Roman" w:eastAsia="仿宋_GB2312"/>
                <w:szCs w:val="21"/>
              </w:rPr>
              <w:t>分</w:t>
            </w:r>
            <w:r>
              <w:rPr>
                <w:rFonts w:ascii="Times New Roman" w:hAnsi="Times New Roman" w:eastAsia="仿宋_GB2312"/>
                <w:szCs w:val="21"/>
              </w:rPr>
              <w:t>局、</w:t>
            </w:r>
            <w:r>
              <w:rPr>
                <w:rFonts w:hint="eastAsia" w:ascii="Times New Roman" w:hAnsi="Times New Roman" w:eastAsia="仿宋_GB2312"/>
                <w:szCs w:val="21"/>
              </w:rPr>
              <w:t>市</w:t>
            </w:r>
            <w:r>
              <w:rPr>
                <w:rFonts w:ascii="Times New Roman" w:hAnsi="Times New Roman" w:eastAsia="仿宋_GB2312"/>
                <w:szCs w:val="21"/>
              </w:rPr>
              <w:t>场监管</w:t>
            </w:r>
            <w:r>
              <w:rPr>
                <w:rFonts w:hint="eastAsia" w:ascii="Times New Roman" w:hAnsi="Times New Roman" w:eastAsia="仿宋_GB2312"/>
                <w:szCs w:val="21"/>
              </w:rPr>
              <w:t>分</w:t>
            </w:r>
            <w:r>
              <w:rPr>
                <w:rFonts w:ascii="Times New Roman" w:hAnsi="Times New Roman" w:eastAsia="仿宋_GB2312"/>
                <w:szCs w:val="21"/>
              </w:rPr>
              <w:t>局</w:t>
            </w: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1784" w:type="dxa"/>
            <w:vMerge w:val="restart"/>
            <w:noWrap w:val="0"/>
            <w:vAlign w:val="center"/>
          </w:tcPr>
          <w:p>
            <w:pPr>
              <w:numPr>
                <w:ilvl w:val="0"/>
                <w:numId w:val="2"/>
              </w:numPr>
              <w:rPr>
                <w:rFonts w:ascii="Times New Roman" w:hAnsi="Times New Roman" w:eastAsia="仿宋_GB2312"/>
                <w:szCs w:val="21"/>
              </w:rPr>
            </w:pPr>
            <w:r>
              <w:rPr>
                <w:rFonts w:ascii="Times New Roman" w:hAnsi="Times New Roman" w:eastAsia="仿宋_GB2312"/>
                <w:szCs w:val="21"/>
              </w:rPr>
              <w:t>强化使用环节油品质量监管</w:t>
            </w: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开展车用油品使用环节抽检。重点开展柴油货车油箱、尿素箱抽取样品检查。全年抽检使用环节油品质量不少于</w:t>
            </w:r>
            <w:r>
              <w:rPr>
                <w:rFonts w:hint="eastAsia" w:ascii="Times New Roman" w:hAnsi="Times New Roman" w:eastAsia="仿宋_GB2312"/>
                <w:szCs w:val="21"/>
              </w:rPr>
              <w:t>20</w:t>
            </w:r>
            <w:r>
              <w:rPr>
                <w:rFonts w:ascii="Times New Roman" w:hAnsi="Times New Roman" w:eastAsia="仿宋_GB2312"/>
                <w:szCs w:val="21"/>
              </w:rPr>
              <w:t>次。及时汇总问题线索，将涉及油品生产和销售环节质量问题线索通报</w:t>
            </w:r>
            <w:r>
              <w:rPr>
                <w:rFonts w:hint="eastAsia" w:ascii="Times New Roman" w:hAnsi="Times New Roman" w:eastAsia="仿宋_GB2312"/>
                <w:szCs w:val="21"/>
              </w:rPr>
              <w:t>市</w:t>
            </w:r>
            <w:r>
              <w:rPr>
                <w:rFonts w:ascii="Times New Roman" w:hAnsi="Times New Roman" w:eastAsia="仿宋_GB2312"/>
                <w:szCs w:val="21"/>
              </w:rPr>
              <w:t>场监管部门，涉嫌犯罪的移送公安部门，严厉打击成品油经营违法犯罪行为。</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rPr>
                <w:rFonts w:hint="eastAsia" w:ascii="Times New Roman" w:hAnsi="Times New Roman" w:eastAsia="仿宋_GB2312"/>
                <w:szCs w:val="21"/>
              </w:rPr>
            </w:pPr>
            <w:r>
              <w:rPr>
                <w:rFonts w:hint="eastAsia" w:ascii="Times New Roman" w:hAnsi="Times New Roman" w:eastAsia="仿宋_GB2312"/>
                <w:szCs w:val="21"/>
              </w:rPr>
              <w:t>2023年年底</w:t>
            </w:r>
          </w:p>
        </w:tc>
        <w:tc>
          <w:tcPr>
            <w:tcW w:w="2227" w:type="dxa"/>
            <w:noWrap w:val="0"/>
            <w:vAlign w:val="center"/>
          </w:tcPr>
          <w:p>
            <w:pPr>
              <w:rPr>
                <w:rFonts w:hint="eastAsia" w:ascii="Times New Roman" w:hAnsi="Times New Roman" w:eastAsia="仿宋_GB2312"/>
                <w:szCs w:val="21"/>
              </w:rPr>
            </w:pPr>
            <w:r>
              <w:rPr>
                <w:rFonts w:ascii="Times New Roman" w:hAnsi="Times New Roman" w:eastAsia="仿宋_GB2312"/>
                <w:szCs w:val="21"/>
              </w:rPr>
              <w:t>公安</w:t>
            </w:r>
            <w:r>
              <w:rPr>
                <w:rFonts w:hint="eastAsia" w:ascii="Times New Roman" w:hAnsi="Times New Roman" w:eastAsia="仿宋_GB2312"/>
                <w:szCs w:val="21"/>
              </w:rPr>
              <w:t>分</w:t>
            </w:r>
            <w:r>
              <w:rPr>
                <w:rFonts w:ascii="Times New Roman" w:hAnsi="Times New Roman" w:eastAsia="仿宋_GB2312"/>
                <w:szCs w:val="21"/>
              </w:rPr>
              <w:t>局、市场监管</w:t>
            </w:r>
            <w:r>
              <w:rPr>
                <w:rFonts w:hint="eastAsia" w:ascii="Times New Roman" w:hAnsi="Times New Roman" w:eastAsia="仿宋_GB2312"/>
                <w:szCs w:val="21"/>
              </w:rPr>
              <w:t>分</w:t>
            </w:r>
            <w:r>
              <w:rPr>
                <w:rFonts w:ascii="Times New Roman" w:hAnsi="Times New Roman" w:eastAsia="仿宋_GB2312"/>
                <w:szCs w:val="21"/>
              </w:rPr>
              <w:t>局</w:t>
            </w: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784" w:type="dxa"/>
            <w:vMerge w:val="continue"/>
            <w:noWrap w:val="0"/>
            <w:vAlign w:val="center"/>
          </w:tcPr>
          <w:p>
            <w:pPr>
              <w:ind w:left="425" w:hanging="425"/>
              <w:rPr>
                <w:rFonts w:ascii="Times New Roman" w:hAnsi="Times New Roman" w:eastAsia="仿宋_GB2312"/>
                <w:szCs w:val="21"/>
              </w:rPr>
            </w:pP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全面实行非道路移动机械油品直供。建立源头可控、运行有序的非道路移动机械油品直供体系，压实项目建设、施工单位等各方责任，杜绝购进不合格油品或从非法渠道购进油品等违法现象。</w:t>
            </w:r>
          </w:p>
        </w:tc>
        <w:tc>
          <w:tcPr>
            <w:tcW w:w="1790" w:type="dxa"/>
            <w:noWrap w:val="0"/>
            <w:vAlign w:val="center"/>
          </w:tcPr>
          <w:p>
            <w:pPr>
              <w:jc w:val="center"/>
              <w:rPr>
                <w:rFonts w:ascii="Times New Roman" w:hAnsi="Times New Roman" w:eastAsia="仿宋_GB2312"/>
                <w:szCs w:val="21"/>
              </w:rPr>
            </w:pPr>
            <w:r>
              <w:rPr>
                <w:rFonts w:hint="eastAsia" w:ascii="Times New Roman" w:hAnsi="Times New Roman" w:eastAsia="仿宋_GB2312"/>
                <w:szCs w:val="21"/>
              </w:rPr>
              <w:t>经济发展</w:t>
            </w:r>
            <w:r>
              <w:rPr>
                <w:rFonts w:ascii="Times New Roman" w:hAnsi="Times New Roman" w:eastAsia="仿宋_GB2312"/>
                <w:szCs w:val="21"/>
              </w:rPr>
              <w:t>局、</w:t>
            </w:r>
          </w:p>
          <w:p>
            <w:pPr>
              <w:jc w:val="center"/>
              <w:rPr>
                <w:rFonts w:ascii="Times New Roman" w:hAnsi="Times New Roman" w:eastAsia="仿宋_GB2312"/>
                <w:szCs w:val="21"/>
              </w:rPr>
            </w:pPr>
            <w:r>
              <w:rPr>
                <w:rFonts w:ascii="Times New Roman" w:hAnsi="Times New Roman" w:eastAsia="仿宋_GB2312"/>
                <w:szCs w:val="21"/>
              </w:rPr>
              <w:t>住建局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2023年年底</w:t>
            </w:r>
          </w:p>
        </w:tc>
        <w:tc>
          <w:tcPr>
            <w:tcW w:w="2227" w:type="dxa"/>
            <w:noWrap w:val="0"/>
            <w:vAlign w:val="center"/>
          </w:tcPr>
          <w:p>
            <w:pPr>
              <w:rPr>
                <w:rFonts w:ascii="Times New Roman" w:hAnsi="Times New Roman" w:eastAsia="仿宋_GB2312"/>
                <w:szCs w:val="21"/>
              </w:rPr>
            </w:pPr>
            <w:r>
              <w:rPr>
                <w:rFonts w:hint="eastAsia" w:ascii="Times New Roman" w:hAnsi="Times New Roman" w:eastAsia="仿宋_GB2312"/>
                <w:szCs w:val="21"/>
              </w:rPr>
              <w:t>农林水务</w:t>
            </w:r>
            <w:r>
              <w:rPr>
                <w:rFonts w:ascii="Times New Roman" w:hAnsi="Times New Roman" w:eastAsia="仿宋_GB2312"/>
                <w:szCs w:val="21"/>
              </w:rPr>
              <w:t>局、公安</w:t>
            </w:r>
            <w:r>
              <w:rPr>
                <w:rFonts w:hint="eastAsia" w:ascii="Times New Roman" w:hAnsi="Times New Roman" w:eastAsia="仿宋_GB2312"/>
                <w:szCs w:val="21"/>
              </w:rPr>
              <w:t>分</w:t>
            </w:r>
            <w:r>
              <w:rPr>
                <w:rFonts w:ascii="Times New Roman" w:hAnsi="Times New Roman" w:eastAsia="仿宋_GB2312"/>
                <w:szCs w:val="21"/>
              </w:rPr>
              <w:t>局、生态环境</w:t>
            </w:r>
            <w:r>
              <w:rPr>
                <w:rFonts w:hint="eastAsia" w:ascii="Times New Roman" w:hAnsi="Times New Roman" w:eastAsia="仿宋_GB2312"/>
                <w:szCs w:val="21"/>
              </w:rPr>
              <w:t>分</w:t>
            </w:r>
            <w:r>
              <w:rPr>
                <w:rFonts w:ascii="Times New Roman" w:hAnsi="Times New Roman" w:eastAsia="仿宋_GB2312"/>
                <w:szCs w:val="21"/>
              </w:rPr>
              <w:t>局、交通</w:t>
            </w:r>
            <w:r>
              <w:rPr>
                <w:rFonts w:hint="eastAsia" w:ascii="Times New Roman" w:hAnsi="Times New Roman" w:eastAsia="仿宋_GB2312"/>
                <w:szCs w:val="21"/>
              </w:rPr>
              <w:t>分</w:t>
            </w:r>
            <w:r>
              <w:rPr>
                <w:rFonts w:ascii="Times New Roman" w:hAnsi="Times New Roman" w:eastAsia="仿宋_GB2312"/>
                <w:szCs w:val="21"/>
              </w:rPr>
              <w:t>局、</w:t>
            </w:r>
            <w:r>
              <w:rPr>
                <w:rFonts w:hint="eastAsia" w:ascii="Times New Roman" w:hAnsi="Times New Roman" w:eastAsia="仿宋_GB2312"/>
                <w:szCs w:val="21"/>
              </w:rPr>
              <w:t>市</w:t>
            </w:r>
            <w:r>
              <w:rPr>
                <w:rFonts w:ascii="Times New Roman" w:hAnsi="Times New Roman" w:eastAsia="仿宋_GB2312"/>
                <w:szCs w:val="21"/>
              </w:rPr>
              <w:t>场监管</w:t>
            </w:r>
            <w:r>
              <w:rPr>
                <w:rFonts w:hint="eastAsia" w:ascii="Times New Roman" w:hAnsi="Times New Roman" w:eastAsia="仿宋_GB2312"/>
                <w:szCs w:val="21"/>
              </w:rPr>
              <w:t>分</w:t>
            </w:r>
            <w:r>
              <w:rPr>
                <w:rFonts w:ascii="Times New Roman" w:hAnsi="Times New Roman" w:eastAsia="仿宋_GB2312"/>
                <w:szCs w:val="21"/>
              </w:rPr>
              <w:t>局、城管</w:t>
            </w:r>
            <w:r>
              <w:rPr>
                <w:rFonts w:hint="eastAsia" w:ascii="Times New Roman" w:hAnsi="Times New Roman" w:eastAsia="仿宋_GB2312"/>
                <w:szCs w:val="21"/>
              </w:rPr>
              <w:t>分</w:t>
            </w:r>
            <w:r>
              <w:rPr>
                <w:rFonts w:ascii="Times New Roman" w:hAnsi="Times New Roman" w:eastAsia="仿宋_GB2312"/>
                <w:szCs w:val="21"/>
              </w:rPr>
              <w:t>局</w:t>
            </w:r>
            <w:r>
              <w:rPr>
                <w:rFonts w:hint="eastAsia" w:ascii="Times New Roman" w:hAnsi="Times New Roman" w:eastAsia="仿宋_GB2312"/>
                <w:szCs w:val="21"/>
              </w:rPr>
              <w:t>、水务中心</w:t>
            </w:r>
            <w:r>
              <w:rPr>
                <w:rFonts w:ascii="Times New Roman" w:hAnsi="Times New Roman" w:eastAsia="仿宋_GB2312"/>
                <w:szCs w:val="21"/>
              </w:rPr>
              <w:t>、</w:t>
            </w: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784" w:type="dxa"/>
            <w:noWrap w:val="0"/>
            <w:vAlign w:val="center"/>
          </w:tcPr>
          <w:p>
            <w:pPr>
              <w:numPr>
                <w:ilvl w:val="0"/>
                <w:numId w:val="2"/>
              </w:numPr>
              <w:rPr>
                <w:rFonts w:ascii="Times New Roman" w:hAnsi="Times New Roman" w:eastAsia="仿宋_GB2312"/>
                <w:szCs w:val="21"/>
              </w:rPr>
            </w:pPr>
            <w:r>
              <w:rPr>
                <w:rFonts w:ascii="Times New Roman" w:hAnsi="Times New Roman" w:eastAsia="仿宋_GB2312"/>
                <w:szCs w:val="21"/>
              </w:rPr>
              <w:t>强化施工工地监管</w:t>
            </w: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落实工地扬尘防治清单台账更新、工地扬尘监管执法排名与通报制度，压实各方扬尘防控责任。采用视频监控、工地扬尘在线监测、现场检查等方式，严格工地扬尘防控监管。创建一批扬尘控制示范工地，并向社会公布。</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住建局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2023年年底</w:t>
            </w:r>
          </w:p>
        </w:tc>
        <w:tc>
          <w:tcPr>
            <w:tcW w:w="2227" w:type="dxa"/>
            <w:noWrap w:val="0"/>
            <w:vAlign w:val="center"/>
          </w:tcPr>
          <w:p>
            <w:pPr>
              <w:rPr>
                <w:rFonts w:hint="eastAsia" w:ascii="Times New Roman" w:hAnsi="Times New Roman" w:eastAsia="仿宋_GB2312"/>
                <w:szCs w:val="21"/>
              </w:rPr>
            </w:pPr>
            <w:r>
              <w:rPr>
                <w:rFonts w:hint="eastAsia" w:ascii="Times New Roman" w:hAnsi="Times New Roman" w:eastAsia="仿宋_GB2312"/>
                <w:szCs w:val="21"/>
              </w:rPr>
              <w:t>农林水务局、生态环境分局、</w:t>
            </w:r>
            <w:r>
              <w:rPr>
                <w:rFonts w:ascii="Times New Roman" w:hAnsi="Times New Roman" w:eastAsia="仿宋_GB2312"/>
                <w:szCs w:val="21"/>
              </w:rPr>
              <w:t>交通</w:t>
            </w:r>
            <w:r>
              <w:rPr>
                <w:rFonts w:hint="eastAsia" w:ascii="Times New Roman" w:hAnsi="Times New Roman" w:eastAsia="仿宋_GB2312"/>
                <w:szCs w:val="21"/>
              </w:rPr>
              <w:t>分</w:t>
            </w:r>
            <w:r>
              <w:rPr>
                <w:rFonts w:ascii="Times New Roman" w:hAnsi="Times New Roman" w:eastAsia="仿宋_GB2312"/>
                <w:szCs w:val="21"/>
              </w:rPr>
              <w:t>局、城管</w:t>
            </w:r>
            <w:r>
              <w:rPr>
                <w:rFonts w:hint="eastAsia" w:ascii="Times New Roman" w:hAnsi="Times New Roman" w:eastAsia="仿宋_GB2312"/>
                <w:szCs w:val="21"/>
              </w:rPr>
              <w:t>分</w:t>
            </w:r>
            <w:r>
              <w:rPr>
                <w:rFonts w:ascii="Times New Roman" w:hAnsi="Times New Roman" w:eastAsia="仿宋_GB2312"/>
                <w:szCs w:val="21"/>
              </w:rPr>
              <w:t>局</w:t>
            </w:r>
            <w:r>
              <w:rPr>
                <w:rFonts w:hint="eastAsia" w:ascii="Times New Roman" w:hAnsi="Times New Roman" w:eastAsia="仿宋_GB2312"/>
                <w:szCs w:val="21"/>
              </w:rPr>
              <w:t>、工程建设中心</w:t>
            </w:r>
            <w:r>
              <w:rPr>
                <w:rFonts w:ascii="Times New Roman" w:hAnsi="Times New Roman" w:eastAsia="仿宋_GB2312"/>
                <w:szCs w:val="21"/>
              </w:rPr>
              <w:t>、水务</w:t>
            </w:r>
            <w:r>
              <w:rPr>
                <w:rFonts w:hint="eastAsia" w:ascii="Times New Roman" w:hAnsi="Times New Roman" w:eastAsia="仿宋_GB2312"/>
                <w:szCs w:val="21"/>
              </w:rPr>
              <w:t>中心</w:t>
            </w:r>
            <w:r>
              <w:rPr>
                <w:rFonts w:ascii="Times New Roman" w:hAnsi="Times New Roman" w:eastAsia="仿宋_GB2312"/>
                <w:szCs w:val="21"/>
              </w:rPr>
              <w:t>、</w:t>
            </w:r>
            <w:r>
              <w:rPr>
                <w:rFonts w:hint="eastAsia" w:ascii="Times New Roman" w:hAnsi="Times New Roman" w:eastAsia="仿宋_GB2312"/>
                <w:szCs w:val="21"/>
              </w:rPr>
              <w:t>供电公司、各村（园区）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784" w:type="dxa"/>
            <w:noWrap w:val="0"/>
            <w:vAlign w:val="center"/>
          </w:tcPr>
          <w:p>
            <w:pPr>
              <w:numPr>
                <w:ilvl w:val="0"/>
                <w:numId w:val="2"/>
              </w:numPr>
              <w:rPr>
                <w:rFonts w:ascii="Times New Roman" w:hAnsi="Times New Roman" w:eastAsia="仿宋_GB2312"/>
                <w:szCs w:val="21"/>
              </w:rPr>
            </w:pPr>
            <w:r>
              <w:rPr>
                <w:rFonts w:hint="eastAsia" w:ascii="Times New Roman" w:hAnsi="Times New Roman" w:eastAsia="仿宋_GB2312"/>
                <w:szCs w:val="21"/>
              </w:rPr>
              <w:t>严禁露天焚烧</w:t>
            </w: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rPr>
              <w:t>加大露天焚烧监管力度，力争全镇范围内基本无露天焚烧现象。</w:t>
            </w:r>
            <w:r>
              <w:rPr>
                <w:rFonts w:ascii="Times New Roman" w:hAnsi="Times New Roman" w:eastAsia="仿宋_GB2312"/>
                <w:szCs w:val="21"/>
                <w:lang w:bidi="ar"/>
              </w:rPr>
              <w:t>完善网格化监管体系，运用AI高清视频监控、无人机等手段</w:t>
            </w:r>
            <w:r>
              <w:rPr>
                <w:rFonts w:ascii="Times New Roman" w:hAnsi="Times New Roman" w:eastAsia="仿宋_GB2312"/>
                <w:szCs w:val="21"/>
              </w:rPr>
              <w:t>加强露天焚烧巡查力度，及时查处露天焚烧行为。</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农</w:t>
            </w:r>
            <w:r>
              <w:rPr>
                <w:rFonts w:hint="eastAsia" w:ascii="Times New Roman" w:hAnsi="Times New Roman" w:eastAsia="仿宋_GB2312"/>
                <w:szCs w:val="21"/>
              </w:rPr>
              <w:t>林</w:t>
            </w:r>
            <w:r>
              <w:rPr>
                <w:rFonts w:ascii="Times New Roman" w:hAnsi="Times New Roman" w:eastAsia="仿宋_GB2312"/>
                <w:szCs w:val="21"/>
              </w:rPr>
              <w:t>水务局、</w:t>
            </w:r>
          </w:p>
          <w:p>
            <w:pPr>
              <w:jc w:val="center"/>
              <w:rPr>
                <w:rFonts w:ascii="Times New Roman" w:hAnsi="Times New Roman" w:eastAsia="仿宋_GB2312"/>
                <w:szCs w:val="21"/>
              </w:rPr>
            </w:pPr>
            <w:r>
              <w:rPr>
                <w:rFonts w:ascii="Times New Roman" w:hAnsi="Times New Roman" w:eastAsia="仿宋_GB2312"/>
                <w:szCs w:val="21"/>
              </w:rPr>
              <w:t>城管分局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2023年年底</w:t>
            </w:r>
          </w:p>
        </w:tc>
        <w:tc>
          <w:tcPr>
            <w:tcW w:w="2227" w:type="dxa"/>
            <w:noWrap w:val="0"/>
            <w:vAlign w:val="center"/>
          </w:tcPr>
          <w:p>
            <w:pPr>
              <w:rPr>
                <w:rFonts w:hint="eastAsia" w:ascii="Times New Roman" w:hAnsi="Times New Roman" w:eastAsia="仿宋_GB2312"/>
                <w:szCs w:val="21"/>
              </w:rPr>
            </w:pPr>
            <w:r>
              <w:rPr>
                <w:rFonts w:ascii="Times New Roman" w:hAnsi="Times New Roman" w:eastAsia="仿宋_GB2312"/>
                <w:szCs w:val="21"/>
              </w:rPr>
              <w:t>生态环境分局</w:t>
            </w:r>
            <w:r>
              <w:rPr>
                <w:rFonts w:hint="eastAsia" w:ascii="Times New Roman" w:hAnsi="Times New Roman" w:eastAsia="仿宋_GB2312"/>
                <w:bCs/>
                <w:szCs w:val="21"/>
              </w:rPr>
              <w:t>、</w:t>
            </w: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784" w:type="dxa"/>
            <w:noWrap w:val="0"/>
            <w:vAlign w:val="center"/>
          </w:tcPr>
          <w:p>
            <w:pPr>
              <w:numPr>
                <w:ilvl w:val="0"/>
                <w:numId w:val="2"/>
              </w:numPr>
              <w:rPr>
                <w:rFonts w:ascii="Times New Roman" w:hAnsi="Times New Roman" w:eastAsia="仿宋_GB2312"/>
                <w:szCs w:val="21"/>
              </w:rPr>
            </w:pPr>
            <w:r>
              <w:rPr>
                <w:rFonts w:ascii="Times New Roman" w:hAnsi="Times New Roman" w:eastAsia="仿宋_GB2312"/>
                <w:szCs w:val="21"/>
              </w:rPr>
              <w:t>加强</w:t>
            </w:r>
            <w:r>
              <w:rPr>
                <w:rFonts w:hint="eastAsia" w:ascii="Times New Roman" w:hAnsi="Times New Roman" w:eastAsia="仿宋_GB2312"/>
                <w:szCs w:val="21"/>
              </w:rPr>
              <w:t>污染天气防控</w:t>
            </w: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lang w:bidi="ar"/>
              </w:rPr>
              <w:t>以臭氧污染天气应对为重点，完善“市－镇－企”三级预警应对机制，明确部门责任分工，细化应对工作方案和管控清单，减排措施应落实到具体生产线或生产设施。联合子站运维单位至少每周进行一次会商，滚动更新天气形势预测。建立并定期更新污染天气应对管控清单，将涉VOCs企业、工业炉窑A级企业列为应对减排豁免单位，依法依规落实停限产措施。</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2023年年底</w:t>
            </w:r>
          </w:p>
        </w:tc>
        <w:tc>
          <w:tcPr>
            <w:tcW w:w="2227" w:type="dxa"/>
            <w:noWrap w:val="0"/>
            <w:vAlign w:val="center"/>
          </w:tcPr>
          <w:p>
            <w:pPr>
              <w:rPr>
                <w:rFonts w:ascii="Times New Roman" w:hAnsi="Times New Roman" w:eastAsia="仿宋_GB2312"/>
                <w:szCs w:val="21"/>
              </w:rPr>
            </w:pPr>
            <w:r>
              <w:rPr>
                <w:rFonts w:hint="eastAsia" w:ascii="Times New Roman" w:hAnsi="Times New Roman" w:eastAsia="仿宋_GB2312"/>
                <w:szCs w:val="21"/>
              </w:rPr>
              <w:t>各村（园区）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1784" w:type="dxa"/>
            <w:noWrap w:val="0"/>
            <w:vAlign w:val="center"/>
          </w:tcPr>
          <w:p>
            <w:pPr>
              <w:numPr>
                <w:ilvl w:val="0"/>
                <w:numId w:val="2"/>
              </w:numPr>
              <w:rPr>
                <w:rFonts w:ascii="Times New Roman" w:hAnsi="Times New Roman" w:eastAsia="仿宋_GB2312"/>
                <w:szCs w:val="21"/>
              </w:rPr>
            </w:pPr>
            <w:r>
              <w:rPr>
                <w:rFonts w:hint="eastAsia" w:ascii="Times New Roman" w:hAnsi="Times New Roman" w:eastAsia="仿宋_GB2312"/>
                <w:kern w:val="0"/>
                <w:szCs w:val="21"/>
                <w:lang w:bidi="ar"/>
              </w:rPr>
              <w:t>加强监测站点运维管理</w:t>
            </w:r>
          </w:p>
        </w:tc>
        <w:tc>
          <w:tcPr>
            <w:tcW w:w="1366" w:type="dxa"/>
            <w:noWrap w:val="0"/>
            <w:vAlign w:val="center"/>
          </w:tcPr>
          <w:p>
            <w:pPr>
              <w:numPr>
                <w:ilvl w:val="0"/>
                <w:numId w:val="3"/>
              </w:numPr>
              <w:bidi/>
              <w:ind w:left="0" w:right="0"/>
              <w:jc w:val="center"/>
              <w:rPr>
                <w:rFonts w:ascii="Times New Roman" w:hAnsi="Times New Roman" w:eastAsia="仿宋_GB2312"/>
                <w:szCs w:val="21"/>
              </w:rPr>
            </w:pPr>
          </w:p>
        </w:tc>
        <w:tc>
          <w:tcPr>
            <w:tcW w:w="6325" w:type="dxa"/>
            <w:noWrap w:val="0"/>
            <w:vAlign w:val="center"/>
          </w:tcPr>
          <w:p>
            <w:pPr>
              <w:ind w:firstLine="420" w:firstLineChars="200"/>
              <w:rPr>
                <w:rFonts w:ascii="Times New Roman" w:hAnsi="Times New Roman" w:eastAsia="仿宋_GB2312"/>
                <w:szCs w:val="21"/>
              </w:rPr>
            </w:pPr>
            <w:r>
              <w:rPr>
                <w:rFonts w:ascii="Times New Roman" w:hAnsi="Times New Roman" w:eastAsia="仿宋_GB2312"/>
                <w:szCs w:val="21"/>
                <w:lang w:bidi="ar"/>
              </w:rPr>
              <w:t>2023</w:t>
            </w:r>
            <w:r>
              <w:rPr>
                <w:rFonts w:ascii="Times New Roman" w:hAnsi="Times New Roman" w:eastAsia="仿宋_GB2312"/>
                <w:szCs w:val="21"/>
              </w:rPr>
              <w:t>年</w:t>
            </w:r>
            <w:r>
              <w:rPr>
                <w:rFonts w:ascii="Times New Roman" w:hAnsi="Times New Roman" w:eastAsia="仿宋_GB2312"/>
                <w:szCs w:val="21"/>
                <w:lang w:bidi="ar"/>
              </w:rPr>
              <w:t>年底前，将空气质量监测站点运维工作统一上收至市生态环境局，提升站点运维和日常质控水平，确保空气质量监测数据真实准确。</w:t>
            </w:r>
          </w:p>
        </w:tc>
        <w:tc>
          <w:tcPr>
            <w:tcW w:w="1790" w:type="dxa"/>
            <w:noWrap w:val="0"/>
            <w:vAlign w:val="center"/>
          </w:tcPr>
          <w:p>
            <w:pPr>
              <w:jc w:val="center"/>
              <w:rPr>
                <w:rFonts w:ascii="Times New Roman" w:hAnsi="Times New Roman" w:eastAsia="仿宋_GB2312"/>
                <w:szCs w:val="21"/>
              </w:rPr>
            </w:pPr>
            <w:r>
              <w:rPr>
                <w:rFonts w:ascii="Times New Roman" w:hAnsi="Times New Roman" w:eastAsia="仿宋_GB2312"/>
                <w:szCs w:val="21"/>
              </w:rPr>
              <w:t>生态环境</w:t>
            </w:r>
            <w:r>
              <w:rPr>
                <w:rFonts w:hint="eastAsia" w:ascii="Times New Roman" w:hAnsi="Times New Roman" w:eastAsia="仿宋_GB2312"/>
                <w:szCs w:val="21"/>
              </w:rPr>
              <w:t>分</w:t>
            </w:r>
            <w:r>
              <w:rPr>
                <w:rFonts w:ascii="Times New Roman" w:hAnsi="Times New Roman" w:eastAsia="仿宋_GB2312"/>
                <w:szCs w:val="21"/>
              </w:rPr>
              <w:t>局</w:t>
            </w:r>
          </w:p>
        </w:tc>
        <w:tc>
          <w:tcPr>
            <w:tcW w:w="1358" w:type="dxa"/>
            <w:noWrap w:val="0"/>
            <w:vAlign w:val="center"/>
          </w:tcPr>
          <w:p>
            <w:pPr>
              <w:jc w:val="center"/>
              <w:rPr>
                <w:rFonts w:hint="eastAsia" w:ascii="Times New Roman" w:hAnsi="Times New Roman" w:eastAsia="仿宋_GB2312"/>
                <w:szCs w:val="21"/>
              </w:rPr>
            </w:pPr>
            <w:r>
              <w:rPr>
                <w:rFonts w:hint="eastAsia" w:ascii="Times New Roman" w:hAnsi="Times New Roman" w:eastAsia="仿宋_GB2312"/>
                <w:szCs w:val="21"/>
              </w:rPr>
              <w:t>2023年年底</w:t>
            </w:r>
          </w:p>
        </w:tc>
        <w:tc>
          <w:tcPr>
            <w:tcW w:w="2227" w:type="dxa"/>
            <w:noWrap w:val="0"/>
            <w:vAlign w:val="center"/>
          </w:tcPr>
          <w:p>
            <w:pPr>
              <w:rPr>
                <w:rFonts w:ascii="Times New Roman" w:hAnsi="Times New Roman" w:eastAsia="仿宋_GB2312"/>
                <w:szCs w:val="21"/>
              </w:rPr>
            </w:pPr>
          </w:p>
        </w:tc>
      </w:tr>
    </w:tbl>
    <w:p>
      <w:pPr>
        <w:spacing w:line="600" w:lineRule="exact"/>
        <w:jc w:val="left"/>
        <w:outlineLvl w:val="1"/>
        <w:rPr>
          <w:rFonts w:ascii="Times New Roman" w:hAnsi="Times New Roman" w:eastAsia="黑体"/>
          <w:sz w:val="32"/>
          <w:szCs w:val="32"/>
        </w:rPr>
        <w:sectPr>
          <w:pgSz w:w="16838" w:h="11906" w:orient="landscape"/>
          <w:pgMar w:top="1531" w:right="2041" w:bottom="1531" w:left="2041" w:header="851" w:footer="1417" w:gutter="0"/>
          <w:pgNumType w:fmt="numberInDash"/>
          <w:cols w:space="720" w:num="1"/>
          <w:titlePg/>
          <w:docGrid w:type="lines" w:linePitch="312" w:charSpace="0"/>
        </w:sectPr>
      </w:pPr>
    </w:p>
    <w:p>
      <w:pPr>
        <w:spacing w:line="600" w:lineRule="exact"/>
        <w:jc w:val="left"/>
        <w:outlineLvl w:val="1"/>
        <w:rPr>
          <w:rFonts w:hint="eastAsia"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2</w:t>
      </w:r>
    </w:p>
    <w:p>
      <w:pPr>
        <w:spacing w:line="600" w:lineRule="exact"/>
        <w:ind w:firstLine="440" w:firstLineChars="100"/>
        <w:rPr>
          <w:rFonts w:ascii="Times New Roman" w:hAnsi="Times New Roman" w:eastAsia="方正小标宋简体"/>
          <w:sz w:val="44"/>
          <w:szCs w:val="44"/>
        </w:rPr>
      </w:pPr>
      <w:r>
        <w:rPr>
          <w:rFonts w:ascii="Times New Roman" w:hAnsi="Times New Roman" w:eastAsia="方正小标宋简体"/>
          <w:sz w:val="44"/>
          <w:szCs w:val="44"/>
        </w:rPr>
        <w:t>2023年度镇街（园区）空气质量改善目标</w:t>
      </w:r>
    </w:p>
    <w:p>
      <w:pPr>
        <w:pStyle w:val="23"/>
        <w:ind w:firstLine="480"/>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949"/>
        <w:gridCol w:w="1372"/>
        <w:gridCol w:w="2231"/>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blHeader/>
        </w:trPr>
        <w:tc>
          <w:tcPr>
            <w:tcW w:w="742" w:type="pct"/>
            <w:noWrap w:val="0"/>
            <w:vAlign w:val="center"/>
          </w:tcPr>
          <w:p>
            <w:pPr>
              <w:widowControl/>
              <w:adjustRightInd w:val="0"/>
              <w:snapToGrid w:val="0"/>
              <w:jc w:val="center"/>
              <w:textAlignment w:val="center"/>
              <w:rPr>
                <w:rStyle w:val="27"/>
                <w:rFonts w:hint="default" w:ascii="Times New Roman" w:hAnsi="Times New Roman" w:eastAsia="黑体" w:cs="Times New Roman"/>
                <w:color w:val="auto"/>
                <w:sz w:val="24"/>
                <w:szCs w:val="24"/>
                <w:lang w:bidi="ar"/>
              </w:rPr>
            </w:pPr>
            <w:r>
              <w:rPr>
                <w:rStyle w:val="27"/>
                <w:rFonts w:hint="default" w:ascii="Times New Roman" w:hAnsi="Times New Roman" w:eastAsia="黑体" w:cs="Times New Roman"/>
                <w:color w:val="auto"/>
                <w:sz w:val="24"/>
                <w:szCs w:val="24"/>
                <w:lang w:bidi="ar"/>
              </w:rPr>
              <w:t>镇街</w:t>
            </w:r>
          </w:p>
          <w:p>
            <w:pPr>
              <w:widowControl/>
              <w:adjustRightInd w:val="0"/>
              <w:snapToGrid w:val="0"/>
              <w:jc w:val="center"/>
              <w:textAlignment w:val="center"/>
              <w:rPr>
                <w:rStyle w:val="27"/>
                <w:rFonts w:hint="default" w:ascii="Times New Roman" w:hAnsi="Times New Roman" w:eastAsia="黑体" w:cs="Times New Roman"/>
                <w:color w:val="auto"/>
                <w:sz w:val="24"/>
                <w:szCs w:val="24"/>
                <w:lang w:bidi="ar"/>
              </w:rPr>
            </w:pPr>
            <w:r>
              <w:rPr>
                <w:rStyle w:val="27"/>
                <w:rFonts w:hint="default" w:ascii="Times New Roman" w:hAnsi="Times New Roman" w:eastAsia="黑体" w:cs="Times New Roman"/>
                <w:color w:val="auto"/>
                <w:sz w:val="24"/>
                <w:szCs w:val="24"/>
                <w:lang w:bidi="ar"/>
              </w:rPr>
              <w:t>（园区）</w:t>
            </w:r>
          </w:p>
        </w:tc>
        <w:tc>
          <w:tcPr>
            <w:tcW w:w="1076" w:type="pct"/>
            <w:noWrap w:val="0"/>
            <w:vAlign w:val="center"/>
          </w:tcPr>
          <w:p>
            <w:pPr>
              <w:widowControl/>
              <w:adjustRightInd w:val="0"/>
              <w:snapToGrid w:val="0"/>
              <w:jc w:val="center"/>
              <w:textAlignment w:val="center"/>
              <w:rPr>
                <w:rStyle w:val="27"/>
                <w:rFonts w:hint="default" w:ascii="Times New Roman" w:hAnsi="Times New Roman" w:eastAsia="黑体" w:cs="Times New Roman"/>
                <w:color w:val="auto"/>
                <w:sz w:val="24"/>
                <w:szCs w:val="24"/>
                <w:lang w:bidi="ar"/>
              </w:rPr>
            </w:pPr>
            <w:r>
              <w:rPr>
                <w:rStyle w:val="27"/>
                <w:rFonts w:hint="default" w:ascii="Times New Roman" w:hAnsi="Times New Roman" w:eastAsia="黑体" w:cs="Times New Roman"/>
                <w:color w:val="auto"/>
                <w:sz w:val="24"/>
                <w:szCs w:val="24"/>
                <w:lang w:bidi="ar"/>
              </w:rPr>
              <w:t>空气质量优良天数比例目标</w:t>
            </w:r>
          </w:p>
        </w:tc>
        <w:tc>
          <w:tcPr>
            <w:tcW w:w="757" w:type="pct"/>
            <w:noWrap w:val="0"/>
            <w:vAlign w:val="center"/>
          </w:tcPr>
          <w:p>
            <w:pPr>
              <w:widowControl/>
              <w:adjustRightInd w:val="0"/>
              <w:snapToGrid w:val="0"/>
              <w:jc w:val="center"/>
              <w:textAlignment w:val="center"/>
              <w:rPr>
                <w:rStyle w:val="27"/>
                <w:rFonts w:hint="default" w:ascii="Times New Roman" w:hAnsi="Times New Roman" w:eastAsia="黑体" w:cs="Times New Roman"/>
                <w:color w:val="auto"/>
                <w:sz w:val="24"/>
                <w:szCs w:val="24"/>
                <w:lang w:bidi="ar"/>
              </w:rPr>
            </w:pPr>
            <w:r>
              <w:rPr>
                <w:rStyle w:val="27"/>
                <w:rFonts w:hint="default" w:ascii="Times New Roman" w:hAnsi="Times New Roman" w:eastAsia="黑体" w:cs="Times New Roman"/>
                <w:color w:val="auto"/>
                <w:sz w:val="24"/>
                <w:szCs w:val="24"/>
                <w:lang w:bidi="ar"/>
              </w:rPr>
              <w:t>可用超标天数（天）</w:t>
            </w:r>
          </w:p>
        </w:tc>
        <w:tc>
          <w:tcPr>
            <w:tcW w:w="1231" w:type="pct"/>
            <w:noWrap w:val="0"/>
            <w:vAlign w:val="center"/>
          </w:tcPr>
          <w:p>
            <w:pPr>
              <w:widowControl/>
              <w:adjustRightInd w:val="0"/>
              <w:snapToGrid w:val="0"/>
              <w:jc w:val="center"/>
              <w:textAlignment w:val="center"/>
              <w:rPr>
                <w:rStyle w:val="27"/>
                <w:rFonts w:hint="default" w:ascii="Times New Roman" w:hAnsi="Times New Roman" w:eastAsia="黑体" w:cs="Times New Roman"/>
                <w:color w:val="auto"/>
                <w:sz w:val="24"/>
                <w:szCs w:val="24"/>
                <w:lang w:bidi="ar"/>
              </w:rPr>
            </w:pPr>
            <w:r>
              <w:rPr>
                <w:rStyle w:val="27"/>
                <w:rFonts w:hint="default" w:ascii="Times New Roman" w:hAnsi="Times New Roman" w:eastAsia="黑体" w:cs="Times New Roman"/>
                <w:color w:val="auto"/>
                <w:sz w:val="24"/>
                <w:szCs w:val="24"/>
                <w:lang w:bidi="ar"/>
              </w:rPr>
              <w:t>PM</w:t>
            </w:r>
            <w:r>
              <w:rPr>
                <w:rStyle w:val="27"/>
                <w:rFonts w:hint="default" w:ascii="Times New Roman" w:hAnsi="Times New Roman" w:eastAsia="黑体" w:cs="Times New Roman"/>
                <w:color w:val="auto"/>
                <w:sz w:val="24"/>
                <w:szCs w:val="24"/>
                <w:vertAlign w:val="subscript"/>
                <w:lang w:bidi="ar"/>
              </w:rPr>
              <w:t>2.5</w:t>
            </w:r>
            <w:r>
              <w:rPr>
                <w:rStyle w:val="27"/>
                <w:rFonts w:hint="default" w:ascii="Times New Roman" w:hAnsi="Times New Roman" w:eastAsia="黑体" w:cs="Times New Roman"/>
                <w:color w:val="auto"/>
                <w:sz w:val="24"/>
                <w:szCs w:val="24"/>
                <w:lang w:bidi="ar"/>
              </w:rPr>
              <w:t>年均浓度目标（μg/m</w:t>
            </w:r>
            <w:r>
              <w:rPr>
                <w:rStyle w:val="27"/>
                <w:rFonts w:hint="default" w:ascii="Times New Roman" w:hAnsi="Times New Roman" w:eastAsia="黑体" w:cs="Times New Roman"/>
                <w:color w:val="auto"/>
                <w:sz w:val="24"/>
                <w:szCs w:val="24"/>
                <w:vertAlign w:val="superscript"/>
                <w:lang w:bidi="ar"/>
              </w:rPr>
              <w:t>3</w:t>
            </w:r>
            <w:r>
              <w:rPr>
                <w:rStyle w:val="27"/>
                <w:rFonts w:hint="default" w:ascii="Times New Roman" w:hAnsi="Times New Roman" w:eastAsia="黑体" w:cs="Times New Roman"/>
                <w:color w:val="auto"/>
                <w:sz w:val="24"/>
                <w:szCs w:val="24"/>
                <w:lang w:bidi="ar"/>
              </w:rPr>
              <w:t>）</w:t>
            </w:r>
          </w:p>
        </w:tc>
        <w:tc>
          <w:tcPr>
            <w:tcW w:w="1194" w:type="pct"/>
            <w:noWrap w:val="0"/>
            <w:vAlign w:val="center"/>
          </w:tcPr>
          <w:p>
            <w:pPr>
              <w:widowControl/>
              <w:adjustRightInd w:val="0"/>
              <w:snapToGrid w:val="0"/>
              <w:jc w:val="center"/>
              <w:textAlignment w:val="center"/>
              <w:rPr>
                <w:rStyle w:val="27"/>
                <w:rFonts w:hint="default" w:ascii="Times New Roman" w:hAnsi="Times New Roman" w:eastAsia="黑体" w:cs="Times New Roman"/>
                <w:color w:val="auto"/>
                <w:sz w:val="24"/>
                <w:szCs w:val="24"/>
                <w:lang w:bidi="ar"/>
              </w:rPr>
            </w:pPr>
            <w:r>
              <w:rPr>
                <w:rStyle w:val="27"/>
                <w:rFonts w:hint="default" w:ascii="Times New Roman" w:hAnsi="Times New Roman" w:eastAsia="黑体" w:cs="Times New Roman"/>
                <w:color w:val="auto"/>
                <w:sz w:val="24"/>
                <w:szCs w:val="24"/>
                <w:lang w:bidi="ar"/>
              </w:rPr>
              <w:t>NO</w:t>
            </w:r>
            <w:r>
              <w:rPr>
                <w:rStyle w:val="27"/>
                <w:rFonts w:hint="default" w:ascii="Times New Roman" w:hAnsi="Times New Roman" w:eastAsia="黑体" w:cs="Times New Roman"/>
                <w:color w:val="auto"/>
                <w:sz w:val="24"/>
                <w:szCs w:val="24"/>
                <w:vertAlign w:val="subscript"/>
                <w:lang w:bidi="ar"/>
              </w:rPr>
              <w:t>2</w:t>
            </w:r>
            <w:r>
              <w:rPr>
                <w:rStyle w:val="27"/>
                <w:rFonts w:hint="default" w:ascii="Times New Roman" w:hAnsi="Times New Roman" w:eastAsia="黑体" w:cs="Times New Roman"/>
                <w:color w:val="auto"/>
                <w:sz w:val="24"/>
                <w:szCs w:val="24"/>
                <w:lang w:bidi="ar"/>
              </w:rPr>
              <w:t>年均浓度目标（μg/m</w:t>
            </w:r>
            <w:r>
              <w:rPr>
                <w:rStyle w:val="27"/>
                <w:rFonts w:hint="default" w:ascii="Times New Roman" w:hAnsi="Times New Roman" w:eastAsia="黑体" w:cs="Times New Roman"/>
                <w:color w:val="auto"/>
                <w:sz w:val="24"/>
                <w:szCs w:val="24"/>
                <w:vertAlign w:val="superscript"/>
                <w:lang w:bidi="ar"/>
              </w:rPr>
              <w:t>3</w:t>
            </w:r>
            <w:r>
              <w:rPr>
                <w:rStyle w:val="27"/>
                <w:rFonts w:hint="default" w:ascii="Times New Roman" w:hAnsi="Times New Roman" w:eastAsia="黑体" w:cs="Times New Roman"/>
                <w:color w:val="auto"/>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南城</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89.9%</w:t>
            </w:r>
          </w:p>
        </w:tc>
        <w:tc>
          <w:tcPr>
            <w:tcW w:w="757" w:type="pct"/>
            <w:noWrap w:val="0"/>
            <w:vAlign w:val="center"/>
          </w:tcPr>
          <w:p>
            <w:pPr>
              <w:widowControl/>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37</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21</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莞城</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90.0%</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36</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22</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4"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东城</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88.4%</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42</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20</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万江</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91.3%</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32</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20</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松山湖</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89.1%</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40</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21</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石龙</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94.0%</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22</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23</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虎门</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90.2%</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36</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23</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Style w:val="27"/>
                <w:rFonts w:hint="default" w:ascii="Times New Roman" w:hAnsi="Times New Roman" w:eastAsia="仿宋_GB2312" w:cs="Times New Roman"/>
                <w:color w:val="auto"/>
                <w:sz w:val="24"/>
                <w:szCs w:val="24"/>
                <w:lang w:bidi="ar"/>
              </w:rPr>
            </w:pPr>
            <w:r>
              <w:rPr>
                <w:rStyle w:val="27"/>
                <w:rFonts w:hint="default" w:ascii="Times New Roman" w:hAnsi="Times New Roman" w:eastAsia="仿宋_GB2312" w:cs="Times New Roman"/>
                <w:color w:val="auto"/>
                <w:sz w:val="24"/>
                <w:szCs w:val="24"/>
                <w:lang w:bidi="ar"/>
              </w:rPr>
              <w:t>中堂</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94.7%</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19</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24</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Style w:val="27"/>
                <w:rFonts w:hint="default" w:ascii="Times New Roman" w:hAnsi="Times New Roman" w:eastAsia="仿宋_GB2312" w:cs="Times New Roman"/>
                <w:color w:val="auto"/>
                <w:sz w:val="24"/>
                <w:szCs w:val="24"/>
                <w:lang w:bidi="ar"/>
              </w:rPr>
            </w:pPr>
            <w:r>
              <w:rPr>
                <w:rStyle w:val="27"/>
                <w:rFonts w:hint="default" w:ascii="Times New Roman" w:hAnsi="Times New Roman" w:eastAsia="仿宋_GB2312" w:cs="Times New Roman"/>
                <w:color w:val="auto"/>
                <w:sz w:val="24"/>
                <w:szCs w:val="24"/>
                <w:lang w:bidi="ar"/>
              </w:rPr>
              <w:t>望牛墩</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90.5%</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35</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24</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麻涌</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86.6%</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49</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20</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Style w:val="27"/>
                <w:rFonts w:hint="default" w:ascii="Times New Roman" w:hAnsi="Times New Roman" w:eastAsia="仿宋_GB2312" w:cs="Times New Roman"/>
                <w:color w:val="auto"/>
                <w:sz w:val="24"/>
                <w:szCs w:val="24"/>
                <w:lang w:bidi="ar"/>
              </w:rPr>
            </w:pPr>
            <w:r>
              <w:rPr>
                <w:rStyle w:val="27"/>
                <w:rFonts w:hint="default" w:ascii="Times New Roman" w:hAnsi="Times New Roman" w:eastAsia="仿宋_GB2312" w:cs="Times New Roman"/>
                <w:color w:val="auto"/>
                <w:sz w:val="24"/>
                <w:szCs w:val="24"/>
                <w:lang w:bidi="ar"/>
              </w:rPr>
              <w:t>石碣</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92.5%</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27</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22</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Style w:val="27"/>
                <w:rFonts w:hint="default" w:ascii="Times New Roman" w:hAnsi="Times New Roman" w:eastAsia="仿宋_GB2312" w:cs="Times New Roman"/>
                <w:color w:val="auto"/>
                <w:sz w:val="24"/>
                <w:szCs w:val="24"/>
                <w:lang w:bidi="ar"/>
              </w:rPr>
            </w:pPr>
            <w:r>
              <w:rPr>
                <w:rStyle w:val="27"/>
                <w:rFonts w:hint="default" w:ascii="Times New Roman" w:hAnsi="Times New Roman" w:eastAsia="仿宋_GB2312" w:cs="Times New Roman"/>
                <w:color w:val="auto"/>
                <w:sz w:val="24"/>
                <w:szCs w:val="24"/>
                <w:lang w:bidi="ar"/>
              </w:rPr>
              <w:t>高</w:t>
            </w:r>
            <w:r>
              <w:rPr>
                <w:rStyle w:val="27"/>
                <w:rFonts w:hint="default" w:ascii="仿宋" w:hAnsi="仿宋" w:eastAsia="仿宋" w:cs="仿宋"/>
                <w:color w:val="auto"/>
                <w:sz w:val="24"/>
                <w:szCs w:val="24"/>
                <w:lang w:bidi="ar"/>
              </w:rPr>
              <w:t>埗</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92.1%</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29</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23</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洪梅</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88.7%</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41</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22</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Style w:val="27"/>
                <w:rFonts w:hint="default" w:ascii="Times New Roman" w:hAnsi="Times New Roman" w:eastAsia="仿宋_GB2312" w:cs="Times New Roman"/>
                <w:color w:val="auto"/>
                <w:sz w:val="24"/>
                <w:szCs w:val="24"/>
                <w:lang w:bidi="ar"/>
              </w:rPr>
            </w:pPr>
            <w:r>
              <w:rPr>
                <w:rStyle w:val="27"/>
                <w:rFonts w:hint="default" w:ascii="Times New Roman" w:hAnsi="Times New Roman" w:eastAsia="仿宋_GB2312" w:cs="Times New Roman"/>
                <w:color w:val="auto"/>
                <w:sz w:val="24"/>
                <w:szCs w:val="24"/>
                <w:lang w:bidi="ar"/>
              </w:rPr>
              <w:t>道</w:t>
            </w:r>
            <w:r>
              <w:rPr>
                <w:rStyle w:val="27"/>
                <w:rFonts w:hint="default" w:ascii="仿宋" w:hAnsi="仿宋" w:eastAsia="仿宋" w:cs="仿宋"/>
                <w:color w:val="auto"/>
                <w:sz w:val="24"/>
                <w:szCs w:val="24"/>
                <w:lang w:bidi="ar"/>
              </w:rPr>
              <w:t>滘</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91.4%</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31</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23</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厚街</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88.7%</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41</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22</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Style w:val="27"/>
                <w:rFonts w:hint="default" w:ascii="Times New Roman" w:hAnsi="Times New Roman" w:eastAsia="仿宋_GB2312" w:cs="Times New Roman"/>
                <w:color w:val="auto"/>
                <w:sz w:val="24"/>
                <w:szCs w:val="24"/>
                <w:lang w:bidi="ar"/>
              </w:rPr>
            </w:pPr>
            <w:r>
              <w:rPr>
                <w:rStyle w:val="27"/>
                <w:rFonts w:hint="default" w:ascii="Times New Roman" w:hAnsi="Times New Roman" w:eastAsia="仿宋_GB2312" w:cs="Times New Roman"/>
                <w:color w:val="auto"/>
                <w:sz w:val="24"/>
                <w:szCs w:val="24"/>
                <w:lang w:bidi="ar"/>
              </w:rPr>
              <w:t>沙田</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90.4%</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35</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20</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长安</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91.9%</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29</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22</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寮步</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93.4%</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24</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22</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Style w:val="27"/>
                <w:rFonts w:hint="default" w:ascii="Times New Roman" w:hAnsi="Times New Roman" w:eastAsia="仿宋_GB2312" w:cs="Times New Roman"/>
                <w:color w:val="auto"/>
                <w:sz w:val="24"/>
                <w:szCs w:val="24"/>
                <w:lang w:bidi="ar"/>
              </w:rPr>
            </w:pPr>
            <w:r>
              <w:rPr>
                <w:rStyle w:val="27"/>
                <w:rFonts w:hint="default" w:ascii="Times New Roman" w:hAnsi="Times New Roman" w:eastAsia="仿宋_GB2312" w:cs="Times New Roman"/>
                <w:color w:val="auto"/>
                <w:sz w:val="24"/>
                <w:szCs w:val="24"/>
                <w:lang w:bidi="ar"/>
              </w:rPr>
              <w:t>大岭山</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87.2%</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47</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23</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Style w:val="27"/>
                <w:rFonts w:hint="default" w:ascii="Times New Roman" w:hAnsi="Times New Roman" w:eastAsia="仿宋_GB2312" w:cs="Times New Roman"/>
                <w:color w:val="auto"/>
                <w:sz w:val="24"/>
                <w:szCs w:val="24"/>
                <w:lang w:bidi="ar"/>
              </w:rPr>
            </w:pPr>
            <w:r>
              <w:rPr>
                <w:rStyle w:val="27"/>
                <w:rFonts w:hint="default" w:ascii="Times New Roman" w:hAnsi="Times New Roman" w:eastAsia="仿宋_GB2312" w:cs="Times New Roman"/>
                <w:color w:val="auto"/>
                <w:sz w:val="24"/>
                <w:szCs w:val="24"/>
                <w:lang w:bidi="ar"/>
              </w:rPr>
              <w:t>大朗</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93.5%</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24</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23</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Style w:val="27"/>
                <w:rFonts w:hint="default" w:ascii="Times New Roman" w:hAnsi="Times New Roman" w:eastAsia="仿宋_GB2312" w:cs="Times New Roman"/>
                <w:color w:val="auto"/>
                <w:sz w:val="24"/>
                <w:szCs w:val="24"/>
                <w:lang w:bidi="ar"/>
              </w:rPr>
            </w:pPr>
            <w:r>
              <w:rPr>
                <w:rStyle w:val="27"/>
                <w:rFonts w:hint="default" w:ascii="Times New Roman" w:hAnsi="Times New Roman" w:eastAsia="仿宋_GB2312" w:cs="Times New Roman"/>
                <w:color w:val="auto"/>
                <w:sz w:val="24"/>
                <w:szCs w:val="24"/>
                <w:lang w:bidi="ar"/>
              </w:rPr>
              <w:t>黄江</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92.8%</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26</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22</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Style w:val="27"/>
                <w:rFonts w:hint="default" w:ascii="Times New Roman" w:hAnsi="Times New Roman" w:eastAsia="仿宋_GB2312" w:cs="Times New Roman"/>
                <w:color w:val="auto"/>
                <w:sz w:val="24"/>
                <w:szCs w:val="24"/>
                <w:lang w:bidi="ar"/>
              </w:rPr>
            </w:pPr>
            <w:r>
              <w:rPr>
                <w:rStyle w:val="27"/>
                <w:rFonts w:hint="default" w:ascii="Times New Roman" w:hAnsi="Times New Roman" w:eastAsia="仿宋_GB2312" w:cs="Times New Roman"/>
                <w:color w:val="auto"/>
                <w:sz w:val="24"/>
                <w:szCs w:val="24"/>
                <w:lang w:bidi="ar"/>
              </w:rPr>
              <w:t>樟木头</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91.0%</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33</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20</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Style w:val="27"/>
                <w:rFonts w:hint="default" w:ascii="Times New Roman" w:hAnsi="Times New Roman" w:eastAsia="仿宋_GB2312" w:cs="Times New Roman"/>
                <w:color w:val="auto"/>
                <w:sz w:val="24"/>
                <w:szCs w:val="24"/>
                <w:lang w:bidi="ar"/>
              </w:rPr>
            </w:pPr>
            <w:r>
              <w:rPr>
                <w:rStyle w:val="27"/>
                <w:rFonts w:hint="default" w:ascii="Times New Roman" w:hAnsi="Times New Roman" w:eastAsia="仿宋_GB2312" w:cs="Times New Roman"/>
                <w:color w:val="auto"/>
                <w:sz w:val="24"/>
                <w:szCs w:val="24"/>
                <w:lang w:bidi="ar"/>
              </w:rPr>
              <w:t>凤岗</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94.4%</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20</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21</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塘厦</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93.5%</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24</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22</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谢岗</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94.0%</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22</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21</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清溪</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90.8%</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34</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13</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常平</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94.0%</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22</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25</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桥头</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92.6%</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27</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24</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横沥</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93.2%</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25</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22</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东坑</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92.9%</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26</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23</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企石</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94.6%</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20</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22</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石排</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95.0%</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18</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22</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742" w:type="pct"/>
            <w:noWrap w:val="0"/>
            <w:vAlign w:val="center"/>
          </w:tcPr>
          <w:p>
            <w:pPr>
              <w:widowControl/>
              <w:adjustRightInd w:val="0"/>
              <w:snapToGrid w:val="0"/>
              <w:jc w:val="center"/>
              <w:textAlignment w:val="center"/>
              <w:rPr>
                <w:rFonts w:ascii="Times New Roman" w:hAnsi="Times New Roman" w:eastAsia="仿宋_GB2312"/>
                <w:sz w:val="24"/>
                <w:szCs w:val="24"/>
              </w:rPr>
            </w:pPr>
            <w:r>
              <w:rPr>
                <w:rStyle w:val="27"/>
                <w:rFonts w:hint="default" w:ascii="Times New Roman" w:hAnsi="Times New Roman" w:eastAsia="仿宋_GB2312" w:cs="Times New Roman"/>
                <w:color w:val="auto"/>
                <w:sz w:val="24"/>
                <w:szCs w:val="24"/>
                <w:lang w:bidi="ar"/>
              </w:rPr>
              <w:t>茶山</w:t>
            </w:r>
          </w:p>
        </w:tc>
        <w:tc>
          <w:tcPr>
            <w:tcW w:w="1076"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94.5%</w:t>
            </w:r>
          </w:p>
        </w:tc>
        <w:tc>
          <w:tcPr>
            <w:tcW w:w="757"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20</w:t>
            </w:r>
          </w:p>
        </w:tc>
        <w:tc>
          <w:tcPr>
            <w:tcW w:w="1231"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22</w:t>
            </w:r>
          </w:p>
        </w:tc>
        <w:tc>
          <w:tcPr>
            <w:tcW w:w="1194" w:type="pct"/>
            <w:noWrap w:val="0"/>
            <w:vAlign w:val="center"/>
          </w:tcPr>
          <w:p>
            <w:pPr>
              <w:adjustRightInd w:val="0"/>
              <w:snapToGrid w:val="0"/>
              <w:jc w:val="center"/>
              <w:rPr>
                <w:rFonts w:ascii="Times New Roman" w:hAnsi="Times New Roman" w:eastAsia="方正小标宋简体"/>
                <w:sz w:val="24"/>
                <w:szCs w:val="24"/>
              </w:rPr>
            </w:pPr>
            <w:r>
              <w:rPr>
                <w:rFonts w:ascii="Times New Roman" w:hAnsi="Times New Roman"/>
                <w:color w:val="000000"/>
                <w:sz w:val="24"/>
                <w:szCs w:val="24"/>
              </w:rPr>
              <w:t>20</w:t>
            </w:r>
          </w:p>
        </w:tc>
      </w:tr>
    </w:tbl>
    <w:p>
      <w:pPr>
        <w:widowControl/>
        <w:spacing w:line="600" w:lineRule="exact"/>
        <w:jc w:val="center"/>
        <w:rPr>
          <w:rFonts w:ascii="Times New Roman" w:hAnsi="Times New Roman" w:eastAsia="黑体"/>
          <w:sz w:val="32"/>
          <w:szCs w:val="32"/>
        </w:rPr>
      </w:pPr>
    </w:p>
    <w:p>
      <w:pPr>
        <w:spacing w:line="600" w:lineRule="exact"/>
        <w:jc w:val="left"/>
        <w:outlineLvl w:val="1"/>
        <w:rPr>
          <w:rFonts w:hint="eastAsia" w:ascii="Times New Roman" w:hAnsi="Times New Roman" w:eastAsia="黑体"/>
          <w:sz w:val="32"/>
          <w:szCs w:val="32"/>
        </w:rPr>
      </w:pPr>
      <w:r>
        <w:br w:type="page"/>
      </w:r>
      <w:r>
        <w:rPr>
          <w:rFonts w:ascii="Times New Roman" w:hAnsi="Times New Roman" w:eastAsia="黑体"/>
          <w:sz w:val="32"/>
          <w:szCs w:val="32"/>
        </w:rPr>
        <w:t>附件</w:t>
      </w:r>
      <w:r>
        <w:rPr>
          <w:rFonts w:hint="eastAsia" w:ascii="Times New Roman" w:hAnsi="Times New Roman" w:eastAsia="黑体"/>
          <w:sz w:val="32"/>
          <w:szCs w:val="32"/>
        </w:rPr>
        <w:t>3</w:t>
      </w:r>
    </w:p>
    <w:p>
      <w:pPr>
        <w:spacing w:line="600" w:lineRule="exact"/>
        <w:ind w:firstLine="440" w:firstLineChars="100"/>
        <w:rPr>
          <w:rFonts w:hint="eastAsia" w:ascii="Times New Roman" w:hAnsi="Times New Roman" w:eastAsia="方正小标宋简体"/>
          <w:sz w:val="44"/>
          <w:szCs w:val="44"/>
          <w:lang w:bidi="ar"/>
        </w:rPr>
      </w:pPr>
      <w:r>
        <w:rPr>
          <w:rFonts w:hint="eastAsia" w:ascii="Times New Roman" w:hAnsi="Times New Roman" w:eastAsia="方正小标宋简体"/>
          <w:sz w:val="44"/>
          <w:szCs w:val="44"/>
          <w:lang w:bidi="ar"/>
        </w:rPr>
        <w:t>国一及以下排放标准的非道路移动机械淘汰</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bidi="ar"/>
        </w:rPr>
        <w:t>任务表</w:t>
      </w:r>
    </w:p>
    <w:tbl>
      <w:tblPr>
        <w:tblStyle w:val="11"/>
        <w:tblW w:w="8773" w:type="dxa"/>
        <w:tblInd w:w="113" w:type="dxa"/>
        <w:tblLayout w:type="autofit"/>
        <w:tblCellMar>
          <w:top w:w="0" w:type="dxa"/>
          <w:left w:w="108" w:type="dxa"/>
          <w:bottom w:w="0" w:type="dxa"/>
          <w:right w:w="108" w:type="dxa"/>
        </w:tblCellMar>
      </w:tblPr>
      <w:tblGrid>
        <w:gridCol w:w="841"/>
        <w:gridCol w:w="3939"/>
        <w:gridCol w:w="2092"/>
        <w:gridCol w:w="1901"/>
      </w:tblGrid>
      <w:tr>
        <w:tblPrEx>
          <w:tblCellMar>
            <w:top w:w="0" w:type="dxa"/>
            <w:left w:w="108" w:type="dxa"/>
            <w:bottom w:w="0" w:type="dxa"/>
            <w:right w:w="108" w:type="dxa"/>
          </w:tblCellMar>
        </w:tblPrEx>
        <w:trPr>
          <w:trHeight w:val="90" w:hRule="atLeast"/>
        </w:trPr>
        <w:tc>
          <w:tcPr>
            <w:tcW w:w="8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3939"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主管部门</w:t>
            </w:r>
          </w:p>
        </w:tc>
        <w:tc>
          <w:tcPr>
            <w:tcW w:w="2092"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机械数量（台）</w:t>
            </w:r>
          </w:p>
        </w:tc>
        <w:tc>
          <w:tcPr>
            <w:tcW w:w="1901"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排放阶段</w:t>
            </w:r>
          </w:p>
        </w:tc>
      </w:tr>
      <w:tr>
        <w:tblPrEx>
          <w:tblCellMar>
            <w:top w:w="0" w:type="dxa"/>
            <w:left w:w="108" w:type="dxa"/>
            <w:bottom w:w="0" w:type="dxa"/>
            <w:right w:w="108" w:type="dxa"/>
          </w:tblCellMar>
        </w:tblPrEx>
        <w:trPr>
          <w:trHeight w:val="286" w:hRule="atLeast"/>
        </w:trPr>
        <w:tc>
          <w:tcPr>
            <w:tcW w:w="841"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sz w:val="24"/>
                <w:szCs w:val="24"/>
              </w:rPr>
              <w:t>1</w:t>
            </w:r>
          </w:p>
        </w:tc>
        <w:tc>
          <w:tcPr>
            <w:tcW w:w="393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市市场监督管理局</w:t>
            </w:r>
          </w:p>
        </w:tc>
        <w:tc>
          <w:tcPr>
            <w:tcW w:w="209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120</w:t>
            </w:r>
          </w:p>
        </w:tc>
        <w:tc>
          <w:tcPr>
            <w:tcW w:w="1901"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国一及以下</w:t>
            </w:r>
          </w:p>
        </w:tc>
      </w:tr>
      <w:tr>
        <w:tblPrEx>
          <w:tblCellMar>
            <w:top w:w="0" w:type="dxa"/>
            <w:left w:w="108" w:type="dxa"/>
            <w:bottom w:w="0" w:type="dxa"/>
            <w:right w:w="108" w:type="dxa"/>
          </w:tblCellMar>
        </w:tblPrEx>
        <w:trPr>
          <w:trHeight w:val="286" w:hRule="atLeast"/>
        </w:trPr>
        <w:tc>
          <w:tcPr>
            <w:tcW w:w="841"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sz w:val="24"/>
                <w:szCs w:val="24"/>
              </w:rPr>
              <w:t>2</w:t>
            </w:r>
          </w:p>
        </w:tc>
        <w:tc>
          <w:tcPr>
            <w:tcW w:w="393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市交通运输局（公路事务）</w:t>
            </w:r>
          </w:p>
        </w:tc>
        <w:tc>
          <w:tcPr>
            <w:tcW w:w="209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25</w:t>
            </w:r>
          </w:p>
        </w:tc>
        <w:tc>
          <w:tcPr>
            <w:tcW w:w="190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国一及以下</w:t>
            </w:r>
          </w:p>
        </w:tc>
      </w:tr>
      <w:tr>
        <w:tblPrEx>
          <w:tblCellMar>
            <w:top w:w="0" w:type="dxa"/>
            <w:left w:w="108" w:type="dxa"/>
            <w:bottom w:w="0" w:type="dxa"/>
            <w:right w:w="108" w:type="dxa"/>
          </w:tblCellMar>
        </w:tblPrEx>
        <w:trPr>
          <w:trHeight w:val="286" w:hRule="atLeast"/>
        </w:trPr>
        <w:tc>
          <w:tcPr>
            <w:tcW w:w="841"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sz w:val="24"/>
                <w:szCs w:val="24"/>
              </w:rPr>
              <w:t>3</w:t>
            </w:r>
          </w:p>
        </w:tc>
        <w:tc>
          <w:tcPr>
            <w:tcW w:w="393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市交通运输局（港口码头）</w:t>
            </w:r>
          </w:p>
        </w:tc>
        <w:tc>
          <w:tcPr>
            <w:tcW w:w="209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87</w:t>
            </w:r>
          </w:p>
        </w:tc>
        <w:tc>
          <w:tcPr>
            <w:tcW w:w="190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国一及以下</w:t>
            </w:r>
          </w:p>
        </w:tc>
      </w:tr>
      <w:tr>
        <w:tblPrEx>
          <w:tblCellMar>
            <w:top w:w="0" w:type="dxa"/>
            <w:left w:w="108" w:type="dxa"/>
            <w:bottom w:w="0" w:type="dxa"/>
            <w:right w:w="108" w:type="dxa"/>
          </w:tblCellMar>
        </w:tblPrEx>
        <w:trPr>
          <w:trHeight w:val="286" w:hRule="atLeast"/>
        </w:trPr>
        <w:tc>
          <w:tcPr>
            <w:tcW w:w="841"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sz w:val="24"/>
                <w:szCs w:val="24"/>
              </w:rPr>
              <w:t>4</w:t>
            </w:r>
          </w:p>
        </w:tc>
        <w:tc>
          <w:tcPr>
            <w:tcW w:w="393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市水务局（东莞市运河治理中心）</w:t>
            </w:r>
          </w:p>
        </w:tc>
        <w:tc>
          <w:tcPr>
            <w:tcW w:w="209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13</w:t>
            </w:r>
          </w:p>
        </w:tc>
        <w:tc>
          <w:tcPr>
            <w:tcW w:w="190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国一及以下</w:t>
            </w:r>
          </w:p>
        </w:tc>
      </w:tr>
      <w:tr>
        <w:tblPrEx>
          <w:tblCellMar>
            <w:top w:w="0" w:type="dxa"/>
            <w:left w:w="108" w:type="dxa"/>
            <w:bottom w:w="0" w:type="dxa"/>
            <w:right w:w="108" w:type="dxa"/>
          </w:tblCellMar>
        </w:tblPrEx>
        <w:trPr>
          <w:trHeight w:val="286" w:hRule="atLeast"/>
        </w:trPr>
        <w:tc>
          <w:tcPr>
            <w:tcW w:w="841"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sz w:val="24"/>
                <w:szCs w:val="24"/>
              </w:rPr>
              <w:t>5</w:t>
            </w:r>
          </w:p>
        </w:tc>
        <w:tc>
          <w:tcPr>
            <w:tcW w:w="393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市水务局</w:t>
            </w:r>
          </w:p>
        </w:tc>
        <w:tc>
          <w:tcPr>
            <w:tcW w:w="2092"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90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国一及以下</w:t>
            </w:r>
          </w:p>
        </w:tc>
      </w:tr>
      <w:tr>
        <w:tblPrEx>
          <w:tblCellMar>
            <w:top w:w="0" w:type="dxa"/>
            <w:left w:w="108" w:type="dxa"/>
            <w:bottom w:w="0" w:type="dxa"/>
            <w:right w:w="108" w:type="dxa"/>
          </w:tblCellMar>
        </w:tblPrEx>
        <w:trPr>
          <w:trHeight w:val="286" w:hRule="atLeast"/>
        </w:trPr>
        <w:tc>
          <w:tcPr>
            <w:tcW w:w="841"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p>
        </w:tc>
        <w:tc>
          <w:tcPr>
            <w:tcW w:w="393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合计</w:t>
            </w:r>
          </w:p>
        </w:tc>
        <w:tc>
          <w:tcPr>
            <w:tcW w:w="2092"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246</w:t>
            </w:r>
          </w:p>
        </w:tc>
        <w:tc>
          <w:tcPr>
            <w:tcW w:w="190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p>
        </w:tc>
      </w:tr>
    </w:tbl>
    <w:p>
      <w:pPr>
        <w:pStyle w:val="23"/>
        <w:ind w:firstLine="480"/>
      </w:pPr>
    </w:p>
    <w:p>
      <w:pPr>
        <w:spacing w:line="600" w:lineRule="exact"/>
        <w:jc w:val="left"/>
        <w:outlineLvl w:val="1"/>
        <w:rPr>
          <w:rFonts w:hint="eastAsia" w:ascii="Times New Roman" w:hAnsi="Times New Roman" w:eastAsia="黑体"/>
          <w:sz w:val="32"/>
          <w:szCs w:val="32"/>
        </w:rPr>
      </w:pPr>
      <w:r>
        <w:br w:type="page"/>
      </w:r>
      <w:r>
        <w:rPr>
          <w:rFonts w:ascii="Times New Roman" w:hAnsi="Times New Roman" w:eastAsia="黑体"/>
          <w:sz w:val="32"/>
          <w:szCs w:val="32"/>
        </w:rPr>
        <w:t>附件</w:t>
      </w:r>
      <w:r>
        <w:rPr>
          <w:rFonts w:hint="eastAsia" w:ascii="Times New Roman" w:hAnsi="Times New Roman" w:eastAsia="黑体"/>
          <w:sz w:val="32"/>
          <w:szCs w:val="32"/>
        </w:rPr>
        <w:t>4</w:t>
      </w:r>
    </w:p>
    <w:p>
      <w:pPr>
        <w:spacing w:line="600" w:lineRule="exact"/>
        <w:ind w:firstLine="880" w:firstLineChars="200"/>
        <w:rPr>
          <w:rFonts w:ascii="Times New Roman" w:hAnsi="Times New Roman" w:eastAsia="方正小标宋简体"/>
          <w:sz w:val="44"/>
          <w:szCs w:val="44"/>
        </w:rPr>
      </w:pPr>
      <w:r>
        <w:rPr>
          <w:rFonts w:hint="eastAsia" w:ascii="Times New Roman" w:hAnsi="Times New Roman" w:eastAsia="方正小标宋简体"/>
          <w:sz w:val="44"/>
          <w:szCs w:val="44"/>
          <w:lang w:bidi="ar"/>
        </w:rPr>
        <w:t>推动重点企业使用可再生活性炭任务表</w:t>
      </w:r>
    </w:p>
    <w:p>
      <w:pPr>
        <w:rPr>
          <w:vanish/>
        </w:rPr>
      </w:pPr>
    </w:p>
    <w:tbl>
      <w:tblPr>
        <w:tblStyle w:val="11"/>
        <w:tblW w:w="894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2447"/>
        <w:gridCol w:w="2788"/>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2" w:type="dxa"/>
            <w:noWrap/>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2447" w:type="dxa"/>
            <w:noWrap/>
            <w:vAlign w:val="center"/>
          </w:tcPr>
          <w:p>
            <w:pPr>
              <w:jc w:val="center"/>
              <w:rPr>
                <w:rFonts w:hint="eastAsia" w:ascii="黑体" w:hAnsi="黑体" w:eastAsia="黑体" w:cs="黑体"/>
                <w:sz w:val="24"/>
                <w:szCs w:val="24"/>
              </w:rPr>
            </w:pPr>
            <w:r>
              <w:rPr>
                <w:rFonts w:hint="eastAsia" w:ascii="黑体" w:hAnsi="黑体" w:eastAsia="黑体" w:cs="黑体"/>
                <w:sz w:val="24"/>
                <w:szCs w:val="24"/>
              </w:rPr>
              <w:t>镇街（园区）</w:t>
            </w:r>
          </w:p>
        </w:tc>
        <w:tc>
          <w:tcPr>
            <w:tcW w:w="2788"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第一阶段任务数（家）</w:t>
            </w:r>
          </w:p>
        </w:tc>
        <w:tc>
          <w:tcPr>
            <w:tcW w:w="2788"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第二阶段任务数（家）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塘厦</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20</w:t>
            </w:r>
          </w:p>
        </w:tc>
        <w:tc>
          <w:tcPr>
            <w:tcW w:w="2788" w:type="dxa"/>
            <w:vMerge w:val="restart"/>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第一阶段任务在2023年上半年完成；第二阶段任务在2023年下半年完成</w:t>
            </w:r>
            <w:r>
              <w:rPr>
                <w:rFonts w:hint="eastAsia" w:ascii="Times New Roman" w:hAnsi="Times New Roman" w:eastAsia="仿宋_GB2312"/>
                <w:sz w:val="24"/>
                <w:szCs w:val="24"/>
              </w:rPr>
              <w:t>，各镇街（园区）具体任务量根据推广情况再确定。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虎门</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15</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3</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清溪</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11</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4</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桥头</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11</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5</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常平</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11</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6</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长安</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9</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7</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寮步</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9</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8</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麻涌</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8</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9</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大朗</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7</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10</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高</w:t>
            </w:r>
            <w:r>
              <w:rPr>
                <w:rFonts w:ascii="Times New Roman" w:hAnsi="Times New Roman" w:eastAsia="仿宋"/>
                <w:sz w:val="24"/>
                <w:szCs w:val="24"/>
              </w:rPr>
              <w:t>埗</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7</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11</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大岭山</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7</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12</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石碣</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7</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13</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厚街</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7</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14</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凤岗</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6</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15</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黄江</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6</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16</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洪梅</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6</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17</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企石</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6</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18</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沙田</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6</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19</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中堂</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5</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20</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松山湖</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4</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21</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樟木头</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4</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22</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茶山</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4</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23</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道</w:t>
            </w:r>
            <w:r>
              <w:rPr>
                <w:rFonts w:ascii="Times New Roman" w:hAnsi="Times New Roman" w:eastAsia="仿宋"/>
                <w:sz w:val="24"/>
                <w:szCs w:val="24"/>
              </w:rPr>
              <w:t>滘</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4</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24</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谢岗</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4</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25</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石排</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4</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26</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万江</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3</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27</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横沥</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28</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石龙</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29</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东坑</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30</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东城</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22"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31</w:t>
            </w:r>
          </w:p>
        </w:tc>
        <w:tc>
          <w:tcPr>
            <w:tcW w:w="2447"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望牛墩</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w:t>
            </w:r>
          </w:p>
        </w:tc>
        <w:tc>
          <w:tcPr>
            <w:tcW w:w="2788" w:type="dxa"/>
            <w:vMerge w:val="continue"/>
            <w:noWrap/>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369" w:type="dxa"/>
            <w:gridSpan w:val="2"/>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合计</w:t>
            </w:r>
          </w:p>
        </w:tc>
        <w:tc>
          <w:tcPr>
            <w:tcW w:w="2788"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200</w:t>
            </w:r>
          </w:p>
        </w:tc>
        <w:tc>
          <w:tcPr>
            <w:tcW w:w="2788" w:type="dxa"/>
            <w:noWrap/>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300</w:t>
            </w:r>
          </w:p>
        </w:tc>
      </w:tr>
    </w:tbl>
    <w:p>
      <w:pPr>
        <w:jc w:val="left"/>
        <w:rPr>
          <w:rFonts w:ascii="Times New Roman" w:hAnsi="Times New Roman" w:eastAsia="仿宋_GB2312"/>
          <w:sz w:val="24"/>
          <w:szCs w:val="24"/>
        </w:rPr>
      </w:pPr>
    </w:p>
    <w:p>
      <w:pPr>
        <w:spacing w:line="560" w:lineRule="exact"/>
        <w:jc w:val="left"/>
        <w:rPr>
          <w:rFonts w:ascii="Times New Roman" w:hAnsi="Times New Roman" w:eastAsia="黑体"/>
          <w:sz w:val="28"/>
          <w:szCs w:val="28"/>
        </w:rPr>
      </w:pPr>
    </w:p>
    <w:p>
      <w:pPr>
        <w:spacing w:line="560" w:lineRule="exact"/>
        <w:jc w:val="left"/>
        <w:rPr>
          <w:rFonts w:hint="eastAsia" w:ascii="Times New Roman" w:hAnsi="Times New Roman" w:eastAsia="黑体"/>
          <w:sz w:val="28"/>
          <w:szCs w:val="28"/>
        </w:rPr>
      </w:pPr>
      <w:r>
        <w:rPr>
          <w:rFonts w:ascii="Times New Roman" w:hAnsi="Times New Roman" w:eastAsia="黑体"/>
          <w:sz w:val="28"/>
          <w:szCs w:val="28"/>
        </w:rPr>
        <w:t>附件</w:t>
      </w:r>
      <w:r>
        <w:rPr>
          <w:rFonts w:hint="eastAsia" w:ascii="Times New Roman" w:hAnsi="Times New Roman" w:eastAsia="黑体"/>
          <w:sz w:val="28"/>
          <w:szCs w:val="28"/>
        </w:rPr>
        <w:t>5</w:t>
      </w:r>
    </w:p>
    <w:p>
      <w:pPr>
        <w:spacing w:line="560" w:lineRule="exact"/>
        <w:jc w:val="center"/>
        <w:rPr>
          <w:rFonts w:hint="eastAsia" w:ascii="Times New Roman" w:hAnsi="Times New Roman" w:eastAsia="方正小标宋简体"/>
          <w:sz w:val="44"/>
          <w:szCs w:val="44"/>
          <w:lang w:bidi="ar"/>
        </w:rPr>
      </w:pPr>
      <w:r>
        <w:rPr>
          <w:rFonts w:hint="eastAsia" w:ascii="Times New Roman" w:hAnsi="Times New Roman" w:eastAsia="方正小标宋简体"/>
          <w:sz w:val="44"/>
          <w:szCs w:val="44"/>
          <w:lang w:bidi="ar"/>
        </w:rPr>
        <w:t>涉VOCs企业分级评价任务表</w:t>
      </w:r>
    </w:p>
    <w:tbl>
      <w:tblPr>
        <w:tblStyle w:val="11"/>
        <w:tblW w:w="5000" w:type="pct"/>
        <w:jc w:val="center"/>
        <w:tblLayout w:type="autofit"/>
        <w:tblCellMar>
          <w:top w:w="0" w:type="dxa"/>
          <w:left w:w="108" w:type="dxa"/>
          <w:bottom w:w="0" w:type="dxa"/>
          <w:right w:w="108" w:type="dxa"/>
        </w:tblCellMar>
      </w:tblPr>
      <w:tblGrid>
        <w:gridCol w:w="1355"/>
        <w:gridCol w:w="3586"/>
        <w:gridCol w:w="4119"/>
      </w:tblGrid>
      <w:tr>
        <w:tblPrEx>
          <w:tblCellMar>
            <w:top w:w="0" w:type="dxa"/>
            <w:left w:w="108" w:type="dxa"/>
            <w:bottom w:w="0" w:type="dxa"/>
            <w:right w:w="108" w:type="dxa"/>
          </w:tblCellMar>
        </w:tblPrEx>
        <w:trPr>
          <w:trHeight w:val="348" w:hRule="atLeast"/>
          <w:jc w:val="center"/>
        </w:trPr>
        <w:tc>
          <w:tcPr>
            <w:tcW w:w="74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sz w:val="24"/>
                <w:szCs w:val="24"/>
              </w:rPr>
            </w:pPr>
            <w:r>
              <w:rPr>
                <w:rFonts w:ascii="黑体" w:hAnsi="黑体" w:eastAsia="黑体" w:cs="黑体"/>
                <w:sz w:val="24"/>
                <w:szCs w:val="24"/>
              </w:rPr>
              <w:t>序号</w:t>
            </w:r>
          </w:p>
        </w:tc>
        <w:tc>
          <w:tcPr>
            <w:tcW w:w="19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sz w:val="24"/>
                <w:szCs w:val="24"/>
              </w:rPr>
            </w:pPr>
            <w:r>
              <w:rPr>
                <w:rFonts w:ascii="黑体" w:hAnsi="黑体" w:eastAsia="黑体" w:cs="黑体"/>
                <w:sz w:val="24"/>
                <w:szCs w:val="24"/>
              </w:rPr>
              <w:t>镇街</w:t>
            </w:r>
            <w:r>
              <w:rPr>
                <w:rFonts w:hint="eastAsia" w:ascii="黑体" w:hAnsi="黑体" w:eastAsia="黑体" w:cs="黑体"/>
                <w:sz w:val="24"/>
                <w:szCs w:val="24"/>
              </w:rPr>
              <w:t>（园区）</w:t>
            </w:r>
          </w:p>
        </w:tc>
        <w:tc>
          <w:tcPr>
            <w:tcW w:w="227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sz w:val="24"/>
                <w:szCs w:val="24"/>
              </w:rPr>
            </w:pPr>
            <w:r>
              <w:rPr>
                <w:rFonts w:hint="eastAsia" w:ascii="黑体" w:hAnsi="黑体" w:eastAsia="黑体" w:cs="黑体"/>
                <w:sz w:val="24"/>
                <w:szCs w:val="24"/>
              </w:rPr>
              <w:t>任务数（家）</w:t>
            </w:r>
          </w:p>
        </w:tc>
      </w:tr>
      <w:tr>
        <w:tblPrEx>
          <w:tblCellMar>
            <w:top w:w="0" w:type="dxa"/>
            <w:left w:w="108" w:type="dxa"/>
            <w:bottom w:w="0" w:type="dxa"/>
            <w:right w:w="108" w:type="dxa"/>
          </w:tblCellMar>
        </w:tblPrEx>
        <w:trPr>
          <w:trHeight w:val="9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莞城</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石龙</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5</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3</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虎门</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10</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4</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万江</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5</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东城</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6</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南城</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7</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中堂</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8</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望牛墩</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9</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麻涌</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10</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石碣</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10</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11</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高埗</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12</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洪梅</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11</w:t>
            </w:r>
          </w:p>
        </w:tc>
      </w:tr>
      <w:tr>
        <w:tblPrEx>
          <w:tblCellMar>
            <w:top w:w="0" w:type="dxa"/>
            <w:left w:w="108" w:type="dxa"/>
            <w:bottom w:w="0" w:type="dxa"/>
            <w:right w:w="108" w:type="dxa"/>
          </w:tblCellMar>
        </w:tblPrEx>
        <w:trPr>
          <w:trHeight w:val="352"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13</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道</w:t>
            </w:r>
            <w:r>
              <w:rPr>
                <w:rFonts w:hint="eastAsia" w:ascii="华文仿宋" w:hAnsi="华文仿宋" w:eastAsia="华文仿宋" w:cs="华文仿宋"/>
                <w:sz w:val="22"/>
              </w:rPr>
              <w:t>滘</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19</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14</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厚街</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24</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15</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沙田</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19</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16</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长安</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14</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17</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寮步</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18</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大岭山</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14</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19</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大朗</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20</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黄江</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21</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樟木头</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22</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凤岗</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6</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23</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塘厦</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24</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谢岗</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10</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25</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清溪</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13</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26</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常平</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12</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27</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桥头</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28</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横沥</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29</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东坑</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8</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30</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企石</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7</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31</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石排</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32</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茶山</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33</w:t>
            </w:r>
          </w:p>
        </w:tc>
        <w:tc>
          <w:tcPr>
            <w:tcW w:w="197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松山湖</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2"/>
              </w:rPr>
            </w:pPr>
            <w:r>
              <w:rPr>
                <w:rFonts w:ascii="Times New Roman" w:hAnsi="Times New Roman"/>
                <w:color w:val="000000"/>
                <w:kern w:val="0"/>
                <w:sz w:val="22"/>
                <w:lang w:bidi="ar"/>
              </w:rPr>
              <w:t>9</w:t>
            </w:r>
          </w:p>
        </w:tc>
      </w:tr>
      <w:tr>
        <w:tblPrEx>
          <w:tblCellMar>
            <w:top w:w="0" w:type="dxa"/>
            <w:left w:w="108" w:type="dxa"/>
            <w:bottom w:w="0" w:type="dxa"/>
            <w:right w:w="108" w:type="dxa"/>
          </w:tblCellMar>
        </w:tblPrEx>
        <w:trPr>
          <w:trHeight w:val="287" w:hRule="atLeast"/>
          <w:jc w:val="center"/>
        </w:trPr>
        <w:tc>
          <w:tcPr>
            <w:tcW w:w="272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合计</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kern w:val="0"/>
                <w:sz w:val="22"/>
                <w:lang w:bidi="ar"/>
              </w:rPr>
            </w:pPr>
            <w:r>
              <w:rPr>
                <w:rFonts w:ascii="Times New Roman" w:hAnsi="Times New Roman"/>
                <w:color w:val="000000"/>
                <w:kern w:val="0"/>
                <w:sz w:val="22"/>
                <w:lang w:bidi="ar"/>
              </w:rPr>
              <w:t>327</w:t>
            </w:r>
          </w:p>
        </w:tc>
      </w:tr>
    </w:tbl>
    <w:p>
      <w:pPr>
        <w:spacing w:line="500" w:lineRule="exact"/>
        <w:jc w:val="left"/>
        <w:rPr>
          <w:rFonts w:hint="eastAsia"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6</w:t>
      </w:r>
    </w:p>
    <w:p>
      <w:pPr>
        <w:spacing w:line="500" w:lineRule="exact"/>
        <w:jc w:val="center"/>
        <w:rPr>
          <w:rFonts w:hint="eastAsia" w:ascii="Times New Roman" w:hAnsi="Times New Roman" w:eastAsia="方正小标宋简体"/>
          <w:sz w:val="44"/>
          <w:szCs w:val="44"/>
          <w:lang w:bidi="ar"/>
        </w:rPr>
      </w:pPr>
      <w:r>
        <w:rPr>
          <w:rFonts w:hint="eastAsia" w:ascii="Times New Roman" w:hAnsi="Times New Roman" w:eastAsia="方正小标宋简体"/>
          <w:sz w:val="44"/>
          <w:szCs w:val="44"/>
          <w:lang w:bidi="ar"/>
        </w:rPr>
        <w:t>涉VOCs企业深度治理任务表</w:t>
      </w:r>
    </w:p>
    <w:tbl>
      <w:tblPr>
        <w:tblStyle w:val="11"/>
        <w:tblW w:w="5000" w:type="pct"/>
        <w:jc w:val="center"/>
        <w:tblLayout w:type="autofit"/>
        <w:tblCellMar>
          <w:top w:w="0" w:type="dxa"/>
          <w:left w:w="108" w:type="dxa"/>
          <w:bottom w:w="0" w:type="dxa"/>
          <w:right w:w="108" w:type="dxa"/>
        </w:tblCellMar>
      </w:tblPr>
      <w:tblGrid>
        <w:gridCol w:w="1353"/>
        <w:gridCol w:w="3587"/>
        <w:gridCol w:w="4120"/>
      </w:tblGrid>
      <w:tr>
        <w:tblPrEx>
          <w:tblCellMar>
            <w:top w:w="0" w:type="dxa"/>
            <w:left w:w="108" w:type="dxa"/>
            <w:bottom w:w="0" w:type="dxa"/>
            <w:right w:w="108" w:type="dxa"/>
          </w:tblCellMar>
        </w:tblPrEx>
        <w:trPr>
          <w:trHeight w:val="395" w:hRule="atLeast"/>
          <w:jc w:val="center"/>
        </w:trPr>
        <w:tc>
          <w:tcPr>
            <w:tcW w:w="74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sz w:val="24"/>
                <w:szCs w:val="24"/>
              </w:rPr>
            </w:pPr>
            <w:r>
              <w:rPr>
                <w:rFonts w:ascii="黑体" w:hAnsi="黑体" w:eastAsia="黑体" w:cs="黑体"/>
                <w:sz w:val="24"/>
                <w:szCs w:val="24"/>
              </w:rPr>
              <w:t>序号</w:t>
            </w:r>
          </w:p>
        </w:tc>
        <w:tc>
          <w:tcPr>
            <w:tcW w:w="19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sz w:val="24"/>
                <w:szCs w:val="24"/>
              </w:rPr>
            </w:pPr>
            <w:r>
              <w:rPr>
                <w:rFonts w:ascii="黑体" w:hAnsi="黑体" w:eastAsia="黑体" w:cs="黑体"/>
                <w:sz w:val="24"/>
                <w:szCs w:val="24"/>
              </w:rPr>
              <w:t>镇街</w:t>
            </w:r>
            <w:r>
              <w:rPr>
                <w:rFonts w:hint="eastAsia" w:ascii="黑体" w:hAnsi="黑体" w:eastAsia="黑体" w:cs="黑体"/>
                <w:sz w:val="24"/>
                <w:szCs w:val="24"/>
              </w:rPr>
              <w:t>（园区）</w:t>
            </w:r>
          </w:p>
        </w:tc>
        <w:tc>
          <w:tcPr>
            <w:tcW w:w="227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sz w:val="24"/>
                <w:szCs w:val="24"/>
              </w:rPr>
            </w:pPr>
            <w:r>
              <w:rPr>
                <w:rFonts w:hint="eastAsia" w:ascii="黑体" w:hAnsi="黑体" w:eastAsia="黑体" w:cs="黑体"/>
                <w:sz w:val="24"/>
                <w:szCs w:val="24"/>
              </w:rPr>
              <w:t>任务数（家）</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莞城</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2</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石龙</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2</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3</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虎门</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6</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4</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万江</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3</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5</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东城</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4</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6</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南城</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2</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7</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中堂</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4</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8</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望牛墩</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4</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9</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麻涌</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2</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10</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石碣</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6</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11</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高埗</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3</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12</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洪梅</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7</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13</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道</w:t>
            </w:r>
            <w:r>
              <w:rPr>
                <w:rFonts w:hint="eastAsia" w:ascii="华文仿宋" w:hAnsi="华文仿宋" w:eastAsia="华文仿宋" w:cs="华文仿宋"/>
                <w:color w:val="000000"/>
                <w:kern w:val="0"/>
                <w:sz w:val="22"/>
                <w:lang w:bidi="ar"/>
              </w:rPr>
              <w:t>滘</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12</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14</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厚街</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20</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15</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沙田</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13</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16</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长安</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9</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17</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寮步</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7</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18</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大岭山</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9</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19</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大朗</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3</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20</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黄江</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3</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21</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樟木头</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5</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22</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凤岗</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2</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23</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塘厦</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7</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24</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谢岗</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6</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25</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清溪</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8</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26</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常平</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7</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27</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桥头</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4</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28</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横沥</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4</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29</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东坑</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4</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30</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企石</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3</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31</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石排</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4</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32</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茶山</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5</w:t>
            </w:r>
          </w:p>
        </w:tc>
      </w:tr>
      <w:tr>
        <w:tblPrEx>
          <w:tblCellMar>
            <w:top w:w="0" w:type="dxa"/>
            <w:left w:w="108" w:type="dxa"/>
            <w:bottom w:w="0" w:type="dxa"/>
            <w:right w:w="108" w:type="dxa"/>
          </w:tblCellMar>
        </w:tblPrEx>
        <w:trPr>
          <w:trHeight w:val="270" w:hRule="atLeast"/>
          <w:jc w:val="center"/>
        </w:trPr>
        <w:tc>
          <w:tcPr>
            <w:tcW w:w="747"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33</w:t>
            </w:r>
          </w:p>
        </w:tc>
        <w:tc>
          <w:tcPr>
            <w:tcW w:w="35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sz w:val="24"/>
                <w:szCs w:val="24"/>
              </w:rPr>
            </w:pPr>
            <w:r>
              <w:rPr>
                <w:rFonts w:ascii="Times New Roman" w:hAnsi="Times New Roman" w:eastAsia="仿宋_GB2312"/>
                <w:color w:val="000000"/>
                <w:kern w:val="0"/>
                <w:sz w:val="22"/>
                <w:lang w:bidi="ar"/>
              </w:rPr>
              <w:t>松山湖</w:t>
            </w:r>
          </w:p>
        </w:tc>
        <w:tc>
          <w:tcPr>
            <w:tcW w:w="4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2"/>
                <w:lang w:bidi="ar"/>
              </w:rPr>
              <w:t>5</w:t>
            </w:r>
          </w:p>
        </w:tc>
      </w:tr>
      <w:tr>
        <w:tblPrEx>
          <w:tblCellMar>
            <w:top w:w="0" w:type="dxa"/>
            <w:left w:w="108" w:type="dxa"/>
            <w:bottom w:w="0" w:type="dxa"/>
            <w:right w:w="108" w:type="dxa"/>
          </w:tblCellMar>
        </w:tblPrEx>
        <w:trPr>
          <w:trHeight w:val="270" w:hRule="atLeast"/>
          <w:jc w:val="center"/>
        </w:trPr>
        <w:tc>
          <w:tcPr>
            <w:tcW w:w="2726"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合计</w:t>
            </w:r>
          </w:p>
        </w:tc>
        <w:tc>
          <w:tcPr>
            <w:tcW w:w="227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000000"/>
                <w:kern w:val="0"/>
                <w:sz w:val="22"/>
                <w:lang w:bidi="ar"/>
              </w:rPr>
            </w:pPr>
            <w:r>
              <w:rPr>
                <w:rFonts w:ascii="Times New Roman" w:hAnsi="Times New Roman" w:eastAsia="仿宋_GB2312"/>
                <w:color w:val="000000"/>
                <w:kern w:val="0"/>
                <w:sz w:val="22"/>
                <w:lang w:bidi="ar"/>
              </w:rPr>
              <w:t>185</w:t>
            </w:r>
          </w:p>
        </w:tc>
      </w:tr>
    </w:tbl>
    <w:p>
      <w:pPr>
        <w:spacing w:line="600" w:lineRule="exact"/>
        <w:jc w:val="lef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7</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bidi="ar"/>
        </w:rPr>
        <w:t>储罐VOCs治理任务表</w:t>
      </w:r>
    </w:p>
    <w:p>
      <w:pPr>
        <w:rPr>
          <w:vanish/>
        </w:rPr>
      </w:pPr>
    </w:p>
    <w:tbl>
      <w:tblPr>
        <w:tblStyle w:val="11"/>
        <w:tblW w:w="884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3515"/>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25" w:type="dxa"/>
            <w:noWrap/>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3515" w:type="dxa"/>
            <w:noWrap/>
            <w:vAlign w:val="center"/>
          </w:tcPr>
          <w:p>
            <w:pPr>
              <w:jc w:val="center"/>
              <w:rPr>
                <w:rFonts w:hint="eastAsia" w:ascii="黑体" w:hAnsi="黑体" w:eastAsia="黑体" w:cs="黑体"/>
                <w:sz w:val="24"/>
                <w:szCs w:val="24"/>
              </w:rPr>
            </w:pPr>
            <w:r>
              <w:rPr>
                <w:rFonts w:hint="eastAsia" w:ascii="黑体" w:hAnsi="黑体" w:eastAsia="黑体" w:cs="黑体"/>
                <w:sz w:val="24"/>
                <w:szCs w:val="24"/>
              </w:rPr>
              <w:t>镇街（园区）</w:t>
            </w:r>
          </w:p>
        </w:tc>
        <w:tc>
          <w:tcPr>
            <w:tcW w:w="4005" w:type="dxa"/>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任务数（家）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茶山</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2</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大朗</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3</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大岭山</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4</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道</w:t>
            </w:r>
            <w:r>
              <w:rPr>
                <w:rFonts w:hint="eastAsia" w:ascii="华文仿宋" w:hAnsi="华文仿宋" w:eastAsia="华文仿宋" w:cs="华文仿宋"/>
                <w:sz w:val="24"/>
                <w:szCs w:val="24"/>
                <w:lang w:bidi="ar"/>
              </w:rPr>
              <w:t>滘</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5</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洪梅</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6</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虎门</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7</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黄江</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8</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沙田</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9</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寮步</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10</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麻涌</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11</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企石</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12</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清溪</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13</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松山湖</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14</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塘厦</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15</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万江</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16</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望牛墩</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17</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谢岗</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18</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长安</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5" w:type="dxa"/>
            <w:noWrap/>
            <w:vAlign w:val="center"/>
          </w:tcPr>
          <w:p>
            <w:pPr>
              <w:jc w:val="center"/>
              <w:rPr>
                <w:rFonts w:ascii="Times New Roman" w:hAnsi="Times New Roman" w:eastAsia="仿宋_GB2312"/>
                <w:sz w:val="24"/>
                <w:szCs w:val="24"/>
              </w:rPr>
            </w:pPr>
            <w:r>
              <w:rPr>
                <w:rFonts w:ascii="Times New Roman" w:hAnsi="Times New Roman" w:eastAsia="仿宋_GB2312"/>
                <w:sz w:val="24"/>
                <w:szCs w:val="24"/>
              </w:rPr>
              <w:t>19</w:t>
            </w:r>
          </w:p>
        </w:tc>
        <w:tc>
          <w:tcPr>
            <w:tcW w:w="351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中堂</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4840" w:type="dxa"/>
            <w:gridSpan w:val="2"/>
            <w:noWrap/>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lang w:bidi="ar"/>
              </w:rPr>
              <w:t>合</w:t>
            </w:r>
            <w:r>
              <w:rPr>
                <w:rFonts w:ascii="Times New Roman" w:hAnsi="Times New Roman" w:eastAsia="仿宋_GB2312"/>
                <w:sz w:val="24"/>
                <w:szCs w:val="24"/>
                <w:lang w:bidi="ar"/>
              </w:rPr>
              <w:t>计</w:t>
            </w:r>
          </w:p>
        </w:tc>
        <w:tc>
          <w:tcPr>
            <w:tcW w:w="4005" w:type="dxa"/>
            <w:noWrap/>
            <w:vAlign w:val="bottom"/>
          </w:tcPr>
          <w:p>
            <w:pPr>
              <w:widowControl/>
              <w:jc w:val="center"/>
              <w:rPr>
                <w:rFonts w:ascii="Times New Roman" w:hAnsi="Times New Roman" w:eastAsia="仿宋_GB2312"/>
                <w:sz w:val="24"/>
                <w:szCs w:val="24"/>
              </w:rPr>
            </w:pPr>
            <w:r>
              <w:rPr>
                <w:rFonts w:ascii="Times New Roman" w:hAnsi="Times New Roman" w:eastAsia="仿宋_GB2312"/>
                <w:sz w:val="24"/>
                <w:szCs w:val="24"/>
                <w:lang w:bidi="ar"/>
              </w:rPr>
              <w:t>1000</w:t>
            </w:r>
          </w:p>
        </w:tc>
      </w:tr>
    </w:tbl>
    <w:p>
      <w:pPr>
        <w:spacing w:line="600" w:lineRule="exact"/>
        <w:jc w:val="left"/>
        <w:outlineLvl w:val="1"/>
        <w:rPr>
          <w:rFonts w:ascii="Times New Roman" w:hAnsi="Times New Roman" w:eastAsia="黑体"/>
          <w:sz w:val="32"/>
          <w:szCs w:val="32"/>
        </w:rPr>
      </w:pPr>
    </w:p>
    <w:p>
      <w:pPr>
        <w:spacing w:line="600" w:lineRule="exact"/>
        <w:jc w:val="left"/>
        <w:outlineLvl w:val="1"/>
        <w:rPr>
          <w:rFonts w:ascii="Times New Roman" w:hAnsi="Times New Roman" w:eastAsia="黑体"/>
          <w:sz w:val="32"/>
          <w:szCs w:val="32"/>
        </w:rPr>
      </w:pPr>
    </w:p>
    <w:p>
      <w:pPr>
        <w:spacing w:line="600" w:lineRule="exact"/>
        <w:jc w:val="left"/>
        <w:outlineLvl w:val="1"/>
        <w:rPr>
          <w:rFonts w:ascii="Times New Roman" w:hAnsi="Times New Roman" w:eastAsia="黑体"/>
          <w:sz w:val="32"/>
          <w:szCs w:val="32"/>
        </w:rPr>
      </w:pPr>
    </w:p>
    <w:p>
      <w:pPr>
        <w:spacing w:line="600" w:lineRule="exact"/>
        <w:jc w:val="left"/>
        <w:outlineLvl w:val="1"/>
        <w:rPr>
          <w:rFonts w:ascii="Times New Roman" w:hAnsi="Times New Roman" w:eastAsia="黑体"/>
          <w:sz w:val="32"/>
          <w:szCs w:val="32"/>
        </w:rPr>
      </w:pPr>
    </w:p>
    <w:p>
      <w:pPr>
        <w:spacing w:line="600" w:lineRule="exact"/>
        <w:jc w:val="left"/>
        <w:outlineLvl w:val="1"/>
        <w:rPr>
          <w:rFonts w:ascii="Times New Roman" w:hAnsi="Times New Roman" w:eastAsia="黑体"/>
          <w:sz w:val="32"/>
          <w:szCs w:val="32"/>
        </w:rPr>
      </w:pPr>
    </w:p>
    <w:p>
      <w:pPr>
        <w:spacing w:line="600" w:lineRule="exact"/>
        <w:jc w:val="left"/>
        <w:outlineLvl w:val="1"/>
        <w:rPr>
          <w:rFonts w:ascii="Times New Roman" w:hAnsi="Times New Roman" w:eastAsia="黑体"/>
          <w:sz w:val="32"/>
          <w:szCs w:val="32"/>
        </w:rPr>
      </w:pPr>
    </w:p>
    <w:p>
      <w:pPr>
        <w:spacing w:line="600" w:lineRule="exact"/>
        <w:jc w:val="left"/>
        <w:outlineLvl w:val="1"/>
        <w:rPr>
          <w:rFonts w:ascii="Times New Roman" w:hAnsi="Times New Roman" w:eastAsia="黑体"/>
          <w:sz w:val="32"/>
          <w:szCs w:val="32"/>
        </w:rPr>
      </w:pPr>
    </w:p>
    <w:p>
      <w:pPr>
        <w:spacing w:line="600" w:lineRule="exact"/>
        <w:jc w:val="left"/>
        <w:outlineLvl w:val="1"/>
        <w:rPr>
          <w:rFonts w:hint="eastAsia" w:ascii="Times New Roman" w:hAnsi="Times New Roman" w:eastAsia="黑体"/>
          <w:sz w:val="44"/>
          <w:szCs w:val="44"/>
        </w:rPr>
      </w:pPr>
      <w:r>
        <w:rPr>
          <w:rFonts w:ascii="Times New Roman" w:hAnsi="Times New Roman" w:eastAsia="黑体"/>
          <w:sz w:val="32"/>
          <w:szCs w:val="32"/>
        </w:rPr>
        <w:t>附件</w:t>
      </w:r>
      <w:r>
        <w:rPr>
          <w:rFonts w:hint="eastAsia" w:ascii="Times New Roman" w:hAnsi="Times New Roman" w:eastAsia="黑体"/>
          <w:sz w:val="32"/>
          <w:szCs w:val="32"/>
        </w:rPr>
        <w:t>8</w:t>
      </w:r>
    </w:p>
    <w:p>
      <w:pPr>
        <w:spacing w:line="600" w:lineRule="exact"/>
        <w:jc w:val="center"/>
        <w:rPr>
          <w:rFonts w:ascii="Times New Roman" w:hAnsi="Times New Roman" w:eastAsia="方正小标宋简体"/>
          <w:sz w:val="44"/>
          <w:szCs w:val="44"/>
          <w:lang w:bidi="ar"/>
        </w:rPr>
      </w:pPr>
      <w:r>
        <w:rPr>
          <w:rFonts w:ascii="Times New Roman" w:hAnsi="Times New Roman" w:eastAsia="方正小标宋简体"/>
          <w:sz w:val="44"/>
          <w:szCs w:val="44"/>
          <w:lang w:bidi="ar"/>
        </w:rPr>
        <w:t>低效VOCs治理设施改造升级任务表</w:t>
      </w:r>
    </w:p>
    <w:tbl>
      <w:tblPr>
        <w:tblStyle w:val="11"/>
        <w:tblW w:w="8862" w:type="dxa"/>
        <w:tblInd w:w="113" w:type="dxa"/>
        <w:tblLayout w:type="fixed"/>
        <w:tblCellMar>
          <w:top w:w="0" w:type="dxa"/>
          <w:left w:w="108" w:type="dxa"/>
          <w:bottom w:w="0" w:type="dxa"/>
          <w:right w:w="108" w:type="dxa"/>
        </w:tblCellMar>
      </w:tblPr>
      <w:tblGrid>
        <w:gridCol w:w="1258"/>
        <w:gridCol w:w="4650"/>
        <w:gridCol w:w="2954"/>
      </w:tblGrid>
      <w:tr>
        <w:tblPrEx>
          <w:tblCellMar>
            <w:top w:w="0" w:type="dxa"/>
            <w:left w:w="108" w:type="dxa"/>
            <w:bottom w:w="0" w:type="dxa"/>
            <w:right w:w="108" w:type="dxa"/>
          </w:tblCellMar>
        </w:tblPrEx>
        <w:trPr>
          <w:trHeight w:val="260" w:hRule="atLeast"/>
        </w:trPr>
        <w:tc>
          <w:tcPr>
            <w:tcW w:w="125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4650"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镇街（园区）</w:t>
            </w:r>
          </w:p>
        </w:tc>
        <w:tc>
          <w:tcPr>
            <w:tcW w:w="2954"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任务数（家）</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厚街</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21</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塘厦</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19</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长安</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27</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大朗</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19</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虎门</w:t>
            </w:r>
          </w:p>
        </w:tc>
        <w:tc>
          <w:tcPr>
            <w:tcW w:w="295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7</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6</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樟木头</w:t>
            </w:r>
          </w:p>
        </w:tc>
        <w:tc>
          <w:tcPr>
            <w:tcW w:w="295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19</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大岭山</w:t>
            </w:r>
          </w:p>
        </w:tc>
        <w:tc>
          <w:tcPr>
            <w:tcW w:w="295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6</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8</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东城</w:t>
            </w:r>
          </w:p>
        </w:tc>
        <w:tc>
          <w:tcPr>
            <w:tcW w:w="295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6</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9</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桥头</w:t>
            </w:r>
          </w:p>
        </w:tc>
        <w:tc>
          <w:tcPr>
            <w:tcW w:w="295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10</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清溪</w:t>
            </w:r>
          </w:p>
        </w:tc>
        <w:tc>
          <w:tcPr>
            <w:tcW w:w="295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11</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常平</w:t>
            </w:r>
          </w:p>
        </w:tc>
        <w:tc>
          <w:tcPr>
            <w:tcW w:w="295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6</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12</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企石</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6</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13</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石排</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6</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14</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横沥</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4</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15</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南城</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11</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16</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茶山</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w:t>
            </w:r>
          </w:p>
        </w:tc>
      </w:tr>
      <w:tr>
        <w:tblPrEx>
          <w:tblCellMar>
            <w:top w:w="0" w:type="dxa"/>
            <w:left w:w="108" w:type="dxa"/>
            <w:bottom w:w="0" w:type="dxa"/>
            <w:right w:w="108" w:type="dxa"/>
          </w:tblCellMar>
        </w:tblPrEx>
        <w:trPr>
          <w:trHeight w:val="3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17</w:t>
            </w:r>
          </w:p>
        </w:tc>
        <w:tc>
          <w:tcPr>
            <w:tcW w:w="4650"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道</w:t>
            </w:r>
            <w:r>
              <w:rPr>
                <w:rFonts w:hint="eastAsia" w:ascii="仿宋" w:hAnsi="仿宋" w:eastAsia="仿宋" w:cs="仿宋"/>
                <w:kern w:val="0"/>
                <w:sz w:val="24"/>
                <w:szCs w:val="24"/>
              </w:rPr>
              <w:t>滘</w:t>
            </w:r>
          </w:p>
        </w:tc>
        <w:tc>
          <w:tcPr>
            <w:tcW w:w="295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18</w:t>
            </w:r>
          </w:p>
        </w:tc>
        <w:tc>
          <w:tcPr>
            <w:tcW w:w="4650"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高</w:t>
            </w:r>
            <w:r>
              <w:rPr>
                <w:rFonts w:hint="eastAsia" w:ascii="仿宋" w:hAnsi="仿宋" w:eastAsia="仿宋" w:cs="仿宋"/>
                <w:kern w:val="0"/>
                <w:sz w:val="24"/>
                <w:szCs w:val="24"/>
              </w:rPr>
              <w:t>埗</w:t>
            </w:r>
          </w:p>
        </w:tc>
        <w:tc>
          <w:tcPr>
            <w:tcW w:w="295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19</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黄江</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4</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20</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寮步</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21</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凤岗</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22</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谢岗</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5</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23</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望牛墩</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24</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麻涌</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25</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中堂</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26</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万江</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27</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洪梅</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w:t>
            </w:r>
          </w:p>
        </w:tc>
      </w:tr>
      <w:tr>
        <w:tblPrEx>
          <w:tblCellMar>
            <w:top w:w="0" w:type="dxa"/>
            <w:left w:w="108" w:type="dxa"/>
            <w:bottom w:w="0" w:type="dxa"/>
            <w:right w:w="108" w:type="dxa"/>
          </w:tblCellMar>
        </w:tblPrEx>
        <w:trPr>
          <w:trHeight w:val="260" w:hRule="atLeast"/>
        </w:trPr>
        <w:tc>
          <w:tcPr>
            <w:tcW w:w="1258"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28</w:t>
            </w:r>
          </w:p>
        </w:tc>
        <w:tc>
          <w:tcPr>
            <w:tcW w:w="46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东坑</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w:t>
            </w:r>
          </w:p>
        </w:tc>
      </w:tr>
      <w:tr>
        <w:tblPrEx>
          <w:tblCellMar>
            <w:top w:w="0" w:type="dxa"/>
            <w:left w:w="108" w:type="dxa"/>
            <w:bottom w:w="0" w:type="dxa"/>
            <w:right w:w="108" w:type="dxa"/>
          </w:tblCellMar>
        </w:tblPrEx>
        <w:trPr>
          <w:trHeight w:val="260" w:hRule="atLeast"/>
        </w:trPr>
        <w:tc>
          <w:tcPr>
            <w:tcW w:w="5908" w:type="dxa"/>
            <w:gridSpan w:val="2"/>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合计</w:t>
            </w:r>
          </w:p>
        </w:tc>
        <w:tc>
          <w:tcPr>
            <w:tcW w:w="295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196</w:t>
            </w:r>
          </w:p>
        </w:tc>
      </w:tr>
    </w:tbl>
    <w:p>
      <w:pPr>
        <w:pStyle w:val="23"/>
        <w:ind w:firstLine="480"/>
      </w:pPr>
    </w:p>
    <w:p>
      <w:pPr>
        <w:pStyle w:val="23"/>
        <w:ind w:firstLine="0" w:firstLineChars="0"/>
      </w:pPr>
    </w:p>
    <w:p>
      <w:pPr>
        <w:spacing w:line="600" w:lineRule="exact"/>
        <w:jc w:val="left"/>
        <w:outlineLvl w:val="1"/>
        <w:rPr>
          <w:rFonts w:hint="eastAsia" w:ascii="Times New Roman" w:hAnsi="Times New Roman" w:eastAsia="黑体"/>
          <w:sz w:val="44"/>
          <w:szCs w:val="44"/>
        </w:rPr>
      </w:pPr>
      <w:r>
        <w:br w:type="page"/>
      </w:r>
      <w:r>
        <w:rPr>
          <w:rFonts w:ascii="Times New Roman" w:hAnsi="Times New Roman" w:eastAsia="黑体"/>
          <w:sz w:val="32"/>
          <w:szCs w:val="32"/>
        </w:rPr>
        <w:t>附件</w:t>
      </w:r>
      <w:r>
        <w:rPr>
          <w:rFonts w:hint="eastAsia" w:ascii="Times New Roman" w:hAnsi="Times New Roman" w:eastAsia="黑体"/>
          <w:sz w:val="32"/>
          <w:szCs w:val="32"/>
        </w:rPr>
        <w:t>9</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bidi="ar"/>
        </w:rPr>
        <w:t>加油站油气回收</w:t>
      </w:r>
      <w:r>
        <w:rPr>
          <w:rFonts w:ascii="Times New Roman" w:hAnsi="Times New Roman" w:eastAsia="方正小标宋简体"/>
          <w:sz w:val="44"/>
          <w:szCs w:val="44"/>
          <w:lang w:bidi="ar"/>
        </w:rPr>
        <w:t>任务表</w:t>
      </w:r>
    </w:p>
    <w:tbl>
      <w:tblPr>
        <w:tblStyle w:val="11"/>
        <w:tblW w:w="8862" w:type="dxa"/>
        <w:tblInd w:w="113" w:type="dxa"/>
        <w:tblLayout w:type="fixed"/>
        <w:tblCellMar>
          <w:top w:w="0" w:type="dxa"/>
          <w:left w:w="108" w:type="dxa"/>
          <w:bottom w:w="0" w:type="dxa"/>
          <w:right w:w="108" w:type="dxa"/>
        </w:tblCellMar>
      </w:tblPr>
      <w:tblGrid>
        <w:gridCol w:w="1645"/>
        <w:gridCol w:w="4263"/>
        <w:gridCol w:w="2954"/>
      </w:tblGrid>
      <w:tr>
        <w:tblPrEx>
          <w:tblCellMar>
            <w:top w:w="0" w:type="dxa"/>
            <w:left w:w="108" w:type="dxa"/>
            <w:bottom w:w="0" w:type="dxa"/>
            <w:right w:w="108" w:type="dxa"/>
          </w:tblCellMar>
        </w:tblPrEx>
        <w:trPr>
          <w:trHeight w:val="278" w:hRule="atLeast"/>
        </w:trPr>
        <w:tc>
          <w:tcPr>
            <w:tcW w:w="16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4263"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镇街（园区）</w:t>
            </w:r>
          </w:p>
        </w:tc>
        <w:tc>
          <w:tcPr>
            <w:tcW w:w="2954"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任务数（家）</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长安</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21</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东城</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22</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大岭山</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22</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常平</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19</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厚街</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16</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6</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黄江</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14</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寮步</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16</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8</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塘厦</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15</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9</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大朗</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12</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10</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虎门</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14</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11</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中堂</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13</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12</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茶山</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10</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13</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樟木头</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11</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14</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凤岗</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9</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15</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南城</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8</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16</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石排</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10</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17</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桥头</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8</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18</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万江</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8</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19</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石碣</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7</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20</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谢岗</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10</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21</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横沥</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7</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22</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企石</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6</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23</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沙田</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6</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24</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高埗</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5</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25</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麻涌</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5</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26</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清溪</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4</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27</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望牛墩</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5</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28</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道</w:t>
            </w:r>
            <w:r>
              <w:rPr>
                <w:rFonts w:hint="eastAsia" w:ascii="仿宋" w:hAnsi="仿宋" w:eastAsia="仿宋" w:cs="仿宋"/>
                <w:kern w:val="0"/>
                <w:sz w:val="24"/>
                <w:szCs w:val="24"/>
                <w:lang w:bidi="ar"/>
              </w:rPr>
              <w:t>滘</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3</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29</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东坑</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6</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30</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莞城</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2</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31</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石龙</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2</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32</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松山湖</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3</w:t>
            </w:r>
          </w:p>
        </w:tc>
      </w:tr>
      <w:tr>
        <w:tblPrEx>
          <w:tblCellMar>
            <w:top w:w="0" w:type="dxa"/>
            <w:left w:w="108" w:type="dxa"/>
            <w:bottom w:w="0" w:type="dxa"/>
            <w:right w:w="108" w:type="dxa"/>
          </w:tblCellMar>
        </w:tblPrEx>
        <w:trPr>
          <w:trHeight w:val="278" w:hRule="atLeast"/>
        </w:trPr>
        <w:tc>
          <w:tcPr>
            <w:tcW w:w="1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33</w:t>
            </w:r>
          </w:p>
        </w:tc>
        <w:tc>
          <w:tcPr>
            <w:tcW w:w="4263"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lang w:bidi="ar"/>
              </w:rPr>
              <w:t>洪梅</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2</w:t>
            </w:r>
          </w:p>
        </w:tc>
      </w:tr>
      <w:tr>
        <w:tblPrEx>
          <w:tblCellMar>
            <w:top w:w="0" w:type="dxa"/>
            <w:left w:w="108" w:type="dxa"/>
            <w:bottom w:w="0" w:type="dxa"/>
            <w:right w:w="108" w:type="dxa"/>
          </w:tblCellMar>
        </w:tblPrEx>
        <w:trPr>
          <w:trHeight w:val="278" w:hRule="atLeast"/>
        </w:trPr>
        <w:tc>
          <w:tcPr>
            <w:tcW w:w="5908" w:type="dxa"/>
            <w:gridSpan w:val="2"/>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合计</w:t>
            </w:r>
          </w:p>
        </w:tc>
        <w:tc>
          <w:tcPr>
            <w:tcW w:w="2954"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仿宋_GB2312"/>
                <w:kern w:val="0"/>
                <w:sz w:val="24"/>
                <w:szCs w:val="24"/>
              </w:rPr>
            </w:pPr>
            <w:r>
              <w:rPr>
                <w:rFonts w:ascii="Times New Roman" w:hAnsi="Times New Roman" w:eastAsia="仿宋_GB2312"/>
                <w:kern w:val="0"/>
                <w:sz w:val="22"/>
                <w:lang w:bidi="ar"/>
              </w:rPr>
              <w:t>321</w:t>
            </w:r>
          </w:p>
        </w:tc>
      </w:tr>
    </w:tbl>
    <w:p>
      <w:pPr>
        <w:jc w:val="left"/>
        <w:rPr>
          <w:rFonts w:ascii="Times New Roman" w:hAnsi="Times New Roman" w:eastAsia="黑体"/>
          <w:sz w:val="32"/>
          <w:szCs w:val="32"/>
        </w:rPr>
      </w:pPr>
      <w:r>
        <w:br w:type="page"/>
      </w:r>
      <w:r>
        <w:rPr>
          <w:rFonts w:ascii="Times New Roman" w:hAnsi="Times New Roman" w:eastAsia="黑体"/>
          <w:sz w:val="32"/>
          <w:szCs w:val="32"/>
        </w:rPr>
        <w:t>附件</w:t>
      </w:r>
      <w:r>
        <w:rPr>
          <w:rFonts w:hint="eastAsia" w:ascii="Times New Roman" w:hAnsi="Times New Roman" w:eastAsia="黑体"/>
          <w:sz w:val="32"/>
          <w:szCs w:val="32"/>
        </w:rPr>
        <w:t>10</w:t>
      </w:r>
    </w:p>
    <w:p>
      <w:pPr>
        <w:spacing w:line="600" w:lineRule="exact"/>
        <w:jc w:val="center"/>
        <w:outlineLvl w:val="1"/>
        <w:rPr>
          <w:rFonts w:ascii="Times New Roman" w:hAnsi="Times New Roman" w:eastAsia="黑体"/>
          <w:sz w:val="32"/>
          <w:szCs w:val="32"/>
        </w:rPr>
      </w:pPr>
      <w:r>
        <w:rPr>
          <w:rFonts w:hint="eastAsia" w:ascii="方正小标宋简体" w:hAnsi="方正小标宋简体" w:eastAsia="方正小标宋简体" w:cs="方正小标宋简体"/>
          <w:sz w:val="44"/>
          <w:szCs w:val="44"/>
        </w:rPr>
        <w:t>钢压延加工企业超低排放改造任务表</w:t>
      </w:r>
    </w:p>
    <w:tbl>
      <w:tblPr>
        <w:tblStyle w:val="11"/>
        <w:tblW w:w="8776" w:type="dxa"/>
        <w:tblInd w:w="113" w:type="dxa"/>
        <w:tblLayout w:type="autofit"/>
        <w:tblCellMar>
          <w:top w:w="0" w:type="dxa"/>
          <w:left w:w="108" w:type="dxa"/>
          <w:bottom w:w="0" w:type="dxa"/>
          <w:right w:w="108" w:type="dxa"/>
        </w:tblCellMar>
      </w:tblPr>
      <w:tblGrid>
        <w:gridCol w:w="1152"/>
        <w:gridCol w:w="1929"/>
        <w:gridCol w:w="5695"/>
      </w:tblGrid>
      <w:tr>
        <w:tblPrEx>
          <w:tblCellMar>
            <w:top w:w="0" w:type="dxa"/>
            <w:left w:w="108" w:type="dxa"/>
            <w:bottom w:w="0" w:type="dxa"/>
            <w:right w:w="108" w:type="dxa"/>
          </w:tblCellMar>
        </w:tblPrEx>
        <w:trPr>
          <w:trHeight w:val="597"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192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镇街（园区）</w:t>
            </w:r>
          </w:p>
        </w:tc>
        <w:tc>
          <w:tcPr>
            <w:tcW w:w="569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企业名称</w:t>
            </w:r>
          </w:p>
        </w:tc>
      </w:tr>
      <w:tr>
        <w:tblPrEx>
          <w:tblCellMar>
            <w:top w:w="0" w:type="dxa"/>
            <w:left w:w="108" w:type="dxa"/>
            <w:bottom w:w="0" w:type="dxa"/>
            <w:right w:w="108" w:type="dxa"/>
          </w:tblCellMar>
        </w:tblPrEx>
        <w:trPr>
          <w:trHeight w:val="432" w:hRule="atLeast"/>
        </w:trPr>
        <w:tc>
          <w:tcPr>
            <w:tcW w:w="115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sz w:val="24"/>
                <w:szCs w:val="24"/>
              </w:rPr>
              <w:t>1</w:t>
            </w:r>
          </w:p>
        </w:tc>
        <w:tc>
          <w:tcPr>
            <w:tcW w:w="192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lang w:bidi="ar"/>
              </w:rPr>
              <w:t>常平</w:t>
            </w:r>
          </w:p>
        </w:tc>
        <w:tc>
          <w:tcPr>
            <w:tcW w:w="569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lang w:bidi="ar"/>
              </w:rPr>
              <w:t>东莞市日月不锈钢有限公司</w:t>
            </w:r>
          </w:p>
        </w:tc>
      </w:tr>
      <w:tr>
        <w:tblPrEx>
          <w:tblCellMar>
            <w:top w:w="0" w:type="dxa"/>
            <w:left w:w="108" w:type="dxa"/>
            <w:bottom w:w="0" w:type="dxa"/>
            <w:right w:w="108" w:type="dxa"/>
          </w:tblCellMar>
        </w:tblPrEx>
        <w:trPr>
          <w:trHeight w:val="432" w:hRule="atLeast"/>
        </w:trPr>
        <w:tc>
          <w:tcPr>
            <w:tcW w:w="115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sz w:val="24"/>
                <w:szCs w:val="24"/>
              </w:rPr>
              <w:t>2</w:t>
            </w:r>
          </w:p>
        </w:tc>
        <w:tc>
          <w:tcPr>
            <w:tcW w:w="192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lang w:bidi="ar"/>
              </w:rPr>
              <w:t>大岭山</w:t>
            </w:r>
          </w:p>
        </w:tc>
        <w:tc>
          <w:tcPr>
            <w:tcW w:w="569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lang w:bidi="ar"/>
              </w:rPr>
              <w:t>东莞市大岭山金发钢管加工厂</w:t>
            </w:r>
          </w:p>
        </w:tc>
      </w:tr>
      <w:tr>
        <w:tblPrEx>
          <w:tblCellMar>
            <w:top w:w="0" w:type="dxa"/>
            <w:left w:w="108" w:type="dxa"/>
            <w:bottom w:w="0" w:type="dxa"/>
            <w:right w:w="108" w:type="dxa"/>
          </w:tblCellMar>
        </w:tblPrEx>
        <w:trPr>
          <w:trHeight w:val="432" w:hRule="atLeast"/>
        </w:trPr>
        <w:tc>
          <w:tcPr>
            <w:tcW w:w="115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sz w:val="24"/>
                <w:szCs w:val="24"/>
              </w:rPr>
              <w:t>3</w:t>
            </w:r>
          </w:p>
        </w:tc>
        <w:tc>
          <w:tcPr>
            <w:tcW w:w="192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highlight w:val="yellow"/>
              </w:rPr>
            </w:pPr>
            <w:r>
              <w:rPr>
                <w:rFonts w:ascii="Times New Roman" w:hAnsi="Times New Roman" w:eastAsia="仿宋_GB2312"/>
                <w:kern w:val="0"/>
                <w:sz w:val="24"/>
                <w:szCs w:val="24"/>
                <w:lang w:bidi="ar"/>
              </w:rPr>
              <w:t>道</w:t>
            </w:r>
            <w:r>
              <w:rPr>
                <w:rFonts w:hint="eastAsia" w:ascii="仿宋" w:hAnsi="仿宋" w:eastAsia="仿宋" w:cs="仿宋"/>
                <w:kern w:val="0"/>
                <w:sz w:val="24"/>
                <w:szCs w:val="24"/>
                <w:lang w:bidi="ar"/>
              </w:rPr>
              <w:t>滘</w:t>
            </w:r>
          </w:p>
        </w:tc>
        <w:tc>
          <w:tcPr>
            <w:tcW w:w="569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highlight w:val="yellow"/>
              </w:rPr>
            </w:pPr>
            <w:r>
              <w:rPr>
                <w:rFonts w:ascii="Times New Roman" w:hAnsi="Times New Roman" w:eastAsia="仿宋_GB2312"/>
                <w:kern w:val="0"/>
                <w:sz w:val="24"/>
                <w:szCs w:val="24"/>
                <w:lang w:bidi="ar"/>
              </w:rPr>
              <w:t>东莞市广汇建材有限公司</w:t>
            </w:r>
          </w:p>
        </w:tc>
      </w:tr>
      <w:tr>
        <w:tblPrEx>
          <w:tblCellMar>
            <w:top w:w="0" w:type="dxa"/>
            <w:left w:w="108" w:type="dxa"/>
            <w:bottom w:w="0" w:type="dxa"/>
            <w:right w:w="108" w:type="dxa"/>
          </w:tblCellMar>
        </w:tblPrEx>
        <w:trPr>
          <w:trHeight w:val="449" w:hRule="atLeast"/>
        </w:trPr>
        <w:tc>
          <w:tcPr>
            <w:tcW w:w="115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sz w:val="24"/>
                <w:szCs w:val="24"/>
              </w:rPr>
              <w:t>4</w:t>
            </w:r>
          </w:p>
        </w:tc>
        <w:tc>
          <w:tcPr>
            <w:tcW w:w="192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lang w:bidi="ar"/>
              </w:rPr>
              <w:t>道</w:t>
            </w:r>
            <w:r>
              <w:rPr>
                <w:rFonts w:hint="eastAsia" w:ascii="仿宋" w:hAnsi="仿宋" w:eastAsia="仿宋" w:cs="仿宋"/>
                <w:kern w:val="0"/>
                <w:sz w:val="24"/>
                <w:szCs w:val="24"/>
                <w:lang w:bidi="ar"/>
              </w:rPr>
              <w:t>滘</w:t>
            </w:r>
          </w:p>
        </w:tc>
        <w:tc>
          <w:tcPr>
            <w:tcW w:w="569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lang w:bidi="ar"/>
              </w:rPr>
              <w:t>东莞市稳盛电工材料有限公司</w:t>
            </w:r>
          </w:p>
        </w:tc>
      </w:tr>
      <w:tr>
        <w:tblPrEx>
          <w:tblCellMar>
            <w:top w:w="0" w:type="dxa"/>
            <w:left w:w="108" w:type="dxa"/>
            <w:bottom w:w="0" w:type="dxa"/>
            <w:right w:w="108" w:type="dxa"/>
          </w:tblCellMar>
        </w:tblPrEx>
        <w:trPr>
          <w:trHeight w:val="387" w:hRule="atLeast"/>
        </w:trPr>
        <w:tc>
          <w:tcPr>
            <w:tcW w:w="115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sz w:val="24"/>
                <w:szCs w:val="24"/>
              </w:rPr>
              <w:t>5</w:t>
            </w:r>
          </w:p>
        </w:tc>
        <w:tc>
          <w:tcPr>
            <w:tcW w:w="192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lang w:bidi="ar"/>
              </w:rPr>
              <w:t>洪梅</w:t>
            </w:r>
          </w:p>
        </w:tc>
        <w:tc>
          <w:tcPr>
            <w:tcW w:w="569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lang w:bidi="ar"/>
              </w:rPr>
              <w:t>东莞首嘉制管有限公司</w:t>
            </w:r>
          </w:p>
        </w:tc>
      </w:tr>
      <w:tr>
        <w:tblPrEx>
          <w:tblCellMar>
            <w:top w:w="0" w:type="dxa"/>
            <w:left w:w="108" w:type="dxa"/>
            <w:bottom w:w="0" w:type="dxa"/>
            <w:right w:w="108" w:type="dxa"/>
          </w:tblCellMar>
        </w:tblPrEx>
        <w:trPr>
          <w:trHeight w:val="417" w:hRule="atLeast"/>
        </w:trPr>
        <w:tc>
          <w:tcPr>
            <w:tcW w:w="115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sz w:val="24"/>
                <w:szCs w:val="24"/>
              </w:rPr>
              <w:t>6</w:t>
            </w:r>
          </w:p>
        </w:tc>
        <w:tc>
          <w:tcPr>
            <w:tcW w:w="192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highlight w:val="yellow"/>
              </w:rPr>
            </w:pPr>
            <w:r>
              <w:rPr>
                <w:rFonts w:ascii="Times New Roman" w:hAnsi="Times New Roman" w:eastAsia="仿宋_GB2312"/>
                <w:kern w:val="0"/>
                <w:sz w:val="24"/>
                <w:szCs w:val="24"/>
                <w:lang w:bidi="ar"/>
              </w:rPr>
              <w:t>虎门</w:t>
            </w:r>
          </w:p>
        </w:tc>
        <w:tc>
          <w:tcPr>
            <w:tcW w:w="569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highlight w:val="yellow"/>
              </w:rPr>
            </w:pPr>
            <w:r>
              <w:rPr>
                <w:rFonts w:ascii="Times New Roman" w:hAnsi="Times New Roman" w:eastAsia="仿宋_GB2312"/>
                <w:kern w:val="0"/>
                <w:sz w:val="24"/>
                <w:szCs w:val="24"/>
                <w:lang w:bidi="ar"/>
              </w:rPr>
              <w:t>东莞市佳瑞金属制品有限公司</w:t>
            </w:r>
          </w:p>
        </w:tc>
      </w:tr>
      <w:tr>
        <w:tblPrEx>
          <w:tblCellMar>
            <w:top w:w="0" w:type="dxa"/>
            <w:left w:w="108" w:type="dxa"/>
            <w:bottom w:w="0" w:type="dxa"/>
            <w:right w:w="108" w:type="dxa"/>
          </w:tblCellMar>
        </w:tblPrEx>
        <w:trPr>
          <w:trHeight w:val="90" w:hRule="atLeast"/>
        </w:trPr>
        <w:tc>
          <w:tcPr>
            <w:tcW w:w="115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sz w:val="24"/>
                <w:szCs w:val="24"/>
              </w:rPr>
              <w:t>7</w:t>
            </w:r>
          </w:p>
        </w:tc>
        <w:tc>
          <w:tcPr>
            <w:tcW w:w="192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lang w:bidi="ar"/>
              </w:rPr>
              <w:t>长安</w:t>
            </w:r>
          </w:p>
        </w:tc>
        <w:tc>
          <w:tcPr>
            <w:tcW w:w="569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lang w:bidi="ar"/>
              </w:rPr>
              <w:t>东莞市红达金属材料有限公司</w:t>
            </w:r>
          </w:p>
        </w:tc>
      </w:tr>
      <w:tr>
        <w:tblPrEx>
          <w:tblCellMar>
            <w:top w:w="0" w:type="dxa"/>
            <w:left w:w="108" w:type="dxa"/>
            <w:bottom w:w="0" w:type="dxa"/>
            <w:right w:w="108" w:type="dxa"/>
          </w:tblCellMar>
        </w:tblPrEx>
        <w:trPr>
          <w:trHeight w:val="387" w:hRule="atLeast"/>
        </w:trPr>
        <w:tc>
          <w:tcPr>
            <w:tcW w:w="115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sz w:val="24"/>
                <w:szCs w:val="24"/>
              </w:rPr>
              <w:t>8</w:t>
            </w:r>
          </w:p>
        </w:tc>
        <w:tc>
          <w:tcPr>
            <w:tcW w:w="192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lang w:bidi="ar"/>
              </w:rPr>
              <w:t>中堂</w:t>
            </w:r>
          </w:p>
        </w:tc>
        <w:tc>
          <w:tcPr>
            <w:tcW w:w="569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lang w:bidi="ar"/>
              </w:rPr>
              <w:t>广东鑫发精密金属科技有限公司</w:t>
            </w:r>
          </w:p>
        </w:tc>
      </w:tr>
    </w:tbl>
    <w:p>
      <w:pPr>
        <w:spacing w:line="600" w:lineRule="exact"/>
        <w:jc w:val="left"/>
        <w:outlineLvl w:val="1"/>
        <w:rPr>
          <w:rFonts w:ascii="Times New Roman" w:hAnsi="Times New Roman" w:eastAsia="黑体"/>
          <w:sz w:val="32"/>
          <w:szCs w:val="32"/>
        </w:rPr>
      </w:pPr>
    </w:p>
    <w:p>
      <w:pPr>
        <w:spacing w:line="600" w:lineRule="exact"/>
        <w:jc w:val="left"/>
        <w:outlineLvl w:val="1"/>
        <w:rPr>
          <w:rFonts w:ascii="Times New Roman" w:hAnsi="Times New Roman" w:eastAsia="黑体"/>
          <w:sz w:val="32"/>
          <w:szCs w:val="32"/>
        </w:rPr>
      </w:pPr>
    </w:p>
    <w:p>
      <w:pPr>
        <w:spacing w:line="600" w:lineRule="exact"/>
        <w:jc w:val="left"/>
        <w:outlineLvl w:val="1"/>
        <w:rPr>
          <w:rFonts w:ascii="Times New Roman" w:hAnsi="Times New Roman" w:eastAsia="黑体"/>
          <w:sz w:val="32"/>
          <w:szCs w:val="32"/>
        </w:rPr>
      </w:pPr>
    </w:p>
    <w:p>
      <w:pPr>
        <w:spacing w:line="600" w:lineRule="exact"/>
        <w:jc w:val="left"/>
        <w:outlineLvl w:val="1"/>
        <w:rPr>
          <w:rFonts w:ascii="Times New Roman" w:hAnsi="Times New Roman" w:eastAsia="黑体"/>
          <w:sz w:val="32"/>
          <w:szCs w:val="32"/>
        </w:rPr>
      </w:pPr>
    </w:p>
    <w:p>
      <w:pPr>
        <w:spacing w:line="600" w:lineRule="exact"/>
        <w:jc w:val="left"/>
        <w:outlineLvl w:val="1"/>
        <w:rPr>
          <w:rFonts w:ascii="Times New Roman" w:hAnsi="Times New Roman" w:eastAsia="黑体"/>
          <w:sz w:val="32"/>
          <w:szCs w:val="32"/>
        </w:rPr>
      </w:pPr>
    </w:p>
    <w:p>
      <w:pPr>
        <w:spacing w:line="600" w:lineRule="exact"/>
        <w:jc w:val="left"/>
        <w:outlineLvl w:val="1"/>
        <w:rPr>
          <w:rFonts w:ascii="Times New Roman" w:hAnsi="Times New Roman" w:eastAsia="黑体"/>
          <w:sz w:val="32"/>
          <w:szCs w:val="32"/>
        </w:rPr>
      </w:pPr>
    </w:p>
    <w:p>
      <w:pPr>
        <w:spacing w:line="600" w:lineRule="exact"/>
        <w:jc w:val="left"/>
        <w:outlineLvl w:val="1"/>
        <w:rPr>
          <w:rFonts w:ascii="Times New Roman" w:hAnsi="Times New Roman" w:eastAsia="黑体"/>
          <w:sz w:val="32"/>
          <w:szCs w:val="32"/>
        </w:rPr>
      </w:pPr>
    </w:p>
    <w:p>
      <w:pPr>
        <w:spacing w:line="600" w:lineRule="exact"/>
        <w:jc w:val="left"/>
        <w:outlineLvl w:val="1"/>
        <w:rPr>
          <w:rFonts w:ascii="Times New Roman" w:hAnsi="Times New Roman" w:eastAsia="黑体"/>
          <w:sz w:val="32"/>
          <w:szCs w:val="32"/>
        </w:rPr>
      </w:pPr>
    </w:p>
    <w:p>
      <w:pPr>
        <w:spacing w:line="600" w:lineRule="exact"/>
        <w:jc w:val="left"/>
        <w:outlineLvl w:val="1"/>
        <w:rPr>
          <w:rFonts w:ascii="Times New Roman" w:hAnsi="Times New Roman" w:eastAsia="黑体"/>
          <w:sz w:val="32"/>
          <w:szCs w:val="32"/>
        </w:rPr>
      </w:pPr>
    </w:p>
    <w:p>
      <w:pPr>
        <w:spacing w:line="600" w:lineRule="exact"/>
        <w:jc w:val="left"/>
        <w:outlineLvl w:val="1"/>
        <w:rPr>
          <w:rFonts w:ascii="Times New Roman" w:hAnsi="Times New Roman" w:eastAsia="黑体"/>
          <w:sz w:val="32"/>
          <w:szCs w:val="32"/>
        </w:rPr>
      </w:pPr>
    </w:p>
    <w:p>
      <w:pPr>
        <w:spacing w:line="600" w:lineRule="exact"/>
        <w:jc w:val="left"/>
        <w:outlineLvl w:val="1"/>
        <w:rPr>
          <w:rFonts w:ascii="Times New Roman" w:hAnsi="Times New Roman" w:eastAsia="黑体"/>
          <w:sz w:val="32"/>
          <w:szCs w:val="32"/>
        </w:rPr>
      </w:pPr>
    </w:p>
    <w:p>
      <w:pPr>
        <w:spacing w:line="600" w:lineRule="exact"/>
        <w:jc w:val="left"/>
        <w:outlineLvl w:val="1"/>
        <w:rPr>
          <w:rFonts w:ascii="Times New Roman" w:hAnsi="Times New Roman" w:eastAsia="黑体"/>
          <w:sz w:val="32"/>
          <w:szCs w:val="32"/>
        </w:rPr>
      </w:pPr>
    </w:p>
    <w:p>
      <w:pPr>
        <w:spacing w:line="600" w:lineRule="exact"/>
        <w:jc w:val="left"/>
        <w:outlineLvl w:val="1"/>
        <w:rPr>
          <w:rFonts w:ascii="Times New Roman" w:hAnsi="Times New Roman" w:eastAsia="黑体"/>
          <w:sz w:val="44"/>
          <w:szCs w:val="44"/>
        </w:rPr>
      </w:pPr>
      <w:r>
        <w:rPr>
          <w:rFonts w:ascii="Times New Roman" w:hAnsi="Times New Roman" w:eastAsia="黑体"/>
          <w:sz w:val="32"/>
          <w:szCs w:val="32"/>
        </w:rPr>
        <w:t>附件</w:t>
      </w:r>
      <w:r>
        <w:rPr>
          <w:rFonts w:hint="eastAsia" w:ascii="Times New Roman" w:hAnsi="Times New Roman" w:eastAsia="黑体"/>
          <w:sz w:val="32"/>
          <w:szCs w:val="32"/>
        </w:rPr>
        <w:t>11</w:t>
      </w:r>
    </w:p>
    <w:p>
      <w:pPr>
        <w:spacing w:line="600" w:lineRule="exact"/>
        <w:jc w:val="center"/>
      </w:pPr>
      <w:r>
        <w:rPr>
          <w:rFonts w:ascii="方正小标宋简体" w:hAnsi="Times New Roman" w:eastAsia="方正小标宋简体"/>
          <w:sz w:val="44"/>
          <w:szCs w:val="44"/>
        </w:rPr>
        <w:t>柴油车用车大户监管任务</w:t>
      </w:r>
      <w:r>
        <w:rPr>
          <w:rFonts w:hint="eastAsia" w:ascii="方正小标宋简体" w:hAnsi="Times New Roman" w:eastAsia="方正小标宋简体"/>
          <w:sz w:val="44"/>
          <w:szCs w:val="44"/>
        </w:rPr>
        <w:t>表</w:t>
      </w:r>
    </w:p>
    <w:tbl>
      <w:tblPr>
        <w:tblStyle w:val="11"/>
        <w:tblpPr w:leftFromText="180" w:rightFromText="180" w:vertAnchor="text" w:horzAnchor="page" w:tblpX="1554" w:tblpY="6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3071"/>
        <w:gridCol w:w="2294"/>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rPr>
                <w:rFonts w:hint="eastAsia" w:ascii="黑体" w:hAnsi="黑体" w:eastAsia="黑体" w:cs="黑体"/>
                <w:sz w:val="24"/>
                <w:szCs w:val="24"/>
                <w:lang w:bidi="ar"/>
              </w:rPr>
            </w:pPr>
            <w:r>
              <w:rPr>
                <w:rFonts w:hint="eastAsia" w:ascii="黑体" w:hAnsi="黑体" w:eastAsia="黑体" w:cs="黑体"/>
                <w:sz w:val="24"/>
                <w:szCs w:val="24"/>
                <w:lang w:bidi="ar"/>
              </w:rPr>
              <w:t>序号</w:t>
            </w:r>
          </w:p>
        </w:tc>
        <w:tc>
          <w:tcPr>
            <w:tcW w:w="3071" w:type="dxa"/>
            <w:noWrap w:val="0"/>
            <w:vAlign w:val="center"/>
          </w:tcPr>
          <w:p>
            <w:pPr>
              <w:widowControl/>
              <w:spacing w:line="300" w:lineRule="exact"/>
              <w:jc w:val="center"/>
              <w:rPr>
                <w:rFonts w:hint="eastAsia" w:ascii="黑体" w:hAnsi="黑体" w:eastAsia="黑体" w:cs="黑体"/>
                <w:sz w:val="24"/>
                <w:szCs w:val="24"/>
                <w:lang w:bidi="ar"/>
              </w:rPr>
            </w:pPr>
            <w:r>
              <w:rPr>
                <w:rFonts w:hint="eastAsia" w:ascii="黑体" w:hAnsi="黑体" w:eastAsia="黑体" w:cs="黑体"/>
                <w:sz w:val="24"/>
                <w:szCs w:val="24"/>
                <w:lang w:bidi="ar"/>
              </w:rPr>
              <w:t>镇街（园区）</w:t>
            </w:r>
          </w:p>
        </w:tc>
        <w:tc>
          <w:tcPr>
            <w:tcW w:w="2294" w:type="dxa"/>
            <w:noWrap w:val="0"/>
            <w:vAlign w:val="center"/>
          </w:tcPr>
          <w:p>
            <w:pPr>
              <w:widowControl/>
              <w:spacing w:line="300" w:lineRule="exact"/>
              <w:jc w:val="center"/>
              <w:rPr>
                <w:rFonts w:hint="eastAsia" w:ascii="黑体" w:hAnsi="黑体" w:eastAsia="黑体" w:cs="黑体"/>
                <w:sz w:val="24"/>
                <w:szCs w:val="24"/>
                <w:lang w:bidi="ar"/>
              </w:rPr>
            </w:pPr>
            <w:r>
              <w:rPr>
                <w:rFonts w:hint="eastAsia" w:ascii="黑体" w:hAnsi="黑体" w:eastAsia="黑体" w:cs="黑体"/>
                <w:sz w:val="24"/>
                <w:szCs w:val="24"/>
                <w:lang w:bidi="ar"/>
              </w:rPr>
              <w:t>用车大户数量</w:t>
            </w:r>
          </w:p>
        </w:tc>
        <w:tc>
          <w:tcPr>
            <w:tcW w:w="2467" w:type="dxa"/>
            <w:noWrap w:val="0"/>
            <w:vAlign w:val="center"/>
          </w:tcPr>
          <w:p>
            <w:pPr>
              <w:widowControl/>
              <w:spacing w:line="300" w:lineRule="exact"/>
              <w:jc w:val="center"/>
              <w:rPr>
                <w:rFonts w:hint="eastAsia" w:ascii="黑体" w:hAnsi="黑体" w:eastAsia="黑体" w:cs="黑体"/>
                <w:sz w:val="24"/>
                <w:szCs w:val="24"/>
                <w:lang w:bidi="ar"/>
              </w:rPr>
            </w:pPr>
            <w:r>
              <w:rPr>
                <w:rFonts w:hint="eastAsia" w:ascii="黑体" w:hAnsi="黑体" w:eastAsia="黑体" w:cs="黑体"/>
                <w:sz w:val="24"/>
                <w:szCs w:val="24"/>
                <w:lang w:bidi="ar"/>
              </w:rPr>
              <w:t>柴油车总数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rPr>
                <w:rFonts w:hint="eastAsia" w:ascii="Times New Roman" w:hAnsi="Times New Roman" w:eastAsia="黑体"/>
                <w:bCs/>
                <w:sz w:val="24"/>
                <w:lang w:bidi="ar"/>
              </w:rPr>
            </w:pPr>
            <w:r>
              <w:rPr>
                <w:rFonts w:hint="eastAsia" w:ascii="Times New Roman" w:hAnsi="Times New Roman" w:eastAsia="黑体"/>
                <w:bCs/>
                <w:sz w:val="24"/>
                <w:lang w:bidi="ar"/>
              </w:rPr>
              <w:t>1</w:t>
            </w:r>
          </w:p>
        </w:tc>
        <w:tc>
          <w:tcPr>
            <w:tcW w:w="3071"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仿宋_GB2312"/>
                <w:kern w:val="0"/>
                <w:sz w:val="24"/>
                <w:szCs w:val="24"/>
                <w:lang w:bidi="ar"/>
              </w:rPr>
              <w:t>松山湖</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7</w:t>
            </w:r>
          </w:p>
        </w:tc>
        <w:tc>
          <w:tcPr>
            <w:tcW w:w="2467" w:type="dxa"/>
            <w:noWrap w:val="0"/>
            <w:vAlign w:val="center"/>
          </w:tcPr>
          <w:p>
            <w:pPr>
              <w:widowControl/>
              <w:spacing w:line="300" w:lineRule="exact"/>
              <w:jc w:val="center"/>
              <w:textAlignment w:val="center"/>
              <w:rPr>
                <w:rFonts w:hint="eastAsia" w:ascii="Times New Roman" w:hAnsi="Times New Roman" w:eastAsia="黑体"/>
                <w:bCs/>
                <w:sz w:val="24"/>
                <w:lang w:bidi="ar"/>
              </w:rPr>
            </w:pPr>
            <w:r>
              <w:rPr>
                <w:rFonts w:ascii="Times New Roman" w:hAnsi="Times New Roman" w:eastAsia="黑体"/>
                <w:bCs/>
                <w:sz w:val="24"/>
                <w:lang w:bidi="ar"/>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rPr>
                <w:rFonts w:hint="eastAsia" w:ascii="Times New Roman" w:hAnsi="Times New Roman" w:eastAsia="黑体"/>
                <w:bCs/>
                <w:sz w:val="24"/>
                <w:lang w:bidi="ar"/>
              </w:rPr>
            </w:pPr>
            <w:r>
              <w:rPr>
                <w:rFonts w:hint="eastAsia" w:ascii="Times New Roman" w:hAnsi="Times New Roman" w:eastAsia="黑体"/>
                <w:bCs/>
                <w:sz w:val="24"/>
                <w:lang w:bidi="ar"/>
              </w:rPr>
              <w:t>2</w:t>
            </w:r>
          </w:p>
        </w:tc>
        <w:tc>
          <w:tcPr>
            <w:tcW w:w="3071"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仿宋_GB2312"/>
                <w:kern w:val="0"/>
                <w:sz w:val="24"/>
                <w:szCs w:val="24"/>
                <w:lang w:bidi="ar"/>
              </w:rPr>
              <w:t>滨海湾</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1</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rPr>
                <w:rFonts w:hint="eastAsia" w:ascii="Times New Roman" w:hAnsi="Times New Roman" w:eastAsia="黑体"/>
                <w:bCs/>
                <w:sz w:val="24"/>
                <w:lang w:bidi="ar"/>
              </w:rPr>
            </w:pPr>
            <w:r>
              <w:rPr>
                <w:rFonts w:hint="eastAsia" w:ascii="Times New Roman" w:hAnsi="Times New Roman" w:eastAsia="黑体"/>
                <w:bCs/>
                <w:sz w:val="24"/>
                <w:lang w:bidi="ar"/>
              </w:rPr>
              <w:t>3</w:t>
            </w:r>
          </w:p>
        </w:tc>
        <w:tc>
          <w:tcPr>
            <w:tcW w:w="3071" w:type="dxa"/>
            <w:noWrap w:val="0"/>
            <w:vAlign w:val="center"/>
          </w:tcPr>
          <w:p>
            <w:pPr>
              <w:widowControl/>
              <w:spacing w:line="300" w:lineRule="exact"/>
              <w:jc w:val="center"/>
              <w:textAlignment w:val="cente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莞城</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13</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rPr>
                <w:rFonts w:hint="eastAsia" w:ascii="Times New Roman" w:hAnsi="Times New Roman" w:eastAsia="黑体"/>
                <w:bCs/>
                <w:sz w:val="24"/>
                <w:lang w:bidi="ar"/>
              </w:rPr>
            </w:pPr>
            <w:r>
              <w:rPr>
                <w:rFonts w:hint="eastAsia" w:ascii="Times New Roman" w:hAnsi="Times New Roman" w:eastAsia="黑体"/>
                <w:bCs/>
                <w:sz w:val="24"/>
                <w:lang w:bidi="ar"/>
              </w:rPr>
              <w:t>4</w:t>
            </w:r>
          </w:p>
        </w:tc>
        <w:tc>
          <w:tcPr>
            <w:tcW w:w="3071" w:type="dxa"/>
            <w:noWrap w:val="0"/>
            <w:vAlign w:val="center"/>
          </w:tcPr>
          <w:p>
            <w:pPr>
              <w:widowControl/>
              <w:spacing w:line="300" w:lineRule="exact"/>
              <w:jc w:val="center"/>
              <w:textAlignment w:val="cente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石龙</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3</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rPr>
                <w:rFonts w:hint="eastAsia" w:ascii="Times New Roman" w:hAnsi="Times New Roman" w:eastAsia="黑体"/>
                <w:bCs/>
                <w:sz w:val="24"/>
                <w:lang w:bidi="ar"/>
              </w:rPr>
            </w:pPr>
            <w:r>
              <w:rPr>
                <w:rFonts w:hint="eastAsia" w:ascii="Times New Roman" w:hAnsi="Times New Roman" w:eastAsia="黑体"/>
                <w:bCs/>
                <w:sz w:val="24"/>
                <w:lang w:bidi="ar"/>
              </w:rPr>
              <w:t>5</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虎门</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35</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rPr>
                <w:rFonts w:hint="eastAsia" w:ascii="Times New Roman" w:hAnsi="Times New Roman" w:eastAsia="黑体"/>
                <w:bCs/>
                <w:sz w:val="24"/>
                <w:lang w:bidi="ar"/>
              </w:rPr>
            </w:pPr>
            <w:r>
              <w:rPr>
                <w:rFonts w:hint="eastAsia" w:ascii="Times New Roman" w:hAnsi="Times New Roman" w:eastAsia="黑体"/>
                <w:bCs/>
                <w:sz w:val="24"/>
                <w:lang w:bidi="ar"/>
              </w:rPr>
              <w:t>6</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东城</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43</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rPr>
                <w:rFonts w:hint="eastAsia" w:ascii="Times New Roman" w:hAnsi="Times New Roman" w:eastAsia="黑体"/>
                <w:bCs/>
                <w:sz w:val="24"/>
                <w:lang w:bidi="ar"/>
              </w:rPr>
            </w:pPr>
            <w:r>
              <w:rPr>
                <w:rFonts w:hint="eastAsia" w:ascii="Times New Roman" w:hAnsi="Times New Roman" w:eastAsia="黑体"/>
                <w:bCs/>
                <w:sz w:val="24"/>
                <w:lang w:bidi="ar"/>
              </w:rPr>
              <w:t>7</w:t>
            </w:r>
          </w:p>
        </w:tc>
        <w:tc>
          <w:tcPr>
            <w:tcW w:w="3071" w:type="dxa"/>
            <w:noWrap w:val="0"/>
            <w:vAlign w:val="center"/>
          </w:tcPr>
          <w:p>
            <w:pPr>
              <w:widowControl/>
              <w:spacing w:line="300" w:lineRule="exact"/>
              <w:jc w:val="center"/>
              <w:textAlignment w:val="cente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万江</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31</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rPr>
                <w:rFonts w:hint="eastAsia" w:ascii="Times New Roman" w:hAnsi="Times New Roman" w:eastAsia="黑体"/>
                <w:bCs/>
                <w:sz w:val="24"/>
                <w:lang w:bidi="ar"/>
              </w:rPr>
            </w:pPr>
            <w:r>
              <w:rPr>
                <w:rFonts w:hint="eastAsia" w:ascii="Times New Roman" w:hAnsi="Times New Roman" w:eastAsia="黑体"/>
                <w:bCs/>
                <w:sz w:val="24"/>
                <w:lang w:bidi="ar"/>
              </w:rPr>
              <w:t>8</w:t>
            </w:r>
          </w:p>
        </w:tc>
        <w:tc>
          <w:tcPr>
            <w:tcW w:w="3071" w:type="dxa"/>
            <w:noWrap w:val="0"/>
            <w:vAlign w:val="center"/>
          </w:tcPr>
          <w:p>
            <w:pPr>
              <w:widowControl/>
              <w:spacing w:line="300" w:lineRule="exact"/>
              <w:jc w:val="center"/>
              <w:textAlignment w:val="cente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南城</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26</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rPr>
                <w:rFonts w:hint="eastAsia" w:ascii="Times New Roman" w:hAnsi="Times New Roman" w:eastAsia="黑体"/>
                <w:bCs/>
                <w:sz w:val="24"/>
                <w:lang w:bidi="ar"/>
              </w:rPr>
            </w:pPr>
            <w:r>
              <w:rPr>
                <w:rFonts w:hint="eastAsia" w:ascii="Times New Roman" w:hAnsi="Times New Roman" w:eastAsia="黑体"/>
                <w:bCs/>
                <w:sz w:val="24"/>
                <w:lang w:bidi="ar"/>
              </w:rPr>
              <w:t>9</w:t>
            </w:r>
          </w:p>
        </w:tc>
        <w:tc>
          <w:tcPr>
            <w:tcW w:w="3071" w:type="dxa"/>
            <w:noWrap w:val="0"/>
            <w:vAlign w:val="center"/>
          </w:tcPr>
          <w:p>
            <w:pPr>
              <w:widowControl/>
              <w:spacing w:line="300" w:lineRule="exact"/>
              <w:jc w:val="center"/>
              <w:textAlignment w:val="cente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中堂</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23</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rPr>
                <w:rFonts w:ascii="Times New Roman" w:hAnsi="Times New Roman" w:eastAsia="黑体"/>
                <w:bCs/>
                <w:sz w:val="24"/>
                <w:lang w:bidi="ar"/>
              </w:rPr>
            </w:pPr>
            <w:r>
              <w:rPr>
                <w:rFonts w:hint="eastAsia" w:ascii="Times New Roman" w:hAnsi="Times New Roman" w:eastAsia="黑体"/>
                <w:bCs/>
                <w:sz w:val="24"/>
                <w:lang w:bidi="ar"/>
              </w:rPr>
              <w:t>10</w:t>
            </w:r>
          </w:p>
        </w:tc>
        <w:tc>
          <w:tcPr>
            <w:tcW w:w="3071" w:type="dxa"/>
            <w:noWrap w:val="0"/>
            <w:vAlign w:val="center"/>
          </w:tcPr>
          <w:p>
            <w:pPr>
              <w:widowControl/>
              <w:spacing w:line="300" w:lineRule="exact"/>
              <w:jc w:val="center"/>
              <w:textAlignment w:val="cente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望牛墩</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13</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rPr>
                <w:rFonts w:ascii="Times New Roman" w:hAnsi="Times New Roman" w:eastAsia="黑体"/>
                <w:bCs/>
                <w:sz w:val="24"/>
                <w:lang w:bidi="ar"/>
              </w:rPr>
            </w:pPr>
            <w:r>
              <w:rPr>
                <w:rFonts w:hint="eastAsia" w:ascii="Times New Roman" w:hAnsi="Times New Roman" w:eastAsia="黑体"/>
                <w:bCs/>
                <w:sz w:val="24"/>
                <w:lang w:bidi="ar"/>
              </w:rPr>
              <w:t>11</w:t>
            </w:r>
          </w:p>
        </w:tc>
        <w:tc>
          <w:tcPr>
            <w:tcW w:w="3071" w:type="dxa"/>
            <w:noWrap w:val="0"/>
            <w:vAlign w:val="center"/>
          </w:tcPr>
          <w:p>
            <w:pPr>
              <w:widowControl/>
              <w:spacing w:line="300" w:lineRule="exact"/>
              <w:jc w:val="center"/>
              <w:textAlignment w:val="cente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麻涌</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19</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hint="eastAsia" w:ascii="Times New Roman" w:hAnsi="Times New Roman" w:eastAsia="仿宋_GB2312"/>
                <w:sz w:val="24"/>
                <w:szCs w:val="24"/>
              </w:rPr>
            </w:pPr>
            <w:r>
              <w:rPr>
                <w:rFonts w:ascii="Times New Roman" w:hAnsi="Times New Roman" w:eastAsia="仿宋_GB2312"/>
                <w:kern w:val="0"/>
                <w:sz w:val="24"/>
                <w:szCs w:val="24"/>
                <w:lang w:bidi="ar"/>
              </w:rPr>
              <w:t>1</w:t>
            </w:r>
            <w:r>
              <w:rPr>
                <w:rFonts w:hint="eastAsia" w:ascii="Times New Roman" w:hAnsi="Times New Roman" w:eastAsia="仿宋_GB2312"/>
                <w:kern w:val="0"/>
                <w:sz w:val="24"/>
                <w:szCs w:val="24"/>
                <w:lang w:bidi="ar"/>
              </w:rPr>
              <w:t>2</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石碣</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15</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kern w:val="0"/>
                <w:sz w:val="24"/>
                <w:szCs w:val="24"/>
                <w:lang w:bidi="ar"/>
              </w:rPr>
            </w:pPr>
            <w:r>
              <w:rPr>
                <w:rFonts w:hint="eastAsia" w:ascii="Times New Roman" w:hAnsi="Times New Roman" w:eastAsia="仿宋_GB2312"/>
                <w:kern w:val="0"/>
                <w:sz w:val="24"/>
                <w:szCs w:val="24"/>
                <w:lang w:bidi="ar"/>
              </w:rPr>
              <w:t>13</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高</w:t>
            </w:r>
            <w:r>
              <w:rPr>
                <w:rStyle w:val="28"/>
                <w:rFonts w:hint="eastAsia" w:ascii="仿宋" w:hAnsi="仿宋" w:eastAsia="仿宋" w:cs="仿宋"/>
                <w:color w:val="auto"/>
                <w:lang w:bidi="ar"/>
              </w:rPr>
              <w:t>埗</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18</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kern w:val="0"/>
                <w:sz w:val="24"/>
                <w:szCs w:val="24"/>
                <w:lang w:bidi="ar"/>
              </w:rPr>
            </w:pPr>
            <w:r>
              <w:rPr>
                <w:rFonts w:hint="eastAsia" w:ascii="Times New Roman" w:hAnsi="Times New Roman" w:eastAsia="仿宋_GB2312"/>
                <w:kern w:val="0"/>
                <w:sz w:val="24"/>
                <w:szCs w:val="24"/>
                <w:lang w:bidi="ar"/>
              </w:rPr>
              <w:t>14</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洪梅</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8</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kern w:val="0"/>
                <w:sz w:val="24"/>
                <w:szCs w:val="24"/>
                <w:lang w:bidi="ar"/>
              </w:rPr>
            </w:pPr>
            <w:r>
              <w:rPr>
                <w:rFonts w:hint="eastAsia" w:ascii="Times New Roman" w:hAnsi="Times New Roman" w:eastAsia="仿宋_GB2312"/>
                <w:kern w:val="0"/>
                <w:sz w:val="24"/>
                <w:szCs w:val="24"/>
                <w:lang w:bidi="ar"/>
              </w:rPr>
              <w:t>15</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道</w:t>
            </w:r>
            <w:r>
              <w:rPr>
                <w:rStyle w:val="28"/>
                <w:rFonts w:hint="eastAsia" w:ascii="仿宋" w:hAnsi="仿宋" w:eastAsia="仿宋" w:cs="仿宋"/>
                <w:color w:val="auto"/>
                <w:lang w:bidi="ar"/>
              </w:rPr>
              <w:t>滘</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11</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sz w:val="24"/>
                <w:szCs w:val="24"/>
              </w:rPr>
            </w:pPr>
            <w:r>
              <w:rPr>
                <w:rFonts w:hint="eastAsia" w:ascii="Times New Roman" w:hAnsi="Times New Roman" w:eastAsia="仿宋_GB2312"/>
                <w:kern w:val="0"/>
                <w:sz w:val="24"/>
                <w:szCs w:val="24"/>
                <w:lang w:bidi="ar"/>
              </w:rPr>
              <w:t>16</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厚街</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42</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sz w:val="24"/>
                <w:szCs w:val="24"/>
              </w:rPr>
            </w:pPr>
            <w:r>
              <w:rPr>
                <w:rFonts w:hint="eastAsia" w:ascii="Times New Roman" w:hAnsi="Times New Roman" w:eastAsia="仿宋_GB2312"/>
                <w:kern w:val="0"/>
                <w:sz w:val="24"/>
                <w:szCs w:val="24"/>
                <w:lang w:bidi="ar"/>
              </w:rPr>
              <w:t>17</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沙田</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45</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1246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kern w:val="0"/>
                <w:sz w:val="24"/>
                <w:szCs w:val="24"/>
                <w:lang w:bidi="ar"/>
              </w:rPr>
            </w:pPr>
            <w:r>
              <w:rPr>
                <w:rFonts w:hint="eastAsia" w:ascii="Times New Roman" w:hAnsi="Times New Roman" w:eastAsia="仿宋_GB2312"/>
                <w:kern w:val="0"/>
                <w:sz w:val="24"/>
                <w:szCs w:val="24"/>
                <w:lang w:bidi="ar"/>
              </w:rPr>
              <w:t>18</w:t>
            </w:r>
          </w:p>
        </w:tc>
        <w:tc>
          <w:tcPr>
            <w:tcW w:w="3071" w:type="dxa"/>
            <w:noWrap w:val="0"/>
            <w:vAlign w:val="center"/>
          </w:tcPr>
          <w:p>
            <w:pPr>
              <w:widowControl/>
              <w:spacing w:line="300" w:lineRule="exact"/>
              <w:jc w:val="center"/>
              <w:textAlignment w:val="cente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长安</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30</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kern w:val="0"/>
                <w:sz w:val="24"/>
                <w:szCs w:val="24"/>
                <w:lang w:bidi="ar"/>
              </w:rPr>
            </w:pPr>
            <w:r>
              <w:rPr>
                <w:rFonts w:hint="eastAsia" w:ascii="Times New Roman" w:hAnsi="Times New Roman" w:eastAsia="仿宋_GB2312"/>
                <w:kern w:val="0"/>
                <w:sz w:val="24"/>
                <w:szCs w:val="24"/>
                <w:lang w:bidi="ar"/>
              </w:rPr>
              <w:t>19</w:t>
            </w:r>
          </w:p>
        </w:tc>
        <w:tc>
          <w:tcPr>
            <w:tcW w:w="3071" w:type="dxa"/>
            <w:noWrap w:val="0"/>
            <w:vAlign w:val="center"/>
          </w:tcPr>
          <w:p>
            <w:pPr>
              <w:widowControl/>
              <w:spacing w:line="300" w:lineRule="exact"/>
              <w:jc w:val="center"/>
              <w:textAlignment w:val="cente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寮步</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98</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6843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sz w:val="24"/>
                <w:szCs w:val="24"/>
              </w:rPr>
            </w:pPr>
            <w:r>
              <w:rPr>
                <w:rFonts w:hint="eastAsia" w:ascii="Times New Roman" w:hAnsi="Times New Roman" w:eastAsia="仿宋_GB2312"/>
                <w:kern w:val="0"/>
                <w:sz w:val="24"/>
                <w:szCs w:val="24"/>
                <w:lang w:bidi="ar"/>
              </w:rPr>
              <w:t>20</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大岭山</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75</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3352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sz w:val="24"/>
                <w:szCs w:val="24"/>
              </w:rPr>
            </w:pPr>
            <w:r>
              <w:rPr>
                <w:rFonts w:hint="eastAsia" w:ascii="Times New Roman" w:hAnsi="Times New Roman" w:eastAsia="仿宋_GB2312"/>
                <w:kern w:val="0"/>
                <w:sz w:val="24"/>
                <w:szCs w:val="24"/>
                <w:lang w:bidi="ar"/>
              </w:rPr>
              <w:t>21</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大朗</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23</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sz w:val="24"/>
                <w:szCs w:val="24"/>
              </w:rPr>
            </w:pPr>
            <w:r>
              <w:rPr>
                <w:rFonts w:hint="eastAsia" w:ascii="Times New Roman" w:hAnsi="Times New Roman" w:eastAsia="仿宋_GB2312"/>
                <w:kern w:val="0"/>
                <w:sz w:val="24"/>
                <w:szCs w:val="24"/>
                <w:lang w:bidi="ar"/>
              </w:rPr>
              <w:t>22</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黄江</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10</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sz w:val="24"/>
                <w:szCs w:val="24"/>
              </w:rPr>
            </w:pPr>
            <w:r>
              <w:rPr>
                <w:rFonts w:hint="eastAsia" w:ascii="Times New Roman" w:hAnsi="Times New Roman" w:eastAsia="仿宋_GB2312"/>
                <w:kern w:val="0"/>
                <w:sz w:val="24"/>
                <w:szCs w:val="24"/>
                <w:lang w:bidi="ar"/>
              </w:rPr>
              <w:t>23</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樟木头</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20</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sz w:val="24"/>
                <w:szCs w:val="24"/>
              </w:rPr>
            </w:pPr>
            <w:r>
              <w:rPr>
                <w:rFonts w:hint="eastAsia" w:ascii="Times New Roman" w:hAnsi="Times New Roman" w:eastAsia="仿宋_GB2312"/>
                <w:kern w:val="0"/>
                <w:sz w:val="24"/>
                <w:szCs w:val="24"/>
                <w:lang w:bidi="ar"/>
              </w:rPr>
              <w:t>24</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凤岗</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9</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sz w:val="24"/>
                <w:szCs w:val="24"/>
              </w:rPr>
            </w:pPr>
            <w:r>
              <w:rPr>
                <w:rFonts w:hint="eastAsia" w:ascii="Times New Roman" w:hAnsi="Times New Roman" w:eastAsia="仿宋_GB2312"/>
                <w:kern w:val="0"/>
                <w:sz w:val="24"/>
                <w:szCs w:val="24"/>
                <w:lang w:bidi="ar"/>
              </w:rPr>
              <w:t>25</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塘厦</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25</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sz w:val="24"/>
                <w:szCs w:val="24"/>
              </w:rPr>
            </w:pPr>
            <w:r>
              <w:rPr>
                <w:rFonts w:hint="eastAsia" w:ascii="Times New Roman" w:hAnsi="Times New Roman" w:eastAsia="仿宋_GB2312"/>
                <w:kern w:val="0"/>
                <w:sz w:val="24"/>
                <w:szCs w:val="24"/>
                <w:lang w:bidi="ar"/>
              </w:rPr>
              <w:t>26</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谢岗</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14</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kern w:val="0"/>
                <w:sz w:val="24"/>
                <w:szCs w:val="24"/>
                <w:lang w:bidi="ar"/>
              </w:rPr>
            </w:pPr>
            <w:r>
              <w:rPr>
                <w:rFonts w:hint="eastAsia" w:ascii="Times New Roman" w:hAnsi="Times New Roman" w:eastAsia="仿宋_GB2312"/>
                <w:kern w:val="0"/>
                <w:sz w:val="24"/>
                <w:szCs w:val="24"/>
                <w:lang w:bidi="ar"/>
              </w:rPr>
              <w:t>27</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清溪</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18</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kern w:val="0"/>
                <w:sz w:val="24"/>
                <w:szCs w:val="24"/>
                <w:lang w:bidi="ar"/>
              </w:rPr>
            </w:pPr>
            <w:r>
              <w:rPr>
                <w:rFonts w:hint="eastAsia" w:ascii="Times New Roman" w:hAnsi="Times New Roman" w:eastAsia="仿宋_GB2312"/>
                <w:kern w:val="0"/>
                <w:sz w:val="24"/>
                <w:szCs w:val="24"/>
                <w:lang w:bidi="ar"/>
              </w:rPr>
              <w:t>28</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常平</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16</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kern w:val="0"/>
                <w:sz w:val="24"/>
                <w:szCs w:val="24"/>
                <w:lang w:bidi="ar"/>
              </w:rPr>
            </w:pPr>
            <w:r>
              <w:rPr>
                <w:rFonts w:hint="eastAsia" w:ascii="Times New Roman" w:hAnsi="Times New Roman" w:eastAsia="仿宋_GB2312"/>
                <w:kern w:val="0"/>
                <w:sz w:val="24"/>
                <w:szCs w:val="24"/>
                <w:lang w:bidi="ar"/>
              </w:rPr>
              <w:t>29</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桥头</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13</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sz w:val="24"/>
                <w:szCs w:val="24"/>
              </w:rPr>
            </w:pPr>
            <w:r>
              <w:rPr>
                <w:rFonts w:hint="eastAsia" w:ascii="Times New Roman" w:hAnsi="Times New Roman" w:eastAsia="仿宋_GB2312"/>
                <w:kern w:val="0"/>
                <w:sz w:val="24"/>
                <w:szCs w:val="24"/>
                <w:lang w:bidi="ar"/>
              </w:rPr>
              <w:t>30</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横沥</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5</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kern w:val="0"/>
                <w:sz w:val="24"/>
                <w:szCs w:val="24"/>
                <w:lang w:bidi="ar"/>
              </w:rPr>
            </w:pPr>
            <w:r>
              <w:rPr>
                <w:rFonts w:hint="eastAsia" w:ascii="Times New Roman" w:hAnsi="Times New Roman" w:eastAsia="仿宋_GB2312"/>
                <w:kern w:val="0"/>
                <w:sz w:val="24"/>
                <w:szCs w:val="24"/>
                <w:lang w:bidi="ar"/>
              </w:rPr>
              <w:t>31</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东坑</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6</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sz w:val="24"/>
                <w:szCs w:val="24"/>
              </w:rPr>
            </w:pPr>
            <w:r>
              <w:rPr>
                <w:rFonts w:hint="eastAsia" w:ascii="Times New Roman" w:hAnsi="Times New Roman" w:eastAsia="仿宋_GB2312"/>
                <w:kern w:val="0"/>
                <w:sz w:val="24"/>
                <w:szCs w:val="24"/>
                <w:lang w:bidi="ar"/>
              </w:rPr>
              <w:t>32</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企石</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5</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28" w:type="dxa"/>
            <w:noWrap w:val="0"/>
            <w:vAlign w:val="center"/>
          </w:tcPr>
          <w:p>
            <w:pPr>
              <w:widowControl/>
              <w:spacing w:line="300" w:lineRule="exact"/>
              <w:jc w:val="center"/>
              <w:textAlignment w:val="center"/>
              <w:rPr>
                <w:rFonts w:ascii="Times New Roman" w:hAnsi="Times New Roman" w:eastAsia="仿宋_GB2312"/>
                <w:sz w:val="24"/>
                <w:szCs w:val="24"/>
              </w:rPr>
            </w:pPr>
            <w:r>
              <w:rPr>
                <w:rFonts w:hint="eastAsia" w:ascii="Times New Roman" w:hAnsi="Times New Roman" w:eastAsia="仿宋_GB2312"/>
                <w:kern w:val="0"/>
                <w:sz w:val="24"/>
                <w:szCs w:val="24"/>
                <w:lang w:bidi="ar"/>
              </w:rPr>
              <w:t>33</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石排</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11</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28" w:type="dxa"/>
            <w:noWrap w:val="0"/>
            <w:vAlign w:val="center"/>
          </w:tcPr>
          <w:p>
            <w:pPr>
              <w:widowControl/>
              <w:spacing w:line="300" w:lineRule="exact"/>
              <w:jc w:val="center"/>
              <w:textAlignment w:val="center"/>
              <w:rPr>
                <w:rFonts w:hint="eastAsia" w:ascii="Times New Roman" w:hAnsi="Times New Roman" w:eastAsia="仿宋_GB2312"/>
                <w:kern w:val="0"/>
                <w:sz w:val="24"/>
                <w:szCs w:val="24"/>
                <w:lang w:bidi="ar"/>
              </w:rPr>
            </w:pPr>
            <w:r>
              <w:rPr>
                <w:rFonts w:hint="eastAsia" w:ascii="Times New Roman" w:hAnsi="Times New Roman" w:eastAsia="仿宋_GB2312"/>
                <w:kern w:val="0"/>
                <w:sz w:val="24"/>
                <w:szCs w:val="24"/>
                <w:lang w:bidi="ar"/>
              </w:rPr>
              <w:t>34</w:t>
            </w:r>
          </w:p>
        </w:tc>
        <w:tc>
          <w:tcPr>
            <w:tcW w:w="3071" w:type="dxa"/>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茶山</w:t>
            </w:r>
          </w:p>
        </w:tc>
        <w:tc>
          <w:tcPr>
            <w:tcW w:w="2294" w:type="dxa"/>
            <w:noWrap w:val="0"/>
            <w:vAlign w:val="top"/>
          </w:tcPr>
          <w:p>
            <w:pPr>
              <w:widowControl/>
              <w:spacing w:line="300" w:lineRule="exact"/>
              <w:jc w:val="center"/>
              <w:rPr>
                <w:rFonts w:ascii="Times New Roman" w:hAnsi="Times New Roman" w:eastAsia="黑体"/>
                <w:bCs/>
                <w:sz w:val="24"/>
                <w:lang w:bidi="ar"/>
              </w:rPr>
            </w:pPr>
            <w:r>
              <w:rPr>
                <w:rFonts w:ascii="Times New Roman" w:hAnsi="Times New Roman" w:eastAsia="黑体"/>
                <w:bCs/>
                <w:sz w:val="24"/>
                <w:lang w:bidi="ar"/>
              </w:rPr>
              <w:t>18</w:t>
            </w:r>
          </w:p>
        </w:tc>
        <w:tc>
          <w:tcPr>
            <w:tcW w:w="2467" w:type="dxa"/>
            <w:noWrap w:val="0"/>
            <w:vAlign w:val="center"/>
          </w:tcPr>
          <w:p>
            <w:pPr>
              <w:widowControl/>
              <w:spacing w:line="300" w:lineRule="exact"/>
              <w:jc w:val="center"/>
              <w:textAlignment w:val="center"/>
              <w:rPr>
                <w:rFonts w:ascii="Times New Roman" w:hAnsi="Times New Roman" w:eastAsia="黑体"/>
                <w:bCs/>
                <w:sz w:val="24"/>
                <w:lang w:bidi="ar"/>
              </w:rPr>
            </w:pPr>
            <w:r>
              <w:rPr>
                <w:rFonts w:ascii="Times New Roman" w:hAnsi="Times New Roman" w:eastAsia="黑体"/>
                <w:bCs/>
                <w:sz w:val="24"/>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9" w:type="dxa"/>
            <w:gridSpan w:val="2"/>
            <w:noWrap w:val="0"/>
            <w:vAlign w:val="center"/>
          </w:tcPr>
          <w:p>
            <w:pPr>
              <w:widowControl/>
              <w:spacing w:line="300" w:lineRule="exact"/>
              <w:jc w:val="center"/>
              <w:textAlignment w:val="center"/>
              <w:rPr>
                <w:rFonts w:ascii="Times New Roman" w:hAnsi="Times New Roman" w:eastAsia="仿宋_GB2312"/>
                <w:sz w:val="24"/>
                <w:szCs w:val="24"/>
              </w:rPr>
            </w:pPr>
            <w:r>
              <w:rPr>
                <w:rFonts w:ascii="Times New Roman" w:hAnsi="Times New Roman" w:eastAsia="仿宋_GB2312"/>
                <w:kern w:val="0"/>
                <w:sz w:val="24"/>
                <w:szCs w:val="24"/>
                <w:lang w:bidi="ar"/>
              </w:rPr>
              <w:t>合计</w:t>
            </w:r>
          </w:p>
        </w:tc>
        <w:tc>
          <w:tcPr>
            <w:tcW w:w="2294" w:type="dxa"/>
            <w:noWrap w:val="0"/>
            <w:vAlign w:val="center"/>
          </w:tcPr>
          <w:p>
            <w:pPr>
              <w:widowControl/>
              <w:spacing w:line="300" w:lineRule="exact"/>
              <w:jc w:val="center"/>
              <w:rPr>
                <w:rFonts w:ascii="Times New Roman" w:hAnsi="Times New Roman" w:eastAsia="黑体"/>
                <w:bCs/>
                <w:sz w:val="24"/>
                <w:lang w:bidi="ar"/>
              </w:rPr>
            </w:pPr>
            <w:r>
              <w:rPr>
                <w:rFonts w:hint="eastAsia" w:ascii="Times New Roman" w:hAnsi="Times New Roman" w:eastAsia="黑体"/>
                <w:bCs/>
                <w:sz w:val="24"/>
                <w:lang w:bidi="ar"/>
              </w:rPr>
              <w:t>749</w:t>
            </w:r>
          </w:p>
        </w:tc>
        <w:tc>
          <w:tcPr>
            <w:tcW w:w="2467" w:type="dxa"/>
            <w:noWrap w:val="0"/>
            <w:vAlign w:val="center"/>
          </w:tcPr>
          <w:p>
            <w:pPr>
              <w:widowControl/>
              <w:spacing w:line="300" w:lineRule="exact"/>
              <w:jc w:val="center"/>
              <w:rPr>
                <w:rFonts w:ascii="Times New Roman" w:hAnsi="Times New Roman" w:eastAsia="黑体"/>
                <w:bCs/>
                <w:sz w:val="24"/>
                <w:lang w:bidi="ar"/>
              </w:rPr>
            </w:pPr>
            <w:r>
              <w:rPr>
                <w:rFonts w:hint="eastAsia" w:ascii="Times New Roman" w:hAnsi="Times New Roman" w:eastAsia="黑体"/>
                <w:bCs/>
                <w:sz w:val="24"/>
                <w:lang w:bidi="ar"/>
              </w:rPr>
              <w:t>30185</w:t>
            </w:r>
          </w:p>
        </w:tc>
      </w:tr>
    </w:tbl>
    <w:p>
      <w:pPr>
        <w:pStyle w:val="23"/>
        <w:ind w:firstLine="0" w:firstLineChars="0"/>
        <w:rPr>
          <w:rFonts w:ascii="Calibri" w:hAnsi="Calibri"/>
        </w:rPr>
      </w:pPr>
    </w:p>
    <w:sectPr>
      <w:pgSz w:w="11906" w:h="16838"/>
      <w:pgMar w:top="2041" w:right="1531" w:bottom="2041" w:left="1531" w:header="851" w:footer="1417" w:gutter="0"/>
      <w:pgNumType w:fmt="numberInDash"/>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8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ascii="Times New Roman" w:hAnsi="Times New Roman"/>
                              <w:sz w:val="24"/>
                              <w:szCs w:val="24"/>
                            </w:rPr>
                          </w:pP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  \* MERGEFORMAT </w:instrText>
                          </w:r>
                          <w:r>
                            <w:rPr>
                              <w:rFonts w:ascii="Times New Roman" w:hAnsi="Times New Roman" w:eastAsia="仿宋_GB2312"/>
                              <w:sz w:val="24"/>
                              <w:szCs w:val="24"/>
                            </w:rPr>
                            <w:fldChar w:fldCharType="separate"/>
                          </w:r>
                          <w:r>
                            <w:rPr>
                              <w:rFonts w:ascii="Times New Roman" w:hAnsi="Times New Roman" w:eastAsia="仿宋_GB2312"/>
                              <w:sz w:val="24"/>
                              <w:szCs w:val="24"/>
                              <w:lang/>
                            </w:rPr>
                            <w:t>- 19 -</w:t>
                          </w:r>
                          <w:r>
                            <w:rPr>
                              <w:rFonts w:ascii="Times New Roman" w:hAnsi="Times New Roman" w:eastAsia="仿宋_GB2312"/>
                              <w:sz w:val="24"/>
                              <w:szCs w:val="24"/>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0NWr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m+&#10;zvr0AWpMewiYmIY7P+TcyQ/ozLQHFW3+IiGCcVT3fFVXDomI/Gi9Wq8rDAmMzRfEYY/PQ4T0VnpL&#10;stHQiOMrqvLTe0hj6pySqzl/r41BP6+N+8uBmNnDcu9jj9lKw36YGt/79ox8epx8Qx0uOiXmnUNh&#10;85LMRpyN/WwcQ9SHrmxRrgfh9piwidJbrjDCToVxZIXdtF55J/68l6zH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Q1avyQEAAJoDAAAOAAAAAAAAAAEAIAAAAB4BAABkcnMvZTJvRG9j&#10;LnhtbFBLBQYAAAAABgAGAFkBAABZBQAAAAA=&#10;">
              <v:fill on="f" focussize="0,0"/>
              <v:stroke on="f"/>
              <v:imagedata o:title=""/>
              <o:lock v:ext="edit" aspectratio="f"/>
              <v:textbox inset="0mm,0mm,0mm,0mm" style="mso-fit-shape-to-text:t;">
                <w:txbxContent>
                  <w:p>
                    <w:pPr>
                      <w:pStyle w:val="8"/>
                      <w:rPr>
                        <w:rFonts w:ascii="Times New Roman" w:hAnsi="Times New Roman"/>
                        <w:sz w:val="24"/>
                        <w:szCs w:val="24"/>
                      </w:rPr>
                    </w:pP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  \* MERGEFORMAT </w:instrText>
                    </w:r>
                    <w:r>
                      <w:rPr>
                        <w:rFonts w:ascii="Times New Roman" w:hAnsi="Times New Roman" w:eastAsia="仿宋_GB2312"/>
                        <w:sz w:val="24"/>
                        <w:szCs w:val="24"/>
                      </w:rPr>
                      <w:fldChar w:fldCharType="separate"/>
                    </w:r>
                    <w:r>
                      <w:rPr>
                        <w:rFonts w:ascii="Times New Roman" w:hAnsi="Times New Roman" w:eastAsia="仿宋_GB2312"/>
                        <w:sz w:val="24"/>
                        <w:szCs w:val="24"/>
                        <w:lang/>
                      </w:rPr>
                      <w:t>- 19 -</w:t>
                    </w:r>
                    <w:r>
                      <w:rPr>
                        <w:rFonts w:ascii="Times New Roman" w:hAnsi="Times New Roman" w:eastAsia="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0" w:firstLineChars="10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ascii="Times New Roman" w:hAnsi="Times New Roman"/>
                            </w:rPr>
                          </w:pP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  \* MERGEFORMAT </w:instrText>
                          </w:r>
                          <w:r>
                            <w:rPr>
                              <w:rFonts w:ascii="Times New Roman" w:hAnsi="Times New Roman" w:eastAsia="仿宋_GB2312"/>
                              <w:sz w:val="24"/>
                              <w:szCs w:val="24"/>
                            </w:rPr>
                            <w:fldChar w:fldCharType="separate"/>
                          </w:r>
                          <w:r>
                            <w:rPr>
                              <w:rFonts w:ascii="Times New Roman" w:hAnsi="Times New Roman" w:eastAsia="仿宋_GB2312"/>
                              <w:sz w:val="24"/>
                              <w:szCs w:val="24"/>
                              <w:lang/>
                            </w:rPr>
                            <w:t>- 20 -</w:t>
                          </w:r>
                          <w:r>
                            <w:rPr>
                              <w:rFonts w:ascii="Times New Roman" w:hAnsi="Times New Roman" w:eastAsia="仿宋_GB2312"/>
                              <w:sz w:val="24"/>
                              <w:szCs w:val="24"/>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uFoBs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IoSxy0O/PL92+XHr8vPr2R5&#10;k/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W4WgGyQEAAJoDAAAOAAAAAAAAAAEAIAAAAB4BAABkcnMvZTJvRG9j&#10;LnhtbFBLBQYAAAAABgAGAFkBAABZBQAAAAA=&#10;">
              <v:fill on="f" focussize="0,0"/>
              <v:stroke on="f"/>
              <v:imagedata o:title=""/>
              <o:lock v:ext="edit" aspectratio="f"/>
              <v:textbox inset="0mm,0mm,0mm,0mm" style="mso-fit-shape-to-text:t;">
                <w:txbxContent>
                  <w:p>
                    <w:pPr>
                      <w:pStyle w:val="8"/>
                      <w:rPr>
                        <w:rFonts w:ascii="Times New Roman" w:hAnsi="Times New Roman"/>
                      </w:rPr>
                    </w:pP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  \* MERGEFORMAT </w:instrText>
                    </w:r>
                    <w:r>
                      <w:rPr>
                        <w:rFonts w:ascii="Times New Roman" w:hAnsi="Times New Roman" w:eastAsia="仿宋_GB2312"/>
                        <w:sz w:val="24"/>
                        <w:szCs w:val="24"/>
                      </w:rPr>
                      <w:fldChar w:fldCharType="separate"/>
                    </w:r>
                    <w:r>
                      <w:rPr>
                        <w:rFonts w:ascii="Times New Roman" w:hAnsi="Times New Roman" w:eastAsia="仿宋_GB2312"/>
                        <w:sz w:val="24"/>
                        <w:szCs w:val="24"/>
                        <w:lang/>
                      </w:rPr>
                      <w:t>- 20 -</w:t>
                    </w:r>
                    <w:r>
                      <w:rPr>
                        <w:rFonts w:ascii="Times New Roman" w:hAnsi="Times New Roman" w:eastAsia="仿宋_GB2312"/>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pStyle w:val="2"/>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1">
    <w:nsid w:val="00000002"/>
    <w:multiLevelType w:val="singleLevel"/>
    <w:tmpl w:val="00000002"/>
    <w:lvl w:ilvl="0" w:tentative="0">
      <w:start w:val="1"/>
      <w:numFmt w:val="decimalEnclosedCircleChinese"/>
      <w:suff w:val="nothing"/>
      <w:lvlText w:val="%1　"/>
      <w:lvlJc w:val="left"/>
      <w:pPr>
        <w:tabs>
          <w:tab w:val="left" w:pos="141"/>
        </w:tabs>
        <w:ind w:left="141" w:firstLine="0"/>
      </w:pPr>
      <w:rPr>
        <w:rFonts w:hint="eastAsia" w:ascii="黑体" w:hAnsi="黑体" w:eastAsia="黑体" w:cs="黑体"/>
        <w:sz w:val="22"/>
        <w:szCs w:val="22"/>
      </w:r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evenAndOddHeaders w:val="1"/>
  <w:drawingGridHorizontalSpacing w:val="210"/>
  <w:drawingGridVerticalSpacing w:val="-794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ZmI4NjQ3N2UzOGZhMGYzMTE5ZTAyMGZkNWMwNzIifQ=="/>
  </w:docVars>
  <w:rsids>
    <w:rsidRoot w:val="00172A27"/>
    <w:rsid w:val="00002B4A"/>
    <w:rsid w:val="00005E42"/>
    <w:rsid w:val="00013917"/>
    <w:rsid w:val="0001419A"/>
    <w:rsid w:val="000235DF"/>
    <w:rsid w:val="000317A4"/>
    <w:rsid w:val="00034C4B"/>
    <w:rsid w:val="00035CB0"/>
    <w:rsid w:val="0003646F"/>
    <w:rsid w:val="0005555F"/>
    <w:rsid w:val="000638A8"/>
    <w:rsid w:val="00070993"/>
    <w:rsid w:val="000732B5"/>
    <w:rsid w:val="00081F8B"/>
    <w:rsid w:val="000906AF"/>
    <w:rsid w:val="000A37C2"/>
    <w:rsid w:val="000B3D73"/>
    <w:rsid w:val="000C25C3"/>
    <w:rsid w:val="000C5524"/>
    <w:rsid w:val="000C5E75"/>
    <w:rsid w:val="000D43AA"/>
    <w:rsid w:val="000D6C54"/>
    <w:rsid w:val="000E267A"/>
    <w:rsid w:val="000E5A55"/>
    <w:rsid w:val="000E69FA"/>
    <w:rsid w:val="000F0537"/>
    <w:rsid w:val="000F5FF4"/>
    <w:rsid w:val="00100997"/>
    <w:rsid w:val="00100A05"/>
    <w:rsid w:val="00104EF5"/>
    <w:rsid w:val="001067FD"/>
    <w:rsid w:val="00117D15"/>
    <w:rsid w:val="00122366"/>
    <w:rsid w:val="0012295B"/>
    <w:rsid w:val="00124DA8"/>
    <w:rsid w:val="0012799D"/>
    <w:rsid w:val="00133D4F"/>
    <w:rsid w:val="0013457D"/>
    <w:rsid w:val="0013770E"/>
    <w:rsid w:val="0014671A"/>
    <w:rsid w:val="00151D6E"/>
    <w:rsid w:val="00166051"/>
    <w:rsid w:val="0016707C"/>
    <w:rsid w:val="00181B4C"/>
    <w:rsid w:val="00191588"/>
    <w:rsid w:val="0019767D"/>
    <w:rsid w:val="001A6686"/>
    <w:rsid w:val="001A75E3"/>
    <w:rsid w:val="001C0705"/>
    <w:rsid w:val="001C2146"/>
    <w:rsid w:val="001D1799"/>
    <w:rsid w:val="001D1BFE"/>
    <w:rsid w:val="001E4C14"/>
    <w:rsid w:val="001F41C1"/>
    <w:rsid w:val="00215B99"/>
    <w:rsid w:val="002236B8"/>
    <w:rsid w:val="00227645"/>
    <w:rsid w:val="00232D32"/>
    <w:rsid w:val="002575AD"/>
    <w:rsid w:val="0026135C"/>
    <w:rsid w:val="00267677"/>
    <w:rsid w:val="00267AE3"/>
    <w:rsid w:val="00276EB6"/>
    <w:rsid w:val="00277778"/>
    <w:rsid w:val="00294080"/>
    <w:rsid w:val="0029497F"/>
    <w:rsid w:val="002B2901"/>
    <w:rsid w:val="002B5D42"/>
    <w:rsid w:val="002B661D"/>
    <w:rsid w:val="002C4FE3"/>
    <w:rsid w:val="002D12FC"/>
    <w:rsid w:val="002D6BDE"/>
    <w:rsid w:val="002D7806"/>
    <w:rsid w:val="002E7485"/>
    <w:rsid w:val="003069B2"/>
    <w:rsid w:val="00310051"/>
    <w:rsid w:val="0031158C"/>
    <w:rsid w:val="00313201"/>
    <w:rsid w:val="0032454C"/>
    <w:rsid w:val="0032505B"/>
    <w:rsid w:val="00332B03"/>
    <w:rsid w:val="00347AC2"/>
    <w:rsid w:val="003526AA"/>
    <w:rsid w:val="0035402A"/>
    <w:rsid w:val="00361CD2"/>
    <w:rsid w:val="0036645E"/>
    <w:rsid w:val="00371500"/>
    <w:rsid w:val="00376F29"/>
    <w:rsid w:val="0038414D"/>
    <w:rsid w:val="0039094F"/>
    <w:rsid w:val="00391489"/>
    <w:rsid w:val="00393D29"/>
    <w:rsid w:val="003958B7"/>
    <w:rsid w:val="003A5768"/>
    <w:rsid w:val="003B5195"/>
    <w:rsid w:val="003B6535"/>
    <w:rsid w:val="003B6CA6"/>
    <w:rsid w:val="003C0E98"/>
    <w:rsid w:val="003D3CED"/>
    <w:rsid w:val="003D696C"/>
    <w:rsid w:val="003E2AF2"/>
    <w:rsid w:val="003E3B71"/>
    <w:rsid w:val="003F51E0"/>
    <w:rsid w:val="003F775C"/>
    <w:rsid w:val="00401CF5"/>
    <w:rsid w:val="00417367"/>
    <w:rsid w:val="00422B94"/>
    <w:rsid w:val="00427932"/>
    <w:rsid w:val="00434100"/>
    <w:rsid w:val="0043757B"/>
    <w:rsid w:val="0045082B"/>
    <w:rsid w:val="004523B9"/>
    <w:rsid w:val="00455030"/>
    <w:rsid w:val="00461B8C"/>
    <w:rsid w:val="00463350"/>
    <w:rsid w:val="004652BF"/>
    <w:rsid w:val="00470669"/>
    <w:rsid w:val="004801DF"/>
    <w:rsid w:val="00491066"/>
    <w:rsid w:val="0049344E"/>
    <w:rsid w:val="004A4332"/>
    <w:rsid w:val="004B248C"/>
    <w:rsid w:val="004B620A"/>
    <w:rsid w:val="004C1DF8"/>
    <w:rsid w:val="004C488A"/>
    <w:rsid w:val="004D0A7E"/>
    <w:rsid w:val="004D2CD8"/>
    <w:rsid w:val="004D4450"/>
    <w:rsid w:val="004D68C0"/>
    <w:rsid w:val="004E0B0F"/>
    <w:rsid w:val="004E2C44"/>
    <w:rsid w:val="004E65D0"/>
    <w:rsid w:val="004E78BC"/>
    <w:rsid w:val="004F23DF"/>
    <w:rsid w:val="004F6208"/>
    <w:rsid w:val="005019EA"/>
    <w:rsid w:val="00514F82"/>
    <w:rsid w:val="00520221"/>
    <w:rsid w:val="005226E9"/>
    <w:rsid w:val="00526234"/>
    <w:rsid w:val="005273A6"/>
    <w:rsid w:val="0053303E"/>
    <w:rsid w:val="005344CB"/>
    <w:rsid w:val="00536D44"/>
    <w:rsid w:val="005423F1"/>
    <w:rsid w:val="005472A1"/>
    <w:rsid w:val="00551BA4"/>
    <w:rsid w:val="0055525F"/>
    <w:rsid w:val="00555C72"/>
    <w:rsid w:val="005651D5"/>
    <w:rsid w:val="00566399"/>
    <w:rsid w:val="005718B6"/>
    <w:rsid w:val="00574EB8"/>
    <w:rsid w:val="00582286"/>
    <w:rsid w:val="00587DFA"/>
    <w:rsid w:val="00593303"/>
    <w:rsid w:val="00596E43"/>
    <w:rsid w:val="005C19BB"/>
    <w:rsid w:val="005E492B"/>
    <w:rsid w:val="005F4D00"/>
    <w:rsid w:val="005F7DF4"/>
    <w:rsid w:val="00610BE5"/>
    <w:rsid w:val="00621D24"/>
    <w:rsid w:val="00624092"/>
    <w:rsid w:val="00642DBC"/>
    <w:rsid w:val="00647256"/>
    <w:rsid w:val="00650733"/>
    <w:rsid w:val="00657D84"/>
    <w:rsid w:val="00663994"/>
    <w:rsid w:val="00663E1C"/>
    <w:rsid w:val="00664184"/>
    <w:rsid w:val="006701D9"/>
    <w:rsid w:val="0068405E"/>
    <w:rsid w:val="006934C7"/>
    <w:rsid w:val="006955CB"/>
    <w:rsid w:val="0069701E"/>
    <w:rsid w:val="006B1D3A"/>
    <w:rsid w:val="006C24C0"/>
    <w:rsid w:val="006C3940"/>
    <w:rsid w:val="006C4E90"/>
    <w:rsid w:val="006D11B4"/>
    <w:rsid w:val="006D71A9"/>
    <w:rsid w:val="006E3D1E"/>
    <w:rsid w:val="006E7660"/>
    <w:rsid w:val="006F225D"/>
    <w:rsid w:val="00701892"/>
    <w:rsid w:val="0070491E"/>
    <w:rsid w:val="0070537E"/>
    <w:rsid w:val="00705A06"/>
    <w:rsid w:val="00717D81"/>
    <w:rsid w:val="00721117"/>
    <w:rsid w:val="00733401"/>
    <w:rsid w:val="00734F84"/>
    <w:rsid w:val="007364EF"/>
    <w:rsid w:val="00740621"/>
    <w:rsid w:val="00741A44"/>
    <w:rsid w:val="007524CA"/>
    <w:rsid w:val="00754511"/>
    <w:rsid w:val="00757644"/>
    <w:rsid w:val="00765DBE"/>
    <w:rsid w:val="007705C4"/>
    <w:rsid w:val="00786923"/>
    <w:rsid w:val="00787B43"/>
    <w:rsid w:val="007A1445"/>
    <w:rsid w:val="007A3908"/>
    <w:rsid w:val="007A6E51"/>
    <w:rsid w:val="007B6210"/>
    <w:rsid w:val="007C7C5F"/>
    <w:rsid w:val="007D1B3C"/>
    <w:rsid w:val="007E5260"/>
    <w:rsid w:val="007E696C"/>
    <w:rsid w:val="007F183B"/>
    <w:rsid w:val="007F3508"/>
    <w:rsid w:val="007F4615"/>
    <w:rsid w:val="007F5AFE"/>
    <w:rsid w:val="007F6955"/>
    <w:rsid w:val="008034F2"/>
    <w:rsid w:val="008152B9"/>
    <w:rsid w:val="00820C5D"/>
    <w:rsid w:val="00822557"/>
    <w:rsid w:val="00823175"/>
    <w:rsid w:val="008235B0"/>
    <w:rsid w:val="008249E3"/>
    <w:rsid w:val="008252FE"/>
    <w:rsid w:val="0082636E"/>
    <w:rsid w:val="00826FE6"/>
    <w:rsid w:val="00836A7A"/>
    <w:rsid w:val="008556EF"/>
    <w:rsid w:val="008561B0"/>
    <w:rsid w:val="00861011"/>
    <w:rsid w:val="00863D8F"/>
    <w:rsid w:val="0086540E"/>
    <w:rsid w:val="0086626C"/>
    <w:rsid w:val="00873B61"/>
    <w:rsid w:val="00873E33"/>
    <w:rsid w:val="008740EF"/>
    <w:rsid w:val="00875950"/>
    <w:rsid w:val="00881DA6"/>
    <w:rsid w:val="008905E6"/>
    <w:rsid w:val="0089219A"/>
    <w:rsid w:val="00897FFA"/>
    <w:rsid w:val="008B225F"/>
    <w:rsid w:val="008B3002"/>
    <w:rsid w:val="008B52D3"/>
    <w:rsid w:val="008C3F7D"/>
    <w:rsid w:val="008C71E9"/>
    <w:rsid w:val="008D2041"/>
    <w:rsid w:val="008D78FF"/>
    <w:rsid w:val="008E512F"/>
    <w:rsid w:val="008E520B"/>
    <w:rsid w:val="008F0E6D"/>
    <w:rsid w:val="008F2BEE"/>
    <w:rsid w:val="008F5962"/>
    <w:rsid w:val="008F60D3"/>
    <w:rsid w:val="008F6F86"/>
    <w:rsid w:val="00913549"/>
    <w:rsid w:val="00914CBB"/>
    <w:rsid w:val="00923708"/>
    <w:rsid w:val="009366DE"/>
    <w:rsid w:val="00940CE9"/>
    <w:rsid w:val="0095053B"/>
    <w:rsid w:val="0095178C"/>
    <w:rsid w:val="009624AE"/>
    <w:rsid w:val="00962AE1"/>
    <w:rsid w:val="00963546"/>
    <w:rsid w:val="0097086D"/>
    <w:rsid w:val="00975C9C"/>
    <w:rsid w:val="009772D3"/>
    <w:rsid w:val="009914F4"/>
    <w:rsid w:val="009938C7"/>
    <w:rsid w:val="009A03E4"/>
    <w:rsid w:val="009A4B10"/>
    <w:rsid w:val="009A6AFA"/>
    <w:rsid w:val="009B4106"/>
    <w:rsid w:val="009B5350"/>
    <w:rsid w:val="009B744D"/>
    <w:rsid w:val="009C15E0"/>
    <w:rsid w:val="009C3431"/>
    <w:rsid w:val="009D20A9"/>
    <w:rsid w:val="009E23E8"/>
    <w:rsid w:val="009F05AE"/>
    <w:rsid w:val="009F262D"/>
    <w:rsid w:val="00A0409C"/>
    <w:rsid w:val="00A0496B"/>
    <w:rsid w:val="00A22EE3"/>
    <w:rsid w:val="00A278F4"/>
    <w:rsid w:val="00A30C6D"/>
    <w:rsid w:val="00A44BF0"/>
    <w:rsid w:val="00A52A62"/>
    <w:rsid w:val="00A55AA4"/>
    <w:rsid w:val="00A627BD"/>
    <w:rsid w:val="00A941A9"/>
    <w:rsid w:val="00AB6F97"/>
    <w:rsid w:val="00AC7730"/>
    <w:rsid w:val="00AD14D4"/>
    <w:rsid w:val="00AD6049"/>
    <w:rsid w:val="00AE45C2"/>
    <w:rsid w:val="00AE5429"/>
    <w:rsid w:val="00B01330"/>
    <w:rsid w:val="00B049C8"/>
    <w:rsid w:val="00B12F34"/>
    <w:rsid w:val="00B25E78"/>
    <w:rsid w:val="00B305BF"/>
    <w:rsid w:val="00B33B31"/>
    <w:rsid w:val="00B35256"/>
    <w:rsid w:val="00B445D7"/>
    <w:rsid w:val="00B4493F"/>
    <w:rsid w:val="00B451F8"/>
    <w:rsid w:val="00B649BD"/>
    <w:rsid w:val="00B942A0"/>
    <w:rsid w:val="00B953D6"/>
    <w:rsid w:val="00B957C1"/>
    <w:rsid w:val="00B96DC9"/>
    <w:rsid w:val="00BA0AEC"/>
    <w:rsid w:val="00BA19D8"/>
    <w:rsid w:val="00BA3BAA"/>
    <w:rsid w:val="00BA6B3A"/>
    <w:rsid w:val="00BC2B4A"/>
    <w:rsid w:val="00BD5D29"/>
    <w:rsid w:val="00BE5BF0"/>
    <w:rsid w:val="00BF3F40"/>
    <w:rsid w:val="00BF50AD"/>
    <w:rsid w:val="00C00BED"/>
    <w:rsid w:val="00C107CF"/>
    <w:rsid w:val="00C1177D"/>
    <w:rsid w:val="00C1490C"/>
    <w:rsid w:val="00C1585C"/>
    <w:rsid w:val="00C271BC"/>
    <w:rsid w:val="00C30F39"/>
    <w:rsid w:val="00C32E3C"/>
    <w:rsid w:val="00C51346"/>
    <w:rsid w:val="00C55991"/>
    <w:rsid w:val="00C658AE"/>
    <w:rsid w:val="00C66C38"/>
    <w:rsid w:val="00C80475"/>
    <w:rsid w:val="00C91BF4"/>
    <w:rsid w:val="00C97C7C"/>
    <w:rsid w:val="00CA32F4"/>
    <w:rsid w:val="00CB2207"/>
    <w:rsid w:val="00CB3BBD"/>
    <w:rsid w:val="00CB7BB9"/>
    <w:rsid w:val="00CD048A"/>
    <w:rsid w:val="00CD19CD"/>
    <w:rsid w:val="00CD1F10"/>
    <w:rsid w:val="00CE0148"/>
    <w:rsid w:val="00CE5664"/>
    <w:rsid w:val="00CE76CC"/>
    <w:rsid w:val="00CF5F6E"/>
    <w:rsid w:val="00CF7140"/>
    <w:rsid w:val="00D03AD3"/>
    <w:rsid w:val="00D062C1"/>
    <w:rsid w:val="00D06F9B"/>
    <w:rsid w:val="00D11D0E"/>
    <w:rsid w:val="00D16ECB"/>
    <w:rsid w:val="00D237ED"/>
    <w:rsid w:val="00D23DD5"/>
    <w:rsid w:val="00D2480E"/>
    <w:rsid w:val="00D268B1"/>
    <w:rsid w:val="00D30446"/>
    <w:rsid w:val="00D51888"/>
    <w:rsid w:val="00D52230"/>
    <w:rsid w:val="00D65710"/>
    <w:rsid w:val="00D76C1A"/>
    <w:rsid w:val="00D85C44"/>
    <w:rsid w:val="00D871BE"/>
    <w:rsid w:val="00D97697"/>
    <w:rsid w:val="00DB208C"/>
    <w:rsid w:val="00DD591E"/>
    <w:rsid w:val="00DF47D4"/>
    <w:rsid w:val="00E165E1"/>
    <w:rsid w:val="00E1711B"/>
    <w:rsid w:val="00E25DD2"/>
    <w:rsid w:val="00E3193F"/>
    <w:rsid w:val="00E37004"/>
    <w:rsid w:val="00E41D0F"/>
    <w:rsid w:val="00E469BB"/>
    <w:rsid w:val="00E5529E"/>
    <w:rsid w:val="00E6067A"/>
    <w:rsid w:val="00E66857"/>
    <w:rsid w:val="00E82FEA"/>
    <w:rsid w:val="00E83757"/>
    <w:rsid w:val="00E85F00"/>
    <w:rsid w:val="00E97CE8"/>
    <w:rsid w:val="00EA63F6"/>
    <w:rsid w:val="00EA7F6B"/>
    <w:rsid w:val="00EB5722"/>
    <w:rsid w:val="00EC1348"/>
    <w:rsid w:val="00ED47CE"/>
    <w:rsid w:val="00ED6F28"/>
    <w:rsid w:val="00ED7017"/>
    <w:rsid w:val="00ED7646"/>
    <w:rsid w:val="00EE6412"/>
    <w:rsid w:val="00EF66E5"/>
    <w:rsid w:val="00F03291"/>
    <w:rsid w:val="00F043B3"/>
    <w:rsid w:val="00F15948"/>
    <w:rsid w:val="00F15DFA"/>
    <w:rsid w:val="00F176AB"/>
    <w:rsid w:val="00F313CC"/>
    <w:rsid w:val="00F32C64"/>
    <w:rsid w:val="00F34B9D"/>
    <w:rsid w:val="00F37C1E"/>
    <w:rsid w:val="00F40A50"/>
    <w:rsid w:val="00F43A6B"/>
    <w:rsid w:val="00F52587"/>
    <w:rsid w:val="00F63E9D"/>
    <w:rsid w:val="00F80175"/>
    <w:rsid w:val="00F86A94"/>
    <w:rsid w:val="00FA6807"/>
    <w:rsid w:val="00FB55A1"/>
    <w:rsid w:val="00FC01F4"/>
    <w:rsid w:val="00FC1441"/>
    <w:rsid w:val="00FC4C7A"/>
    <w:rsid w:val="00FD06E5"/>
    <w:rsid w:val="00FF0183"/>
    <w:rsid w:val="00FF2EEB"/>
    <w:rsid w:val="01EA7762"/>
    <w:rsid w:val="02506F41"/>
    <w:rsid w:val="02644845"/>
    <w:rsid w:val="0275649D"/>
    <w:rsid w:val="027E7630"/>
    <w:rsid w:val="02920177"/>
    <w:rsid w:val="02B030F0"/>
    <w:rsid w:val="02D713D0"/>
    <w:rsid w:val="02EA0A8E"/>
    <w:rsid w:val="037510B1"/>
    <w:rsid w:val="03754155"/>
    <w:rsid w:val="03A1214B"/>
    <w:rsid w:val="03A97C92"/>
    <w:rsid w:val="03B927C8"/>
    <w:rsid w:val="03CC5BE3"/>
    <w:rsid w:val="03D77EA5"/>
    <w:rsid w:val="044E29CD"/>
    <w:rsid w:val="046B1411"/>
    <w:rsid w:val="04BD5A59"/>
    <w:rsid w:val="04CC637F"/>
    <w:rsid w:val="04CD4061"/>
    <w:rsid w:val="04DF2C33"/>
    <w:rsid w:val="04E67382"/>
    <w:rsid w:val="052E2216"/>
    <w:rsid w:val="0539256A"/>
    <w:rsid w:val="05650757"/>
    <w:rsid w:val="05667C1B"/>
    <w:rsid w:val="059901BB"/>
    <w:rsid w:val="05B25128"/>
    <w:rsid w:val="05EE0B60"/>
    <w:rsid w:val="06121611"/>
    <w:rsid w:val="06415FAF"/>
    <w:rsid w:val="069566AA"/>
    <w:rsid w:val="06A67FFB"/>
    <w:rsid w:val="06A75A0A"/>
    <w:rsid w:val="06C370AE"/>
    <w:rsid w:val="070C794C"/>
    <w:rsid w:val="074A3D35"/>
    <w:rsid w:val="07611E20"/>
    <w:rsid w:val="079349C8"/>
    <w:rsid w:val="07D96DC3"/>
    <w:rsid w:val="07F64F5E"/>
    <w:rsid w:val="080840ED"/>
    <w:rsid w:val="08540697"/>
    <w:rsid w:val="086778D5"/>
    <w:rsid w:val="089D7B36"/>
    <w:rsid w:val="08A80818"/>
    <w:rsid w:val="08C70BB3"/>
    <w:rsid w:val="08DB2064"/>
    <w:rsid w:val="0993750A"/>
    <w:rsid w:val="0999487E"/>
    <w:rsid w:val="09E737F4"/>
    <w:rsid w:val="0A1E20D3"/>
    <w:rsid w:val="0A8F178F"/>
    <w:rsid w:val="0A96789B"/>
    <w:rsid w:val="0AF10BA8"/>
    <w:rsid w:val="0B231189"/>
    <w:rsid w:val="0B293386"/>
    <w:rsid w:val="0B4A12B5"/>
    <w:rsid w:val="0B6B0AAD"/>
    <w:rsid w:val="0B6E79C9"/>
    <w:rsid w:val="0B833F8F"/>
    <w:rsid w:val="0B834E6C"/>
    <w:rsid w:val="0B980097"/>
    <w:rsid w:val="0BD038E5"/>
    <w:rsid w:val="0BF77079"/>
    <w:rsid w:val="0C2C1E07"/>
    <w:rsid w:val="0CA276CE"/>
    <w:rsid w:val="0CB40FF0"/>
    <w:rsid w:val="0CB7709C"/>
    <w:rsid w:val="0CBB5DF9"/>
    <w:rsid w:val="0CE71F18"/>
    <w:rsid w:val="0CEF295E"/>
    <w:rsid w:val="0D8C1B5F"/>
    <w:rsid w:val="0DA11ADF"/>
    <w:rsid w:val="0DA754DE"/>
    <w:rsid w:val="0DA77AF8"/>
    <w:rsid w:val="0E362B1C"/>
    <w:rsid w:val="0E5328DB"/>
    <w:rsid w:val="0E5F5672"/>
    <w:rsid w:val="0E73120A"/>
    <w:rsid w:val="0EAF37F2"/>
    <w:rsid w:val="0ECB68B2"/>
    <w:rsid w:val="0ECD25B3"/>
    <w:rsid w:val="0EEA0583"/>
    <w:rsid w:val="0EF05FCE"/>
    <w:rsid w:val="0F254A31"/>
    <w:rsid w:val="0F4446A5"/>
    <w:rsid w:val="0F8277E0"/>
    <w:rsid w:val="0F8E147D"/>
    <w:rsid w:val="100238C1"/>
    <w:rsid w:val="10432149"/>
    <w:rsid w:val="10455CD5"/>
    <w:rsid w:val="109E4A9E"/>
    <w:rsid w:val="10C862FB"/>
    <w:rsid w:val="10D465D4"/>
    <w:rsid w:val="10FD7EAB"/>
    <w:rsid w:val="11137B72"/>
    <w:rsid w:val="111E14E9"/>
    <w:rsid w:val="11243AF2"/>
    <w:rsid w:val="114D5C59"/>
    <w:rsid w:val="11751BB8"/>
    <w:rsid w:val="11965FAC"/>
    <w:rsid w:val="11C019A3"/>
    <w:rsid w:val="11D96959"/>
    <w:rsid w:val="122F13C8"/>
    <w:rsid w:val="126533D8"/>
    <w:rsid w:val="127367F3"/>
    <w:rsid w:val="129826DB"/>
    <w:rsid w:val="12E7435B"/>
    <w:rsid w:val="142C2F38"/>
    <w:rsid w:val="14352F24"/>
    <w:rsid w:val="143C0D51"/>
    <w:rsid w:val="14773499"/>
    <w:rsid w:val="14B04A91"/>
    <w:rsid w:val="14C0215C"/>
    <w:rsid w:val="155F6149"/>
    <w:rsid w:val="157418CF"/>
    <w:rsid w:val="1575147A"/>
    <w:rsid w:val="159B5A4A"/>
    <w:rsid w:val="15B34087"/>
    <w:rsid w:val="15F1394D"/>
    <w:rsid w:val="162A48E3"/>
    <w:rsid w:val="163A4F52"/>
    <w:rsid w:val="166927B0"/>
    <w:rsid w:val="16727F3F"/>
    <w:rsid w:val="169F65E7"/>
    <w:rsid w:val="16E77845"/>
    <w:rsid w:val="17012A1C"/>
    <w:rsid w:val="17137725"/>
    <w:rsid w:val="179B3C6A"/>
    <w:rsid w:val="1821007A"/>
    <w:rsid w:val="18311736"/>
    <w:rsid w:val="188E6E2A"/>
    <w:rsid w:val="188F3855"/>
    <w:rsid w:val="191E269F"/>
    <w:rsid w:val="1A157F10"/>
    <w:rsid w:val="1A267094"/>
    <w:rsid w:val="1A5A7A3B"/>
    <w:rsid w:val="1A5B1208"/>
    <w:rsid w:val="1A5B4383"/>
    <w:rsid w:val="1A65282F"/>
    <w:rsid w:val="1A696E3B"/>
    <w:rsid w:val="1A7B3CB8"/>
    <w:rsid w:val="1AB05BFA"/>
    <w:rsid w:val="1B154C02"/>
    <w:rsid w:val="1C2E68BA"/>
    <w:rsid w:val="1C4F3D4B"/>
    <w:rsid w:val="1C595D8A"/>
    <w:rsid w:val="1CDC773E"/>
    <w:rsid w:val="1CE34BF3"/>
    <w:rsid w:val="1CEB1DC2"/>
    <w:rsid w:val="1D433C00"/>
    <w:rsid w:val="1D6355AC"/>
    <w:rsid w:val="1D8077CB"/>
    <w:rsid w:val="1D96751F"/>
    <w:rsid w:val="1DE83FCF"/>
    <w:rsid w:val="1DEE4C63"/>
    <w:rsid w:val="1E1500D6"/>
    <w:rsid w:val="1E4F0597"/>
    <w:rsid w:val="1E542AB7"/>
    <w:rsid w:val="1E956486"/>
    <w:rsid w:val="1E963EC7"/>
    <w:rsid w:val="1EA3464A"/>
    <w:rsid w:val="1ED3525C"/>
    <w:rsid w:val="1F4F328E"/>
    <w:rsid w:val="1F7D44A1"/>
    <w:rsid w:val="1FB9651F"/>
    <w:rsid w:val="1FDA43D6"/>
    <w:rsid w:val="1FE926A2"/>
    <w:rsid w:val="20147973"/>
    <w:rsid w:val="20447FD7"/>
    <w:rsid w:val="20554D83"/>
    <w:rsid w:val="20A46511"/>
    <w:rsid w:val="20B41ACC"/>
    <w:rsid w:val="20CB7776"/>
    <w:rsid w:val="20F37856"/>
    <w:rsid w:val="20F806EE"/>
    <w:rsid w:val="20FF78A9"/>
    <w:rsid w:val="2154302F"/>
    <w:rsid w:val="216E221C"/>
    <w:rsid w:val="21CB7F33"/>
    <w:rsid w:val="228E065E"/>
    <w:rsid w:val="228F5346"/>
    <w:rsid w:val="22CA7C41"/>
    <w:rsid w:val="22F43928"/>
    <w:rsid w:val="22FB7156"/>
    <w:rsid w:val="230A28F2"/>
    <w:rsid w:val="233721F0"/>
    <w:rsid w:val="235E2AB5"/>
    <w:rsid w:val="23656985"/>
    <w:rsid w:val="23765297"/>
    <w:rsid w:val="23884F21"/>
    <w:rsid w:val="238F178C"/>
    <w:rsid w:val="23C01EB9"/>
    <w:rsid w:val="23ED48D3"/>
    <w:rsid w:val="240102DB"/>
    <w:rsid w:val="249A2710"/>
    <w:rsid w:val="24B90B76"/>
    <w:rsid w:val="251D1D95"/>
    <w:rsid w:val="251E1C2D"/>
    <w:rsid w:val="25885788"/>
    <w:rsid w:val="258D07BB"/>
    <w:rsid w:val="25C909B9"/>
    <w:rsid w:val="25D40660"/>
    <w:rsid w:val="25DF2EE5"/>
    <w:rsid w:val="26371AEE"/>
    <w:rsid w:val="265E12C0"/>
    <w:rsid w:val="266728EA"/>
    <w:rsid w:val="26B30613"/>
    <w:rsid w:val="26CA58B6"/>
    <w:rsid w:val="26D52156"/>
    <w:rsid w:val="27094021"/>
    <w:rsid w:val="27353A55"/>
    <w:rsid w:val="273D1AB1"/>
    <w:rsid w:val="27431D91"/>
    <w:rsid w:val="277D4BB1"/>
    <w:rsid w:val="27DD16D1"/>
    <w:rsid w:val="27F02350"/>
    <w:rsid w:val="282F0007"/>
    <w:rsid w:val="286C45A3"/>
    <w:rsid w:val="28AB7E39"/>
    <w:rsid w:val="28B65196"/>
    <w:rsid w:val="28BA483B"/>
    <w:rsid w:val="296E1E4E"/>
    <w:rsid w:val="29893EA9"/>
    <w:rsid w:val="299A76D1"/>
    <w:rsid w:val="29AC63AA"/>
    <w:rsid w:val="29B30BA0"/>
    <w:rsid w:val="2A044540"/>
    <w:rsid w:val="2A486033"/>
    <w:rsid w:val="2ACD2F7D"/>
    <w:rsid w:val="2AED7069"/>
    <w:rsid w:val="2AFD1625"/>
    <w:rsid w:val="2B120933"/>
    <w:rsid w:val="2B460B99"/>
    <w:rsid w:val="2BBF6F64"/>
    <w:rsid w:val="2BE55938"/>
    <w:rsid w:val="2C24548A"/>
    <w:rsid w:val="2C4F47F9"/>
    <w:rsid w:val="2CBB03DE"/>
    <w:rsid w:val="2CD9053B"/>
    <w:rsid w:val="2D051DA0"/>
    <w:rsid w:val="2D0B1B62"/>
    <w:rsid w:val="2D70281E"/>
    <w:rsid w:val="2DB24FD1"/>
    <w:rsid w:val="2DB32D59"/>
    <w:rsid w:val="2DF71B26"/>
    <w:rsid w:val="2E190095"/>
    <w:rsid w:val="2E2E6FEF"/>
    <w:rsid w:val="2E2F05CC"/>
    <w:rsid w:val="2E93508B"/>
    <w:rsid w:val="2EA704BF"/>
    <w:rsid w:val="2EBD7BBC"/>
    <w:rsid w:val="2EC51236"/>
    <w:rsid w:val="2EF7647B"/>
    <w:rsid w:val="2F1854F9"/>
    <w:rsid w:val="2F747451"/>
    <w:rsid w:val="2F7C2704"/>
    <w:rsid w:val="2F8E798B"/>
    <w:rsid w:val="2F915A8B"/>
    <w:rsid w:val="2FA12B5C"/>
    <w:rsid w:val="2FB06A97"/>
    <w:rsid w:val="2FBD0E1C"/>
    <w:rsid w:val="2FCA1F10"/>
    <w:rsid w:val="2FCC2DDC"/>
    <w:rsid w:val="2FDC6F5C"/>
    <w:rsid w:val="2FF1189B"/>
    <w:rsid w:val="302E484B"/>
    <w:rsid w:val="303D4F39"/>
    <w:rsid w:val="30496F65"/>
    <w:rsid w:val="304C5F63"/>
    <w:rsid w:val="305F0B70"/>
    <w:rsid w:val="30880294"/>
    <w:rsid w:val="30A06659"/>
    <w:rsid w:val="30D20538"/>
    <w:rsid w:val="30E07349"/>
    <w:rsid w:val="30EA78A0"/>
    <w:rsid w:val="3119317F"/>
    <w:rsid w:val="311B1391"/>
    <w:rsid w:val="317A046C"/>
    <w:rsid w:val="32163875"/>
    <w:rsid w:val="323468F3"/>
    <w:rsid w:val="32416CAC"/>
    <w:rsid w:val="326275E8"/>
    <w:rsid w:val="32C80EB9"/>
    <w:rsid w:val="32F71877"/>
    <w:rsid w:val="339C26FA"/>
    <w:rsid w:val="33A552A4"/>
    <w:rsid w:val="33B3086A"/>
    <w:rsid w:val="33C61A6D"/>
    <w:rsid w:val="33FA7C97"/>
    <w:rsid w:val="34114C5C"/>
    <w:rsid w:val="34215C2C"/>
    <w:rsid w:val="344E60DA"/>
    <w:rsid w:val="345C2BF9"/>
    <w:rsid w:val="34A82B88"/>
    <w:rsid w:val="34B7063E"/>
    <w:rsid w:val="34C902B9"/>
    <w:rsid w:val="34F230E0"/>
    <w:rsid w:val="35DA6163"/>
    <w:rsid w:val="35FF4E5A"/>
    <w:rsid w:val="360264B5"/>
    <w:rsid w:val="361C2CDF"/>
    <w:rsid w:val="362E22FB"/>
    <w:rsid w:val="36694795"/>
    <w:rsid w:val="36980C40"/>
    <w:rsid w:val="36C82D4E"/>
    <w:rsid w:val="36DA3D1E"/>
    <w:rsid w:val="36E976E7"/>
    <w:rsid w:val="36FA4633"/>
    <w:rsid w:val="36FB014F"/>
    <w:rsid w:val="371A319C"/>
    <w:rsid w:val="375A331D"/>
    <w:rsid w:val="37AD1E8A"/>
    <w:rsid w:val="381B1BB7"/>
    <w:rsid w:val="382D5664"/>
    <w:rsid w:val="38437022"/>
    <w:rsid w:val="38620A52"/>
    <w:rsid w:val="386D0BCC"/>
    <w:rsid w:val="3876258E"/>
    <w:rsid w:val="38816888"/>
    <w:rsid w:val="38A82DB9"/>
    <w:rsid w:val="38AD558C"/>
    <w:rsid w:val="38ED49C0"/>
    <w:rsid w:val="38F761D0"/>
    <w:rsid w:val="39010C11"/>
    <w:rsid w:val="39092252"/>
    <w:rsid w:val="39611166"/>
    <w:rsid w:val="39783CDF"/>
    <w:rsid w:val="397F378C"/>
    <w:rsid w:val="39B03F26"/>
    <w:rsid w:val="39B62F39"/>
    <w:rsid w:val="3A2667DF"/>
    <w:rsid w:val="3A3902BF"/>
    <w:rsid w:val="3A5A4E6D"/>
    <w:rsid w:val="3A8A7E65"/>
    <w:rsid w:val="3AA57899"/>
    <w:rsid w:val="3AC31042"/>
    <w:rsid w:val="3AC64B53"/>
    <w:rsid w:val="3AF9770B"/>
    <w:rsid w:val="3B035789"/>
    <w:rsid w:val="3B5F58B7"/>
    <w:rsid w:val="3B85655B"/>
    <w:rsid w:val="3B8D6FCC"/>
    <w:rsid w:val="3B9E6302"/>
    <w:rsid w:val="3BD27AC2"/>
    <w:rsid w:val="3C0769AF"/>
    <w:rsid w:val="3C1023E2"/>
    <w:rsid w:val="3C1F22C6"/>
    <w:rsid w:val="3C26231D"/>
    <w:rsid w:val="3C3F20E8"/>
    <w:rsid w:val="3C4F1003"/>
    <w:rsid w:val="3C683901"/>
    <w:rsid w:val="3C6F16B1"/>
    <w:rsid w:val="3C8D3104"/>
    <w:rsid w:val="3CE20E50"/>
    <w:rsid w:val="3CF65846"/>
    <w:rsid w:val="3CF773E5"/>
    <w:rsid w:val="3CFE5B53"/>
    <w:rsid w:val="3D447516"/>
    <w:rsid w:val="3D8D4A73"/>
    <w:rsid w:val="3DA827BF"/>
    <w:rsid w:val="3DB52002"/>
    <w:rsid w:val="3DC647EC"/>
    <w:rsid w:val="3DDC79A3"/>
    <w:rsid w:val="3EB871D2"/>
    <w:rsid w:val="3EC06FC0"/>
    <w:rsid w:val="3ED7370D"/>
    <w:rsid w:val="3EF07BF9"/>
    <w:rsid w:val="3F862261"/>
    <w:rsid w:val="3FD82BB7"/>
    <w:rsid w:val="3FE80605"/>
    <w:rsid w:val="3FF4318A"/>
    <w:rsid w:val="4005730B"/>
    <w:rsid w:val="40445941"/>
    <w:rsid w:val="40481A6A"/>
    <w:rsid w:val="40497815"/>
    <w:rsid w:val="4055204D"/>
    <w:rsid w:val="40A756A8"/>
    <w:rsid w:val="413D7DCA"/>
    <w:rsid w:val="415A5A12"/>
    <w:rsid w:val="41860009"/>
    <w:rsid w:val="41F473B9"/>
    <w:rsid w:val="41FF4702"/>
    <w:rsid w:val="420A55DB"/>
    <w:rsid w:val="423E734A"/>
    <w:rsid w:val="424805C1"/>
    <w:rsid w:val="424A68A8"/>
    <w:rsid w:val="426D3227"/>
    <w:rsid w:val="42AD16B4"/>
    <w:rsid w:val="42CE3BFD"/>
    <w:rsid w:val="42E321CA"/>
    <w:rsid w:val="42E514C0"/>
    <w:rsid w:val="42E71E8B"/>
    <w:rsid w:val="43030B78"/>
    <w:rsid w:val="432D7F85"/>
    <w:rsid w:val="434B177F"/>
    <w:rsid w:val="43556C1D"/>
    <w:rsid w:val="4358277D"/>
    <w:rsid w:val="435F02E3"/>
    <w:rsid w:val="436B1049"/>
    <w:rsid w:val="437C0BD6"/>
    <w:rsid w:val="43D9127E"/>
    <w:rsid w:val="43DA02F7"/>
    <w:rsid w:val="43E60AB5"/>
    <w:rsid w:val="43FA274E"/>
    <w:rsid w:val="44681F2F"/>
    <w:rsid w:val="447F6EDE"/>
    <w:rsid w:val="44D17CBB"/>
    <w:rsid w:val="44DA6190"/>
    <w:rsid w:val="457D4E0D"/>
    <w:rsid w:val="45AE5B4D"/>
    <w:rsid w:val="45AF6309"/>
    <w:rsid w:val="45DA2B90"/>
    <w:rsid w:val="463008DF"/>
    <w:rsid w:val="46930DF3"/>
    <w:rsid w:val="469C6E80"/>
    <w:rsid w:val="46B50769"/>
    <w:rsid w:val="46B72289"/>
    <w:rsid w:val="47086388"/>
    <w:rsid w:val="476D7537"/>
    <w:rsid w:val="4776429D"/>
    <w:rsid w:val="47CF6C76"/>
    <w:rsid w:val="48074F5C"/>
    <w:rsid w:val="48AA43D6"/>
    <w:rsid w:val="48CA3D29"/>
    <w:rsid w:val="490A301F"/>
    <w:rsid w:val="492D21E7"/>
    <w:rsid w:val="493E2D58"/>
    <w:rsid w:val="497F89B4"/>
    <w:rsid w:val="49EA5EFE"/>
    <w:rsid w:val="49ED3DBD"/>
    <w:rsid w:val="49F064D7"/>
    <w:rsid w:val="4A207C66"/>
    <w:rsid w:val="4A5265E9"/>
    <w:rsid w:val="4AD83A97"/>
    <w:rsid w:val="4AE07069"/>
    <w:rsid w:val="4AE67A4C"/>
    <w:rsid w:val="4B0700E6"/>
    <w:rsid w:val="4B251B1B"/>
    <w:rsid w:val="4B321F42"/>
    <w:rsid w:val="4C122C01"/>
    <w:rsid w:val="4C3B247C"/>
    <w:rsid w:val="4C505A61"/>
    <w:rsid w:val="4D015767"/>
    <w:rsid w:val="4D172E66"/>
    <w:rsid w:val="4D486B11"/>
    <w:rsid w:val="4DCD1B7D"/>
    <w:rsid w:val="4DEB5AA8"/>
    <w:rsid w:val="4E5450EC"/>
    <w:rsid w:val="4ED47BB4"/>
    <w:rsid w:val="4F08655E"/>
    <w:rsid w:val="4F172E43"/>
    <w:rsid w:val="4F3575F5"/>
    <w:rsid w:val="4FE02B3D"/>
    <w:rsid w:val="502B3587"/>
    <w:rsid w:val="502F71AD"/>
    <w:rsid w:val="508950B0"/>
    <w:rsid w:val="50CD5E1B"/>
    <w:rsid w:val="512B01F8"/>
    <w:rsid w:val="514A11BC"/>
    <w:rsid w:val="516923BA"/>
    <w:rsid w:val="51821D3A"/>
    <w:rsid w:val="519156E8"/>
    <w:rsid w:val="51C25A65"/>
    <w:rsid w:val="51D926B9"/>
    <w:rsid w:val="51E3764F"/>
    <w:rsid w:val="52091E88"/>
    <w:rsid w:val="52B4719A"/>
    <w:rsid w:val="52C352DA"/>
    <w:rsid w:val="52CA60A4"/>
    <w:rsid w:val="52E526ED"/>
    <w:rsid w:val="52F46222"/>
    <w:rsid w:val="536351B7"/>
    <w:rsid w:val="5379175C"/>
    <w:rsid w:val="5385450C"/>
    <w:rsid w:val="540E5D08"/>
    <w:rsid w:val="544D7E27"/>
    <w:rsid w:val="546640C7"/>
    <w:rsid w:val="54821252"/>
    <w:rsid w:val="54E00288"/>
    <w:rsid w:val="557D5EA8"/>
    <w:rsid w:val="5593602B"/>
    <w:rsid w:val="55C52A80"/>
    <w:rsid w:val="55CB1052"/>
    <w:rsid w:val="55E17C50"/>
    <w:rsid w:val="560A6BC6"/>
    <w:rsid w:val="56743B5A"/>
    <w:rsid w:val="567541BA"/>
    <w:rsid w:val="570D6147"/>
    <w:rsid w:val="57820945"/>
    <w:rsid w:val="57BE00A2"/>
    <w:rsid w:val="57EC57AC"/>
    <w:rsid w:val="57F95F3E"/>
    <w:rsid w:val="582C650F"/>
    <w:rsid w:val="582E21F9"/>
    <w:rsid w:val="58327566"/>
    <w:rsid w:val="585A34ED"/>
    <w:rsid w:val="58850F2F"/>
    <w:rsid w:val="58AF73A6"/>
    <w:rsid w:val="58CA381B"/>
    <w:rsid w:val="58F944CC"/>
    <w:rsid w:val="59247730"/>
    <w:rsid w:val="59295FD9"/>
    <w:rsid w:val="593D2DD5"/>
    <w:rsid w:val="595B3010"/>
    <w:rsid w:val="59791624"/>
    <w:rsid w:val="59892B0F"/>
    <w:rsid w:val="599E69A8"/>
    <w:rsid w:val="59AC0F48"/>
    <w:rsid w:val="59B635FC"/>
    <w:rsid w:val="59C20BBD"/>
    <w:rsid w:val="59F54A06"/>
    <w:rsid w:val="59F77A77"/>
    <w:rsid w:val="5A2273A2"/>
    <w:rsid w:val="5A3A0B5F"/>
    <w:rsid w:val="5A6C4CCA"/>
    <w:rsid w:val="5A713DED"/>
    <w:rsid w:val="5A73615C"/>
    <w:rsid w:val="5A8049E2"/>
    <w:rsid w:val="5A8C5CF6"/>
    <w:rsid w:val="5AB90721"/>
    <w:rsid w:val="5B375AA5"/>
    <w:rsid w:val="5B3C1D08"/>
    <w:rsid w:val="5BF71E81"/>
    <w:rsid w:val="5C1B59AB"/>
    <w:rsid w:val="5C2C7D15"/>
    <w:rsid w:val="5C693CBF"/>
    <w:rsid w:val="5C7405D4"/>
    <w:rsid w:val="5CB2301B"/>
    <w:rsid w:val="5CC03B37"/>
    <w:rsid w:val="5D1A6ED2"/>
    <w:rsid w:val="5D430E68"/>
    <w:rsid w:val="5D5C0C8E"/>
    <w:rsid w:val="5D7312BD"/>
    <w:rsid w:val="5D7B7B2E"/>
    <w:rsid w:val="5D985244"/>
    <w:rsid w:val="5DAA0715"/>
    <w:rsid w:val="5DAA2B71"/>
    <w:rsid w:val="5EB608B6"/>
    <w:rsid w:val="5EEA0680"/>
    <w:rsid w:val="5F6150D8"/>
    <w:rsid w:val="5FBB191C"/>
    <w:rsid w:val="606F3BFD"/>
    <w:rsid w:val="60966E54"/>
    <w:rsid w:val="60AA40D5"/>
    <w:rsid w:val="60B83C31"/>
    <w:rsid w:val="60E6351A"/>
    <w:rsid w:val="60E87A3D"/>
    <w:rsid w:val="6105E0EE"/>
    <w:rsid w:val="61771343"/>
    <w:rsid w:val="61DF4515"/>
    <w:rsid w:val="62065D5F"/>
    <w:rsid w:val="627A22B6"/>
    <w:rsid w:val="62B95889"/>
    <w:rsid w:val="62F678BC"/>
    <w:rsid w:val="635B4361"/>
    <w:rsid w:val="6367425C"/>
    <w:rsid w:val="63715B6E"/>
    <w:rsid w:val="638C37E1"/>
    <w:rsid w:val="63901D63"/>
    <w:rsid w:val="639249A7"/>
    <w:rsid w:val="63CD5129"/>
    <w:rsid w:val="63EC5FDA"/>
    <w:rsid w:val="645E0AF4"/>
    <w:rsid w:val="649B15A5"/>
    <w:rsid w:val="64BC40AA"/>
    <w:rsid w:val="64C2032C"/>
    <w:rsid w:val="64D52DD9"/>
    <w:rsid w:val="650D096D"/>
    <w:rsid w:val="654417E2"/>
    <w:rsid w:val="65D33070"/>
    <w:rsid w:val="65F30983"/>
    <w:rsid w:val="66454C1B"/>
    <w:rsid w:val="665F1BFE"/>
    <w:rsid w:val="668771A5"/>
    <w:rsid w:val="66EA3086"/>
    <w:rsid w:val="67043A84"/>
    <w:rsid w:val="67157361"/>
    <w:rsid w:val="67194835"/>
    <w:rsid w:val="672A01BC"/>
    <w:rsid w:val="67A60F34"/>
    <w:rsid w:val="67D33E70"/>
    <w:rsid w:val="68060A4B"/>
    <w:rsid w:val="68204FCB"/>
    <w:rsid w:val="68353C96"/>
    <w:rsid w:val="68445A1E"/>
    <w:rsid w:val="687100BB"/>
    <w:rsid w:val="6921067F"/>
    <w:rsid w:val="69CA1E50"/>
    <w:rsid w:val="6A657C48"/>
    <w:rsid w:val="6A967D42"/>
    <w:rsid w:val="6AA23157"/>
    <w:rsid w:val="6AA56F02"/>
    <w:rsid w:val="6AE367CA"/>
    <w:rsid w:val="6B120657"/>
    <w:rsid w:val="6B2D0105"/>
    <w:rsid w:val="6B7872CD"/>
    <w:rsid w:val="6B8D7015"/>
    <w:rsid w:val="6B912D4E"/>
    <w:rsid w:val="6B9E5F23"/>
    <w:rsid w:val="6BE038CC"/>
    <w:rsid w:val="6C0B6B1E"/>
    <w:rsid w:val="6C291C35"/>
    <w:rsid w:val="6C621625"/>
    <w:rsid w:val="6C6E4DB8"/>
    <w:rsid w:val="6C820480"/>
    <w:rsid w:val="6CA220DE"/>
    <w:rsid w:val="6D130A14"/>
    <w:rsid w:val="6D475FB2"/>
    <w:rsid w:val="6D6F2DA5"/>
    <w:rsid w:val="6D733BB7"/>
    <w:rsid w:val="6D9B5618"/>
    <w:rsid w:val="6DAD0E4C"/>
    <w:rsid w:val="6DE81428"/>
    <w:rsid w:val="6E0B3A50"/>
    <w:rsid w:val="6E263877"/>
    <w:rsid w:val="6E631763"/>
    <w:rsid w:val="6E8B5293"/>
    <w:rsid w:val="6E8D4D80"/>
    <w:rsid w:val="6EB2778B"/>
    <w:rsid w:val="6EDC02FB"/>
    <w:rsid w:val="6EEC0529"/>
    <w:rsid w:val="6F0336C9"/>
    <w:rsid w:val="6F3D66E9"/>
    <w:rsid w:val="6F4C1E74"/>
    <w:rsid w:val="6F731016"/>
    <w:rsid w:val="6FAD0BB7"/>
    <w:rsid w:val="6FFF1D59"/>
    <w:rsid w:val="70260378"/>
    <w:rsid w:val="703B7568"/>
    <w:rsid w:val="705B7586"/>
    <w:rsid w:val="706B2134"/>
    <w:rsid w:val="70830701"/>
    <w:rsid w:val="70CD11C1"/>
    <w:rsid w:val="711021A7"/>
    <w:rsid w:val="7156494B"/>
    <w:rsid w:val="719A622F"/>
    <w:rsid w:val="71B7546C"/>
    <w:rsid w:val="72233A2A"/>
    <w:rsid w:val="72625AE5"/>
    <w:rsid w:val="7277721D"/>
    <w:rsid w:val="72DC19B7"/>
    <w:rsid w:val="72E367CF"/>
    <w:rsid w:val="72FC7F20"/>
    <w:rsid w:val="73267EDF"/>
    <w:rsid w:val="736B170A"/>
    <w:rsid w:val="73C35E6F"/>
    <w:rsid w:val="74223932"/>
    <w:rsid w:val="74365128"/>
    <w:rsid w:val="74532387"/>
    <w:rsid w:val="74562067"/>
    <w:rsid w:val="7461069A"/>
    <w:rsid w:val="74747CBA"/>
    <w:rsid w:val="74BA51FE"/>
    <w:rsid w:val="74DE4F59"/>
    <w:rsid w:val="754A6240"/>
    <w:rsid w:val="7563634D"/>
    <w:rsid w:val="75666727"/>
    <w:rsid w:val="75B84778"/>
    <w:rsid w:val="75BD7236"/>
    <w:rsid w:val="75EA19EE"/>
    <w:rsid w:val="76337B85"/>
    <w:rsid w:val="76805FB4"/>
    <w:rsid w:val="76AB6A48"/>
    <w:rsid w:val="76EC47DB"/>
    <w:rsid w:val="7723650E"/>
    <w:rsid w:val="772A7D2F"/>
    <w:rsid w:val="77553F7C"/>
    <w:rsid w:val="77A23AB8"/>
    <w:rsid w:val="783310FB"/>
    <w:rsid w:val="784B1062"/>
    <w:rsid w:val="785D6A06"/>
    <w:rsid w:val="78B218BD"/>
    <w:rsid w:val="78B33241"/>
    <w:rsid w:val="78ED513C"/>
    <w:rsid w:val="79013F19"/>
    <w:rsid w:val="790A5BB1"/>
    <w:rsid w:val="79127C53"/>
    <w:rsid w:val="796D5430"/>
    <w:rsid w:val="796E6AF8"/>
    <w:rsid w:val="79736B93"/>
    <w:rsid w:val="7A3F2596"/>
    <w:rsid w:val="7AA501C9"/>
    <w:rsid w:val="7AC529D0"/>
    <w:rsid w:val="7AC82E07"/>
    <w:rsid w:val="7ACC0F00"/>
    <w:rsid w:val="7AF86CBA"/>
    <w:rsid w:val="7B625B26"/>
    <w:rsid w:val="7B706C98"/>
    <w:rsid w:val="7B8232DA"/>
    <w:rsid w:val="7B990B72"/>
    <w:rsid w:val="7BC87E27"/>
    <w:rsid w:val="7BEF7B8D"/>
    <w:rsid w:val="7C126382"/>
    <w:rsid w:val="7C171521"/>
    <w:rsid w:val="7C5D0FDE"/>
    <w:rsid w:val="7C735958"/>
    <w:rsid w:val="7C938E57"/>
    <w:rsid w:val="7CD15E5B"/>
    <w:rsid w:val="7CF351C8"/>
    <w:rsid w:val="7D5F1DD2"/>
    <w:rsid w:val="7DA3785D"/>
    <w:rsid w:val="7DAA6ECC"/>
    <w:rsid w:val="7DD444D5"/>
    <w:rsid w:val="7DE04092"/>
    <w:rsid w:val="7E3578DF"/>
    <w:rsid w:val="7EEA3349"/>
    <w:rsid w:val="7EEB345A"/>
    <w:rsid w:val="7F0451E9"/>
    <w:rsid w:val="7F060637"/>
    <w:rsid w:val="7F5810A2"/>
    <w:rsid w:val="7F8C4A9C"/>
    <w:rsid w:val="7F9839BB"/>
    <w:rsid w:val="7FDC0E7D"/>
    <w:rsid w:val="7FED1BBF"/>
    <w:rsid w:val="B6B753EB"/>
    <w:rsid w:val="C6F017B5"/>
    <w:rsid w:val="D9919EDD"/>
    <w:rsid w:val="FA993C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2">
    <w:name w:val="heading 3"/>
    <w:basedOn w:val="1"/>
    <w:next w:val="1"/>
    <w:qFormat/>
    <w:uiPriority w:val="0"/>
    <w:pPr>
      <w:keepNext/>
      <w:keepLines/>
      <w:widowControl/>
      <w:numPr>
        <w:ilvl w:val="2"/>
        <w:numId w:val="1"/>
      </w:numPr>
      <w:adjustRightInd w:val="0"/>
      <w:spacing w:before="260" w:after="260" w:line="416" w:lineRule="atLeast"/>
      <w:textAlignment w:val="baseline"/>
      <w:outlineLvl w:val="2"/>
    </w:pPr>
    <w:rPr>
      <w:b/>
      <w:kern w:val="0"/>
      <w:szCs w:val="20"/>
    </w:rPr>
  </w:style>
  <w:style w:type="character" w:default="1" w:styleId="13">
    <w:name w:val="Default Paragraph Font"/>
    <w:uiPriority w:val="0"/>
    <w:rPr>
      <w:rFonts w:ascii="Calibri" w:hAnsi="Calibri" w:eastAsia="宋体" w:cs="Times New Roman"/>
    </w:rPr>
  </w:style>
  <w:style w:type="table" w:default="1" w:styleId="11">
    <w:name w:val="Normal Table"/>
    <w:uiPriority w:val="0"/>
    <w:rPr>
      <w:rFonts w:ascii="Calibri" w:hAnsi="Calibri" w:eastAsia="宋体" w:cs="Times New Roman"/>
    </w:rPr>
    <w:tblPr>
      <w:tblStyle w:val="11"/>
      <w:tblCellMar>
        <w:top w:w="0" w:type="dxa"/>
        <w:left w:w="108" w:type="dxa"/>
        <w:bottom w:w="0" w:type="dxa"/>
        <w:right w:w="108" w:type="dxa"/>
      </w:tblCellMar>
    </w:tblPr>
  </w:style>
  <w:style w:type="paragraph" w:styleId="3">
    <w:name w:val="Document Map"/>
    <w:basedOn w:val="1"/>
    <w:link w:val="17"/>
    <w:uiPriority w:val="0"/>
    <w:rPr>
      <w:rFonts w:ascii="宋体"/>
      <w:kern w:val="0"/>
      <w:sz w:val="18"/>
      <w:szCs w:val="18"/>
    </w:rPr>
  </w:style>
  <w:style w:type="paragraph" w:styleId="4">
    <w:name w:val="index 6"/>
    <w:basedOn w:val="1"/>
    <w:next w:val="1"/>
    <w:uiPriority w:val="0"/>
    <w:pPr>
      <w:ind w:left="2100"/>
    </w:pPr>
    <w:rPr>
      <w:rFonts w:ascii="Times New Roman" w:hAnsi="Times New Roman" w:eastAsia="宋体" w:cs="Times New Roman"/>
      <w:sz w:val="30"/>
    </w:rPr>
  </w:style>
  <w:style w:type="paragraph" w:styleId="5">
    <w:name w:val="Body Text"/>
    <w:basedOn w:val="1"/>
    <w:link w:val="18"/>
    <w:uiPriority w:val="0"/>
    <w:rPr>
      <w:rFonts w:ascii="Times New Roman" w:hAnsi="Times New Roman" w:eastAsia="方正姚体"/>
      <w:b/>
      <w:color w:val="FF0000"/>
      <w:kern w:val="0"/>
      <w:sz w:val="84"/>
      <w:szCs w:val="24"/>
    </w:rPr>
  </w:style>
  <w:style w:type="paragraph" w:styleId="6">
    <w:name w:val="Date"/>
    <w:basedOn w:val="1"/>
    <w:next w:val="1"/>
    <w:link w:val="19"/>
    <w:uiPriority w:val="0"/>
    <w:pPr>
      <w:ind w:left="100" w:leftChars="2500"/>
    </w:pPr>
    <w:rPr>
      <w:kern w:val="0"/>
      <w:sz w:val="20"/>
      <w:szCs w:val="20"/>
    </w:rPr>
  </w:style>
  <w:style w:type="paragraph" w:styleId="7">
    <w:name w:val="Balloon Text"/>
    <w:basedOn w:val="1"/>
    <w:link w:val="20"/>
    <w:uiPriority w:val="0"/>
    <w:rPr>
      <w:kern w:val="0"/>
      <w:sz w:val="18"/>
      <w:szCs w:val="18"/>
    </w:rPr>
  </w:style>
  <w:style w:type="paragraph" w:styleId="8">
    <w:name w:val="footer"/>
    <w:basedOn w:val="1"/>
    <w:link w:val="21"/>
    <w:uiPriority w:val="0"/>
    <w:pPr>
      <w:tabs>
        <w:tab w:val="center" w:pos="4153"/>
        <w:tab w:val="right" w:pos="8306"/>
      </w:tabs>
      <w:snapToGrid w:val="0"/>
      <w:jc w:val="left"/>
    </w:pPr>
    <w:rPr>
      <w:kern w:val="0"/>
      <w:sz w:val="18"/>
      <w:szCs w:val="18"/>
    </w:rPr>
  </w:style>
  <w:style w:type="paragraph" w:styleId="9">
    <w:name w:val="header"/>
    <w:basedOn w:val="1"/>
    <w:link w:val="22"/>
    <w:uiPriority w:val="0"/>
    <w:pPr>
      <w:pBdr>
        <w:bottom w:val="single" w:color="auto" w:sz="6" w:space="1"/>
      </w:pBdr>
      <w:tabs>
        <w:tab w:val="center" w:pos="4153"/>
        <w:tab w:val="right" w:pos="8306"/>
      </w:tabs>
      <w:snapToGrid w:val="0"/>
      <w:jc w:val="center"/>
    </w:pPr>
    <w:rPr>
      <w:kern w:val="0"/>
      <w:sz w:val="18"/>
      <w:szCs w:val="18"/>
    </w:rPr>
  </w:style>
  <w:style w:type="paragraph" w:styleId="10">
    <w:name w:val="footnote text"/>
    <w:basedOn w:val="1"/>
    <w:uiPriority w:val="0"/>
    <w:pPr>
      <w:snapToGrid w:val="0"/>
      <w:jc w:val="left"/>
    </w:pPr>
    <w:rPr>
      <w:rFonts w:ascii="Calibri" w:hAnsi="Calibri" w:eastAsia="宋体" w:cs="Times New Roman"/>
      <w:sz w:val="18"/>
    </w:rPr>
  </w:style>
  <w:style w:type="table" w:styleId="12">
    <w:name w:val="Table Grid"/>
    <w:basedOn w:val="11"/>
    <w:uiPriority w:val="39"/>
    <w:pPr>
      <w:widowControl w:val="0"/>
      <w:jc w:val="both"/>
    </w:pPr>
    <w:rPr>
      <w:rFonts w:ascii="Calibri" w:hAnsi="Calibri" w:eastAsia="宋体" w:cs="Times New Roman"/>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iPriority w:val="0"/>
    <w:rPr>
      <w:rFonts w:ascii="Calibri" w:hAnsi="Calibri" w:eastAsia="宋体" w:cs="Times New Roman"/>
      <w:color w:val="0000FF"/>
      <w:u w:val="single"/>
    </w:rPr>
  </w:style>
  <w:style w:type="character" w:styleId="15">
    <w:name w:val="annotation reference"/>
    <w:unhideWhenUsed/>
    <w:qFormat/>
    <w:uiPriority w:val="0"/>
    <w:rPr>
      <w:rFonts w:ascii="Calibri" w:hAnsi="Calibri" w:eastAsia="宋体" w:cs="Times New Roman"/>
      <w:sz w:val="21"/>
      <w:szCs w:val="21"/>
    </w:rPr>
  </w:style>
  <w:style w:type="character" w:styleId="16">
    <w:name w:val="footnote reference"/>
    <w:uiPriority w:val="0"/>
    <w:rPr>
      <w:rFonts w:ascii="Calibri" w:hAnsi="Calibri" w:eastAsia="宋体" w:cs="Times New Roman"/>
      <w:vertAlign w:val="superscript"/>
    </w:rPr>
  </w:style>
  <w:style w:type="character" w:customStyle="1" w:styleId="17">
    <w:name w:val="文档结构图 Char"/>
    <w:link w:val="3"/>
    <w:uiPriority w:val="0"/>
    <w:rPr>
      <w:rFonts w:ascii="宋体" w:hAnsi="Calibri" w:eastAsia="宋体" w:cs="Times New Roman"/>
      <w:sz w:val="18"/>
      <w:szCs w:val="18"/>
    </w:rPr>
  </w:style>
  <w:style w:type="character" w:customStyle="1" w:styleId="18">
    <w:name w:val="正文文本 Char1"/>
    <w:link w:val="5"/>
    <w:uiPriority w:val="0"/>
    <w:rPr>
      <w:rFonts w:ascii="Times New Roman" w:hAnsi="Times New Roman" w:eastAsia="方正姚体" w:cs="Times New Roman"/>
      <w:b/>
      <w:color w:val="FF0000"/>
      <w:sz w:val="84"/>
      <w:szCs w:val="24"/>
    </w:rPr>
  </w:style>
  <w:style w:type="character" w:customStyle="1" w:styleId="19">
    <w:name w:val="日期 Char"/>
    <w:link w:val="6"/>
    <w:uiPriority w:val="0"/>
    <w:rPr>
      <w:rFonts w:ascii="Calibri" w:hAnsi="Calibri" w:eastAsia="宋体" w:cs="Times New Roman"/>
    </w:rPr>
  </w:style>
  <w:style w:type="character" w:customStyle="1" w:styleId="20">
    <w:name w:val="批注框文本 Char"/>
    <w:link w:val="7"/>
    <w:uiPriority w:val="0"/>
    <w:rPr>
      <w:rFonts w:ascii="Calibri" w:hAnsi="Calibri" w:eastAsia="宋体" w:cs="Times New Roman"/>
      <w:sz w:val="18"/>
      <w:szCs w:val="18"/>
    </w:rPr>
  </w:style>
  <w:style w:type="character" w:customStyle="1" w:styleId="21">
    <w:name w:val="页脚 Char"/>
    <w:link w:val="8"/>
    <w:uiPriority w:val="0"/>
    <w:rPr>
      <w:rFonts w:ascii="Calibri" w:hAnsi="Calibri" w:eastAsia="宋体" w:cs="Times New Roman"/>
      <w:sz w:val="18"/>
      <w:szCs w:val="18"/>
    </w:rPr>
  </w:style>
  <w:style w:type="character" w:customStyle="1" w:styleId="22">
    <w:name w:val="页眉 Char"/>
    <w:link w:val="9"/>
    <w:uiPriority w:val="0"/>
    <w:rPr>
      <w:rFonts w:ascii="Calibri" w:hAnsi="Calibri" w:eastAsia="宋体" w:cs="Times New Roman"/>
      <w:sz w:val="18"/>
      <w:szCs w:val="18"/>
    </w:rPr>
  </w:style>
  <w:style w:type="paragraph" w:customStyle="1" w:styleId="23">
    <w:name w:val="_Style 5"/>
    <w:next w:val="4"/>
    <w:uiPriority w:val="0"/>
    <w:pPr>
      <w:widowControl w:val="0"/>
      <w:ind w:firstLine="200" w:firstLineChars="200"/>
      <w:jc w:val="both"/>
    </w:pPr>
    <w:rPr>
      <w:kern w:val="2"/>
      <w:sz w:val="24"/>
      <w:szCs w:val="22"/>
      <w:lang w:val="en-US" w:eastAsia="zh-CN" w:bidi="ar-SA"/>
    </w:rPr>
  </w:style>
  <w:style w:type="character" w:customStyle="1" w:styleId="24">
    <w:name w:val="正文缩进2格 Char"/>
    <w:link w:val="25"/>
    <w:uiPriority w:val="0"/>
    <w:rPr>
      <w:rFonts w:ascii="仿宋_GB2312" w:hAnsi="宋体" w:eastAsia="仿宋_GB2312" w:cs="Times New Roman"/>
      <w:sz w:val="31"/>
    </w:rPr>
  </w:style>
  <w:style w:type="paragraph" w:customStyle="1" w:styleId="25">
    <w:name w:val="正文缩进2格"/>
    <w:basedOn w:val="1"/>
    <w:link w:val="24"/>
    <w:uiPriority w:val="0"/>
    <w:pPr>
      <w:spacing w:line="600" w:lineRule="exact"/>
      <w:ind w:firstLine="639" w:firstLineChars="206"/>
    </w:pPr>
    <w:rPr>
      <w:rFonts w:ascii="仿宋_GB2312" w:hAnsi="宋体" w:eastAsia="仿宋_GB2312"/>
      <w:kern w:val="0"/>
      <w:sz w:val="31"/>
      <w:szCs w:val="20"/>
    </w:rPr>
  </w:style>
  <w:style w:type="character" w:customStyle="1" w:styleId="26">
    <w:name w:val="UserStyle_19"/>
    <w:uiPriority w:val="0"/>
    <w:rPr>
      <w:rFonts w:ascii="Times New Roman" w:hAnsi="Times New Roman" w:eastAsia="仿宋_GB2312" w:cs="Times New Roman"/>
      <w:kern w:val="2"/>
      <w:sz w:val="32"/>
      <w:szCs w:val="24"/>
      <w:lang w:val="en-US" w:eastAsia="zh-CN" w:bidi="ar-SA"/>
    </w:rPr>
  </w:style>
  <w:style w:type="character" w:customStyle="1" w:styleId="27">
    <w:name w:val="font01"/>
    <w:uiPriority w:val="0"/>
    <w:rPr>
      <w:rFonts w:hint="eastAsia" w:ascii="宋体" w:hAnsi="宋体" w:eastAsia="宋体" w:cs="宋体"/>
      <w:color w:val="000000"/>
      <w:sz w:val="22"/>
      <w:szCs w:val="22"/>
      <w:u w:val="none"/>
    </w:rPr>
  </w:style>
  <w:style w:type="character" w:customStyle="1" w:styleId="28">
    <w:name w:val="font11"/>
    <w:uiPriority w:val="0"/>
    <w:rPr>
      <w:rFonts w:hint="default" w:ascii="Times New Roman" w:hAnsi="Times New Roman" w:eastAsia="宋体" w:cs="Times New Roman"/>
      <w:color w:val="000000"/>
      <w:sz w:val="24"/>
      <w:szCs w:val="24"/>
      <w:u w:val="none"/>
    </w:rPr>
  </w:style>
  <w:style w:type="character" w:customStyle="1" w:styleId="29">
    <w:name w:val="正文文本 Char"/>
    <w:uiPriority w:val="0"/>
    <w:rPr>
      <w:rFonts w:ascii="Calibri" w:hAnsi="Calibri" w:eastAsia="宋体" w:cs="Times New Roman"/>
    </w:rPr>
  </w:style>
  <w:style w:type="paragraph" w:styleId="30">
    <w:name w:val="List Paragraph"/>
    <w:basedOn w:val="1"/>
    <w:qFormat/>
    <w:uiPriority w:val="0"/>
    <w:pPr>
      <w:ind w:firstLine="420" w:firstLineChars="200"/>
    </w:pPr>
    <w:rPr>
      <w:rFonts w:ascii="Calibri" w:hAnsi="Calibri" w:eastAsia="宋体" w:cs="Times New Roman"/>
    </w:rPr>
  </w:style>
  <w:style w:type="paragraph" w:customStyle="1" w:styleId="31">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2">
    <w:name w:val=""/>
    <w:uiPriority w:val="0"/>
    <w:rPr>
      <w:rFonts w:ascii="Calibri" w:hAnsi="Calibri"/>
      <w:kern w:val="2"/>
      <w:sz w:val="21"/>
      <w:szCs w:val="22"/>
      <w:lang w:val="en-US" w:eastAsia="zh-CN" w:bidi="ar-SA"/>
    </w:rPr>
  </w:style>
  <w:style w:type="character" w:customStyle="1" w:styleId="33">
    <w:name w:val="font41"/>
    <w:qFormat/>
    <w:uiPriority w:val="0"/>
    <w:rPr>
      <w:rFonts w:hint="eastAsia" w:ascii="宋体" w:hAnsi="宋体" w:eastAsia="宋体" w:cs="宋体"/>
      <w:color w:val="000000"/>
      <w:sz w:val="32"/>
      <w:szCs w:val="32"/>
      <w:u w:val="none"/>
    </w:rPr>
  </w:style>
  <w:style w:type="character" w:customStyle="1" w:styleId="34">
    <w:name w:val="font31"/>
    <w:qFormat/>
    <w:uiPriority w:val="0"/>
    <w:rPr>
      <w:rFonts w:hint="eastAsia" w:ascii="宋体" w:hAnsi="宋体" w:eastAsia="宋体" w:cs="宋体"/>
      <w:color w:val="000000"/>
      <w:sz w:val="32"/>
      <w:szCs w:val="32"/>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36</Pages>
  <Words>2589</Words>
  <Characters>14763</Characters>
  <Lines>123</Lines>
  <Paragraphs>34</Paragraphs>
  <TotalTime>31</TotalTime>
  <ScaleCrop>false</ScaleCrop>
  <LinksUpToDate>false</LinksUpToDate>
  <CharactersWithSpaces>17318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2023-03-13T02:01:00Z</dcterms:created>
  <dc:creator>谭伟红2</dc:creator>
  <cp:lastModifiedBy>ZWFWZX-CHY</cp:lastModifiedBy>
  <cp:lastPrinted>2023-02-27T01:06:00Z</cp:lastPrinted>
  <dcterms:modified xsi:type="dcterms:W3CDTF">2023-04-12T09:28:22Z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dca7fd2373ff474fb046c5aab6f01621</vt:lpwstr>
  </property>
</Properties>
</file>