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C7" w:rsidRDefault="003356C7" w:rsidP="003356C7">
      <w:pPr>
        <w:topLinePunct/>
        <w:autoSpaceDE w:val="0"/>
        <w:autoSpaceDN w:val="0"/>
        <w:ind w:rightChars="70" w:right="224"/>
        <w:jc w:val="left"/>
        <w:outlineLvl w:val="0"/>
        <w:rPr>
          <w:szCs w:val="32"/>
        </w:rPr>
      </w:pPr>
      <w:r>
        <w:rPr>
          <w:szCs w:val="32"/>
        </w:rPr>
        <w:t>附件</w:t>
      </w:r>
      <w:r>
        <w:rPr>
          <w:szCs w:val="32"/>
        </w:rPr>
        <w:t xml:space="preserve">1  </w:t>
      </w:r>
    </w:p>
    <w:p w:rsidR="003356C7" w:rsidRDefault="003356C7" w:rsidP="003356C7">
      <w:pPr>
        <w:topLinePunct/>
        <w:autoSpaceDE w:val="0"/>
        <w:autoSpaceDN w:val="0"/>
        <w:spacing w:line="600" w:lineRule="exact"/>
        <w:ind w:rightChars="70" w:right="224"/>
        <w:jc w:val="center"/>
        <w:rPr>
          <w:rFonts w:eastAsia="方正小标宋简体"/>
          <w:sz w:val="44"/>
          <w:szCs w:val="44"/>
        </w:rPr>
      </w:pPr>
    </w:p>
    <w:p w:rsidR="003356C7" w:rsidRDefault="003356C7" w:rsidP="003356C7">
      <w:pPr>
        <w:topLinePunct/>
        <w:autoSpaceDE w:val="0"/>
        <w:autoSpaceDN w:val="0"/>
        <w:spacing w:line="600" w:lineRule="exact"/>
        <w:jc w:val="center"/>
        <w:rPr>
          <w:rFonts w:eastAsia="方正小标宋简体"/>
          <w:sz w:val="44"/>
          <w:szCs w:val="44"/>
        </w:rPr>
      </w:pPr>
      <w:r>
        <w:rPr>
          <w:rFonts w:eastAsia="方正小标宋简体"/>
          <w:sz w:val="44"/>
          <w:szCs w:val="44"/>
        </w:rPr>
        <w:t>信用价格筛选规则</w:t>
      </w:r>
    </w:p>
    <w:p w:rsidR="003356C7" w:rsidRDefault="003356C7" w:rsidP="003356C7">
      <w:pPr>
        <w:topLinePunct/>
        <w:autoSpaceDE w:val="0"/>
        <w:autoSpaceDN w:val="0"/>
        <w:ind w:rightChars="70" w:right="224" w:firstLineChars="200" w:firstLine="640"/>
        <w:jc w:val="left"/>
      </w:pPr>
    </w:p>
    <w:p w:rsidR="003356C7" w:rsidRDefault="003356C7" w:rsidP="003356C7">
      <w:pPr>
        <w:topLinePunct/>
        <w:autoSpaceDE w:val="0"/>
        <w:autoSpaceDN w:val="0"/>
        <w:ind w:firstLineChars="200" w:firstLine="640"/>
      </w:pPr>
      <w:r>
        <w:t>按信用价格筛选规则得出投标人排序，并按照排序选取数量</w:t>
      </w:r>
      <w:r>
        <w:t>Q</w:t>
      </w:r>
      <w:r>
        <w:t>的投标人入围评标环节。</w:t>
      </w:r>
      <w:r>
        <w:t>Q</w:t>
      </w:r>
      <w:r>
        <w:t>为招标人在投标现场在</w:t>
      </w:r>
      <w:r>
        <w:t>12</w:t>
      </w:r>
      <w:r>
        <w:t>至</w:t>
      </w:r>
      <w:r>
        <w:t>15</w:t>
      </w:r>
      <w:r>
        <w:t>内随机抽取一个整数。对招标控制价在</w:t>
      </w:r>
      <w:r>
        <w:t>1</w:t>
      </w:r>
      <w:r>
        <w:t>亿元以上时，由招标人根据招标项目需求选择以下两种筛选方法之一确定入围投标人。对招标控制价在</w:t>
      </w:r>
      <w:r>
        <w:t>1</w:t>
      </w:r>
      <w:r>
        <w:t>亿元以下时，由招标人在开标现场随机抽取以下两种筛选方式之一。</w:t>
      </w:r>
    </w:p>
    <w:p w:rsidR="003356C7" w:rsidRDefault="003356C7" w:rsidP="003356C7">
      <w:pPr>
        <w:topLinePunct/>
        <w:autoSpaceDE w:val="0"/>
        <w:autoSpaceDN w:val="0"/>
        <w:ind w:firstLineChars="200" w:firstLine="640"/>
        <w:rPr>
          <w:rFonts w:eastAsia="黑体"/>
        </w:rPr>
      </w:pPr>
      <w:r>
        <w:rPr>
          <w:rFonts w:eastAsia="黑体"/>
        </w:rPr>
        <w:t>一、企业信用分分类</w:t>
      </w:r>
    </w:p>
    <w:p w:rsidR="003356C7" w:rsidRDefault="003356C7" w:rsidP="003356C7">
      <w:pPr>
        <w:topLinePunct/>
        <w:autoSpaceDE w:val="0"/>
        <w:autoSpaceDN w:val="0"/>
        <w:ind w:firstLineChars="200" w:firstLine="640"/>
      </w:pPr>
      <w:r>
        <w:t>将通过投标系统资格审查的投标人的信用分由高到低进行排序，将信用分</w:t>
      </w:r>
      <w:r>
        <w:t>105</w:t>
      </w:r>
      <w:r>
        <w:t>分以下的企业定为</w:t>
      </w:r>
      <w:r>
        <w:t>E</w:t>
      </w:r>
      <w:r>
        <w:t>档；对信用分</w:t>
      </w:r>
      <w:r>
        <w:t>105</w:t>
      </w:r>
      <w:r>
        <w:t>分以上的企业，信用分排名前</w:t>
      </w:r>
      <w:r>
        <w:t>10%</w:t>
      </w:r>
      <w:r>
        <w:t>（含</w:t>
      </w:r>
      <w:r>
        <w:t>10%</w:t>
      </w:r>
      <w:r>
        <w:t>）定为</w:t>
      </w:r>
      <w:r>
        <w:t>A</w:t>
      </w:r>
      <w:r>
        <w:t>档，信用分排名前</w:t>
      </w:r>
      <w:r>
        <w:t>10%</w:t>
      </w:r>
      <w:r>
        <w:t>～</w:t>
      </w:r>
      <w:r>
        <w:t>30%</w:t>
      </w:r>
      <w:r>
        <w:t>（含</w:t>
      </w:r>
      <w:r>
        <w:t>30%</w:t>
      </w:r>
      <w:r>
        <w:t>）定为</w:t>
      </w:r>
      <w:r>
        <w:t>B</w:t>
      </w:r>
      <w:r>
        <w:t>档，信用分排名前</w:t>
      </w:r>
      <w:r>
        <w:t>30%</w:t>
      </w:r>
      <w:r>
        <w:t>～</w:t>
      </w:r>
      <w:r>
        <w:t>50%</w:t>
      </w:r>
      <w:r>
        <w:t>（含</w:t>
      </w:r>
      <w:r>
        <w:t>50%</w:t>
      </w:r>
      <w:r>
        <w:t>）定为</w:t>
      </w:r>
      <w:r>
        <w:t>C</w:t>
      </w:r>
      <w:r>
        <w:t>档，信用分排名前</w:t>
      </w:r>
      <w:r>
        <w:t>50%</w:t>
      </w:r>
      <w:r>
        <w:t>～</w:t>
      </w:r>
      <w:r>
        <w:t>70%</w:t>
      </w:r>
      <w:r>
        <w:t>（含</w:t>
      </w:r>
      <w:r>
        <w:t>70%</w:t>
      </w:r>
      <w:r>
        <w:t>）定为</w:t>
      </w:r>
      <w:r>
        <w:t>D</w:t>
      </w:r>
      <w:r>
        <w:t>档，信用分排名前</w:t>
      </w:r>
      <w:r>
        <w:t>70%</w:t>
      </w:r>
      <w:r>
        <w:t>～</w:t>
      </w:r>
      <w:r>
        <w:t>100%</w:t>
      </w:r>
      <w:r>
        <w:t>定为</w:t>
      </w:r>
      <w:r>
        <w:t>E</w:t>
      </w:r>
      <w:r>
        <w:t>档。在企业信用分分类时，采用去尾法确定企业家数。当出现信用分相同且影响企业信用分类的情况时，现场摇珠确定。</w:t>
      </w:r>
    </w:p>
    <w:p w:rsidR="003356C7" w:rsidRDefault="003356C7" w:rsidP="003356C7">
      <w:pPr>
        <w:topLinePunct/>
        <w:autoSpaceDE w:val="0"/>
        <w:autoSpaceDN w:val="0"/>
        <w:ind w:firstLineChars="200" w:firstLine="640"/>
      </w:pPr>
      <w:r>
        <w:rPr>
          <w:rFonts w:eastAsia="黑体"/>
        </w:rPr>
        <w:t>二、筛选方法一</w:t>
      </w:r>
    </w:p>
    <w:p w:rsidR="003356C7" w:rsidRDefault="003356C7" w:rsidP="003356C7">
      <w:pPr>
        <w:topLinePunct/>
        <w:autoSpaceDE w:val="0"/>
        <w:autoSpaceDN w:val="0"/>
        <w:ind w:firstLineChars="200" w:firstLine="640"/>
      </w:pPr>
      <w:r>
        <w:t>对房屋建筑工程施工总承包和市政公用工程施工总承包单</w:t>
      </w:r>
      <w:proofErr w:type="gramStart"/>
      <w:r>
        <w:t>一</w:t>
      </w:r>
      <w:proofErr w:type="gramEnd"/>
      <w:r>
        <w:t>资质的招标项目，总分</w:t>
      </w:r>
      <w:r>
        <w:t>F</w:t>
      </w:r>
      <w:r>
        <w:t>＝信用总分</w:t>
      </w:r>
      <w:r>
        <w:t>X+</w:t>
      </w:r>
      <w:r>
        <w:t>价格总分</w:t>
      </w:r>
      <w:r>
        <w:t>Y+</w:t>
      </w:r>
      <w:r>
        <w:t>企</w:t>
      </w:r>
      <w:r>
        <w:lastRenderedPageBreak/>
        <w:t>业资质总分</w:t>
      </w:r>
      <w:r>
        <w:t>Z</w:t>
      </w:r>
      <w:r>
        <w:t>，</w:t>
      </w:r>
      <w:r>
        <w:t>F</w:t>
      </w:r>
      <w:r>
        <w:t>采取百分制。信用总分</w:t>
      </w:r>
      <w:r>
        <w:t>X</w:t>
      </w:r>
      <w:r>
        <w:t>总分取值区间为</w:t>
      </w:r>
      <w:r>
        <w:t>[10,20]</w:t>
      </w:r>
      <w:r>
        <w:t>，招标人在招标文件中明确</w:t>
      </w:r>
      <w:r>
        <w:t>X</w:t>
      </w:r>
      <w:r>
        <w:t>具体取值。企业资质总分</w:t>
      </w:r>
      <w:r>
        <w:t>Z</w:t>
      </w:r>
      <w:r>
        <w:t>由招标人选择是否设置，如设置企业资质总分</w:t>
      </w:r>
      <w:r>
        <w:t>Z</w:t>
      </w:r>
      <w:r>
        <w:t>，信用总分</w:t>
      </w:r>
      <w:r>
        <w:t>X+</w:t>
      </w:r>
      <w:r>
        <w:t>企业资质总分</w:t>
      </w:r>
      <w:r>
        <w:t>Z</w:t>
      </w:r>
      <w:r>
        <w:t>不得大于</w:t>
      </w:r>
      <w:r>
        <w:t>20</w:t>
      </w:r>
      <w:r>
        <w:t>分。投标人总得分</w:t>
      </w:r>
      <w:r>
        <w:t>Fn</w:t>
      </w:r>
      <w:r>
        <w:t>＝信用得分</w:t>
      </w:r>
      <w:proofErr w:type="spellStart"/>
      <w:r>
        <w:t>Xn</w:t>
      </w:r>
      <w:proofErr w:type="spellEnd"/>
      <w:r>
        <w:t>+</w:t>
      </w:r>
      <w:r>
        <w:t>价格得分</w:t>
      </w:r>
      <w:proofErr w:type="spellStart"/>
      <w:r>
        <w:t>Yn</w:t>
      </w:r>
      <w:proofErr w:type="spellEnd"/>
      <w:r>
        <w:t>+</w:t>
      </w:r>
      <w:r>
        <w:t>企业资质得分</w:t>
      </w:r>
      <w:r>
        <w:t>Zn</w:t>
      </w:r>
      <w:r>
        <w:t>。</w:t>
      </w:r>
    </w:p>
    <w:p w:rsidR="003356C7" w:rsidRDefault="003356C7" w:rsidP="003356C7">
      <w:pPr>
        <w:topLinePunct/>
        <w:autoSpaceDE w:val="0"/>
        <w:autoSpaceDN w:val="0"/>
        <w:ind w:firstLineChars="200" w:firstLine="640"/>
      </w:pPr>
      <w:r>
        <w:rPr>
          <w:rFonts w:eastAsia="楷体"/>
        </w:rPr>
        <w:t>（一）信用得分</w:t>
      </w:r>
      <w:proofErr w:type="spellStart"/>
      <w:r>
        <w:t>Xn</w:t>
      </w:r>
      <w:proofErr w:type="spellEnd"/>
      <w:r>
        <w:t>。</w:t>
      </w:r>
    </w:p>
    <w:p w:rsidR="003356C7" w:rsidRDefault="003356C7" w:rsidP="003356C7">
      <w:pPr>
        <w:topLinePunct/>
        <w:autoSpaceDE w:val="0"/>
        <w:autoSpaceDN w:val="0"/>
        <w:ind w:firstLineChars="200" w:firstLine="640"/>
      </w:pPr>
      <w:r>
        <w:t>信用分</w:t>
      </w:r>
      <w:r>
        <w:t>A</w:t>
      </w:r>
      <w:r>
        <w:t>档企业得分</w:t>
      </w:r>
      <w:r>
        <w:t>100%X</w:t>
      </w:r>
      <w:r>
        <w:t>，</w:t>
      </w:r>
      <w:r>
        <w:t>B</w:t>
      </w:r>
      <w:r>
        <w:t>档企业得分</w:t>
      </w:r>
      <w:r>
        <w:t>80%X</w:t>
      </w:r>
      <w:r>
        <w:t>，</w:t>
      </w:r>
      <w:r>
        <w:t>C</w:t>
      </w:r>
      <w:r>
        <w:t>档企业得分</w:t>
      </w:r>
      <w:r>
        <w:t>50%X</w:t>
      </w:r>
      <w:r>
        <w:t>，</w:t>
      </w:r>
      <w:r>
        <w:t>D</w:t>
      </w:r>
      <w:r>
        <w:t>档企业得分</w:t>
      </w:r>
      <w:r>
        <w:t>30%X</w:t>
      </w:r>
      <w:r>
        <w:t>，</w:t>
      </w:r>
      <w:r>
        <w:t>E</w:t>
      </w:r>
      <w:r>
        <w:t>档企业得分</w:t>
      </w:r>
      <w:r>
        <w:t>10%X</w:t>
      </w:r>
      <w:r>
        <w:t>。</w:t>
      </w:r>
    </w:p>
    <w:p w:rsidR="003356C7" w:rsidRDefault="003356C7" w:rsidP="003356C7">
      <w:pPr>
        <w:topLinePunct/>
        <w:autoSpaceDE w:val="0"/>
        <w:autoSpaceDN w:val="0"/>
        <w:ind w:firstLineChars="200" w:firstLine="640"/>
        <w:rPr>
          <w:rFonts w:eastAsia="楷体"/>
        </w:rPr>
      </w:pPr>
      <w:r>
        <w:rPr>
          <w:rFonts w:eastAsia="楷体"/>
        </w:rPr>
        <w:t>（二）企业资质得分</w:t>
      </w:r>
      <w:r>
        <w:rPr>
          <w:rFonts w:eastAsia="楷体"/>
        </w:rPr>
        <w:t>Zn</w:t>
      </w:r>
      <w:r>
        <w:rPr>
          <w:rFonts w:eastAsia="楷体"/>
        </w:rPr>
        <w:t>。</w:t>
      </w:r>
    </w:p>
    <w:p w:rsidR="003356C7" w:rsidRDefault="003356C7" w:rsidP="003356C7">
      <w:pPr>
        <w:topLinePunct/>
        <w:autoSpaceDE w:val="0"/>
        <w:autoSpaceDN w:val="0"/>
        <w:ind w:firstLineChars="200" w:firstLine="640"/>
      </w:pPr>
      <w:r>
        <w:t>企业资质得分</w:t>
      </w:r>
      <w:r>
        <w:t>Zn</w:t>
      </w:r>
      <w:r>
        <w:t>按照投标企业资质由低到高呈梯段设置企业资质得分，招标最低资质的企业资质得分</w:t>
      </w:r>
      <w:r>
        <w:t>1</w:t>
      </w:r>
      <w:r>
        <w:t>分，企业资质提升一级增加</w:t>
      </w:r>
      <w:r>
        <w:t>1</w:t>
      </w:r>
      <w:r>
        <w:t>分，本次招标所接受的最高投标资质企业得分定为</w:t>
      </w:r>
      <w:r>
        <w:t>Z</w:t>
      </w:r>
      <w:r>
        <w:t>。例如招标资质为建筑工程施工总承包三级时，三级企业得分</w:t>
      </w:r>
      <w:r>
        <w:t>1</w:t>
      </w:r>
      <w:r>
        <w:t>分、二级企业得分</w:t>
      </w:r>
      <w:r>
        <w:t>2</w:t>
      </w:r>
      <w:r>
        <w:t>分、一级企业得分</w:t>
      </w:r>
      <w:r>
        <w:t>3</w:t>
      </w:r>
      <w:r>
        <w:t>分、特级企业得分</w:t>
      </w:r>
      <w:r>
        <w:t>4</w:t>
      </w:r>
      <w:r>
        <w:t>分，企业资质总分</w:t>
      </w:r>
      <w:r>
        <w:t>Z=4</w:t>
      </w:r>
      <w:r>
        <w:t>，具体设置由招标人根据项目需求在招标文件中明确。</w:t>
      </w:r>
    </w:p>
    <w:p w:rsidR="003356C7" w:rsidRDefault="003356C7" w:rsidP="003356C7">
      <w:pPr>
        <w:topLinePunct/>
        <w:autoSpaceDE w:val="0"/>
        <w:autoSpaceDN w:val="0"/>
        <w:ind w:firstLineChars="200" w:firstLine="640"/>
        <w:rPr>
          <w:rFonts w:eastAsia="楷体"/>
        </w:rPr>
      </w:pPr>
      <w:r>
        <w:rPr>
          <w:rFonts w:eastAsia="楷体"/>
        </w:rPr>
        <w:t>（三）价格得分</w:t>
      </w:r>
      <w:proofErr w:type="spellStart"/>
      <w:r>
        <w:rPr>
          <w:rFonts w:eastAsia="楷体"/>
        </w:rPr>
        <w:t>Yn</w:t>
      </w:r>
      <w:proofErr w:type="spellEnd"/>
      <w:r>
        <w:rPr>
          <w:rFonts w:eastAsia="楷体"/>
        </w:rPr>
        <w:t>。</w:t>
      </w:r>
    </w:p>
    <w:p w:rsidR="003356C7" w:rsidRDefault="003356C7" w:rsidP="003356C7">
      <w:pPr>
        <w:topLinePunct/>
        <w:autoSpaceDE w:val="0"/>
        <w:autoSpaceDN w:val="0"/>
        <w:ind w:firstLineChars="200" w:firstLine="640"/>
      </w:pPr>
      <w:r>
        <w:rPr>
          <w:szCs w:val="32"/>
        </w:rPr>
        <w:t>根据投标报价计算出投标人</w:t>
      </w:r>
      <w:r>
        <w:rPr>
          <w:rFonts w:hAnsi="宋体"/>
          <w:szCs w:val="21"/>
        </w:rPr>
        <w:t>价格得分</w:t>
      </w:r>
      <w:proofErr w:type="spellStart"/>
      <w:r>
        <w:rPr>
          <w:rFonts w:eastAsia="楷体"/>
        </w:rPr>
        <w:t>Yn</w:t>
      </w:r>
      <w:proofErr w:type="spellEnd"/>
      <w:r>
        <w:rPr>
          <w:szCs w:val="32"/>
        </w:rPr>
        <w:t>，具体计算公式在招标文件</w:t>
      </w:r>
      <w:r>
        <w:rPr>
          <w:rFonts w:hint="eastAsia"/>
          <w:szCs w:val="32"/>
        </w:rPr>
        <w:t>范本</w:t>
      </w:r>
      <w:r>
        <w:rPr>
          <w:szCs w:val="32"/>
        </w:rPr>
        <w:t>中明确</w:t>
      </w:r>
      <w:r>
        <w:t>。</w:t>
      </w:r>
    </w:p>
    <w:p w:rsidR="003356C7" w:rsidRDefault="003356C7" w:rsidP="003356C7">
      <w:pPr>
        <w:topLinePunct/>
        <w:autoSpaceDE w:val="0"/>
        <w:autoSpaceDN w:val="0"/>
        <w:ind w:firstLineChars="200" w:firstLine="640"/>
      </w:pPr>
      <w:r>
        <w:t>将投标人总得分</w:t>
      </w:r>
      <w:r>
        <w:t>Fn</w:t>
      </w:r>
      <w:r>
        <w:t>＝</w:t>
      </w:r>
      <w:proofErr w:type="spellStart"/>
      <w:r>
        <w:t>Xn+Yn+Zn</w:t>
      </w:r>
      <w:proofErr w:type="spellEnd"/>
      <w:r>
        <w:t>由高到低进行排序，招标人</w:t>
      </w:r>
      <w:proofErr w:type="gramStart"/>
      <w:r>
        <w:t>按排</w:t>
      </w:r>
      <w:proofErr w:type="gramEnd"/>
      <w:r>
        <w:t>序依次选取</w:t>
      </w:r>
      <w:r>
        <w:t>Q</w:t>
      </w:r>
      <w:r>
        <w:t>名投标人。</w:t>
      </w:r>
    </w:p>
    <w:p w:rsidR="003356C7" w:rsidRDefault="003356C7" w:rsidP="003356C7">
      <w:pPr>
        <w:topLinePunct/>
        <w:autoSpaceDE w:val="0"/>
        <w:autoSpaceDN w:val="0"/>
        <w:ind w:firstLineChars="200" w:firstLine="640"/>
      </w:pPr>
      <w:r>
        <w:rPr>
          <w:rFonts w:eastAsia="黑体"/>
        </w:rPr>
        <w:t>三、筛选方法二</w:t>
      </w:r>
    </w:p>
    <w:p w:rsidR="003356C7" w:rsidRDefault="003356C7" w:rsidP="003356C7">
      <w:pPr>
        <w:topLinePunct/>
        <w:autoSpaceDE w:val="0"/>
        <w:autoSpaceDN w:val="0"/>
        <w:ind w:firstLineChars="200" w:firstLine="640"/>
      </w:pPr>
      <w:r>
        <w:lastRenderedPageBreak/>
        <w:t>对房屋建筑工程施工总承包和市政公用工程施工总承包单</w:t>
      </w:r>
      <w:proofErr w:type="gramStart"/>
      <w:r>
        <w:t>一</w:t>
      </w:r>
      <w:proofErr w:type="gramEnd"/>
      <w:r>
        <w:t>资质的招标项目，采取价格得分排序及信用分排序筛选法确定有效投标人排序。</w:t>
      </w:r>
    </w:p>
    <w:p w:rsidR="003356C7" w:rsidRDefault="003356C7" w:rsidP="003356C7">
      <w:pPr>
        <w:topLinePunct/>
        <w:autoSpaceDE w:val="0"/>
        <w:autoSpaceDN w:val="0"/>
        <w:ind w:rightChars="70" w:right="224" w:firstLineChars="200" w:firstLine="640"/>
      </w:pPr>
      <w:r>
        <w:rPr>
          <w:rFonts w:eastAsia="楷体"/>
        </w:rPr>
        <w:t>（一）计算价格得分</w:t>
      </w:r>
      <w:r>
        <w:t>。</w:t>
      </w:r>
    </w:p>
    <w:p w:rsidR="003356C7" w:rsidRDefault="003356C7" w:rsidP="003356C7">
      <w:pPr>
        <w:topLinePunct/>
        <w:autoSpaceDE w:val="0"/>
        <w:autoSpaceDN w:val="0"/>
        <w:ind w:firstLineChars="200" w:firstLine="640"/>
      </w:pPr>
      <w:r>
        <w:t>不计算信用得分和企业资质得分，即信用得分</w:t>
      </w:r>
      <w:r>
        <w:t>X</w:t>
      </w:r>
      <w:r>
        <w:t>＝</w:t>
      </w:r>
      <w:r>
        <w:t>0</w:t>
      </w:r>
      <w:r>
        <w:t>，企业资质得分</w:t>
      </w:r>
      <w:r>
        <w:t>Z</w:t>
      </w:r>
      <w:r>
        <w:t>＝</w:t>
      </w:r>
      <w:r>
        <w:t>0</w:t>
      </w:r>
      <w:r>
        <w:t>，按</w:t>
      </w:r>
      <w:r>
        <w:rPr>
          <w:szCs w:val="32"/>
        </w:rPr>
        <w:t>招标文件</w:t>
      </w:r>
      <w:r>
        <w:rPr>
          <w:rFonts w:hint="eastAsia"/>
          <w:szCs w:val="32"/>
        </w:rPr>
        <w:t>范本</w:t>
      </w:r>
      <w:r>
        <w:rPr>
          <w:szCs w:val="32"/>
        </w:rPr>
        <w:t>中规定的计算公式</w:t>
      </w:r>
      <w:r>
        <w:t>计算投标人价格得分</w:t>
      </w:r>
      <w:proofErr w:type="spellStart"/>
      <w:r>
        <w:t>Yn</w:t>
      </w:r>
      <w:proofErr w:type="spellEnd"/>
      <w:r>
        <w:t>。</w:t>
      </w:r>
    </w:p>
    <w:p w:rsidR="003356C7" w:rsidRDefault="003356C7" w:rsidP="003356C7">
      <w:pPr>
        <w:topLinePunct/>
        <w:autoSpaceDE w:val="0"/>
        <w:autoSpaceDN w:val="0"/>
        <w:ind w:firstLineChars="200" w:firstLine="640"/>
        <w:rPr>
          <w:rFonts w:eastAsia="楷体"/>
        </w:rPr>
      </w:pPr>
      <w:r>
        <w:rPr>
          <w:rFonts w:eastAsia="楷体"/>
        </w:rPr>
        <w:t>（二）差异化筛选。</w:t>
      </w:r>
    </w:p>
    <w:p w:rsidR="003356C7" w:rsidRDefault="003356C7" w:rsidP="003356C7">
      <w:pPr>
        <w:topLinePunct/>
        <w:autoSpaceDE w:val="0"/>
        <w:autoSpaceDN w:val="0"/>
        <w:ind w:firstLineChars="200" w:firstLine="640"/>
      </w:pPr>
      <w:r>
        <w:t>1.</w:t>
      </w:r>
      <w:r>
        <w:t>根据本通知企业信用分分类，分</w:t>
      </w:r>
      <w:r>
        <w:t>5</w:t>
      </w:r>
      <w:r>
        <w:t>个批次选取，依次选取</w:t>
      </w:r>
      <w:proofErr w:type="spellStart"/>
      <w:r>
        <w:t>Sn</w:t>
      </w:r>
      <w:proofErr w:type="spellEnd"/>
      <w:proofErr w:type="gramStart"/>
      <w:r>
        <w:t>个</w:t>
      </w:r>
      <w:proofErr w:type="gramEnd"/>
      <w:r>
        <w:t>投标人，每批次选取数量</w:t>
      </w:r>
      <w:proofErr w:type="spellStart"/>
      <w:r>
        <w:t>Sn</w:t>
      </w:r>
      <w:proofErr w:type="spellEnd"/>
      <w:r>
        <w:t>详见下表《每批次选取数量表》。首先对信用分档次</w:t>
      </w:r>
      <w:r>
        <w:t>A</w:t>
      </w:r>
      <w:r>
        <w:t>类的有效投标人价格得分</w:t>
      </w:r>
      <w:proofErr w:type="spellStart"/>
      <w:r>
        <w:t>Yn</w:t>
      </w:r>
      <w:proofErr w:type="spellEnd"/>
      <w:r>
        <w:t>由高到低进行排序，</w:t>
      </w:r>
      <w:proofErr w:type="gramStart"/>
      <w:r>
        <w:t>按排</w:t>
      </w:r>
      <w:proofErr w:type="gramEnd"/>
      <w:r>
        <w:t>序选取前</w:t>
      </w:r>
      <w:r>
        <w:t>S1</w:t>
      </w:r>
      <w:r>
        <w:t>名投标人；</w:t>
      </w:r>
    </w:p>
    <w:p w:rsidR="003356C7" w:rsidRDefault="003356C7" w:rsidP="003356C7">
      <w:pPr>
        <w:topLinePunct/>
        <w:autoSpaceDE w:val="0"/>
        <w:autoSpaceDN w:val="0"/>
        <w:ind w:firstLineChars="200" w:firstLine="640"/>
        <w:jc w:val="center"/>
      </w:pPr>
      <w:r>
        <w:rPr>
          <w:rFonts w:eastAsia="方正小标宋简体"/>
          <w:szCs w:val="32"/>
        </w:rPr>
        <w:t>每批次选取数量表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1903"/>
        <w:gridCol w:w="1903"/>
        <w:gridCol w:w="1903"/>
        <w:gridCol w:w="1903"/>
      </w:tblGrid>
      <w:tr w:rsidR="003356C7" w:rsidTr="003204D1">
        <w:trPr>
          <w:cantSplit/>
          <w:trHeight w:val="900"/>
        </w:trPr>
        <w:tc>
          <w:tcPr>
            <w:tcW w:w="1902" w:type="dxa"/>
            <w:tcBorders>
              <w:tl2br w:val="single" w:sz="4" w:space="0" w:color="auto"/>
            </w:tcBorders>
          </w:tcPr>
          <w:p w:rsidR="003356C7" w:rsidRDefault="003356C7" w:rsidP="003204D1">
            <w:pPr>
              <w:topLinePunct/>
              <w:autoSpaceDE w:val="0"/>
              <w:autoSpaceDN w:val="0"/>
              <w:ind w:rightChars="70" w:right="224" w:firstLineChars="400" w:firstLine="1280"/>
              <w:rPr>
                <w:szCs w:val="32"/>
              </w:rPr>
            </w:pPr>
            <w:r>
              <w:rPr>
                <w:szCs w:val="32"/>
              </w:rPr>
              <w:t>Q</w:t>
            </w:r>
          </w:p>
          <w:p w:rsidR="003356C7" w:rsidRDefault="003356C7" w:rsidP="003204D1">
            <w:pPr>
              <w:topLinePunct/>
              <w:autoSpaceDE w:val="0"/>
              <w:autoSpaceDN w:val="0"/>
              <w:ind w:rightChars="70" w:right="224"/>
              <w:rPr>
                <w:szCs w:val="32"/>
              </w:rPr>
            </w:pPr>
            <w:proofErr w:type="spellStart"/>
            <w:r>
              <w:rPr>
                <w:szCs w:val="32"/>
              </w:rPr>
              <w:t>Sn</w:t>
            </w:r>
            <w:proofErr w:type="spellEnd"/>
          </w:p>
        </w:tc>
        <w:tc>
          <w:tcPr>
            <w:tcW w:w="1903" w:type="dxa"/>
            <w:vAlign w:val="center"/>
          </w:tcPr>
          <w:p w:rsidR="003356C7" w:rsidRDefault="003356C7" w:rsidP="003204D1">
            <w:pPr>
              <w:topLinePunct/>
              <w:autoSpaceDE w:val="0"/>
              <w:autoSpaceDN w:val="0"/>
              <w:ind w:rightChars="70" w:right="224"/>
              <w:jc w:val="center"/>
              <w:rPr>
                <w:szCs w:val="32"/>
              </w:rPr>
            </w:pPr>
            <w:r>
              <w:rPr>
                <w:szCs w:val="32"/>
              </w:rPr>
              <w:t>12</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13</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14</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15</w:t>
            </w:r>
          </w:p>
        </w:tc>
      </w:tr>
      <w:tr w:rsidR="003356C7" w:rsidTr="003204D1">
        <w:trPr>
          <w:cantSplit/>
        </w:trPr>
        <w:tc>
          <w:tcPr>
            <w:tcW w:w="1902" w:type="dxa"/>
            <w:vAlign w:val="center"/>
          </w:tcPr>
          <w:p w:rsidR="003356C7" w:rsidRDefault="003356C7" w:rsidP="003204D1">
            <w:pPr>
              <w:topLinePunct/>
              <w:autoSpaceDE w:val="0"/>
              <w:autoSpaceDN w:val="0"/>
              <w:ind w:rightChars="70" w:right="224"/>
              <w:jc w:val="center"/>
              <w:rPr>
                <w:szCs w:val="32"/>
              </w:rPr>
            </w:pPr>
            <w:r>
              <w:rPr>
                <w:szCs w:val="32"/>
              </w:rPr>
              <w:t>S1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5</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5</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5</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5</w:t>
            </w:r>
          </w:p>
        </w:tc>
      </w:tr>
      <w:tr w:rsidR="003356C7" w:rsidTr="003204D1">
        <w:trPr>
          <w:cantSplit/>
        </w:trPr>
        <w:tc>
          <w:tcPr>
            <w:tcW w:w="1902" w:type="dxa"/>
            <w:vAlign w:val="center"/>
          </w:tcPr>
          <w:p w:rsidR="003356C7" w:rsidRDefault="003356C7" w:rsidP="003204D1">
            <w:pPr>
              <w:topLinePunct/>
              <w:autoSpaceDE w:val="0"/>
              <w:autoSpaceDN w:val="0"/>
              <w:ind w:rightChars="70" w:right="224"/>
              <w:jc w:val="center"/>
              <w:rPr>
                <w:szCs w:val="32"/>
              </w:rPr>
            </w:pPr>
            <w:r>
              <w:rPr>
                <w:szCs w:val="32"/>
              </w:rPr>
              <w:t>S2</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3</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4</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4</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4</w:t>
            </w:r>
          </w:p>
        </w:tc>
      </w:tr>
      <w:tr w:rsidR="003356C7" w:rsidTr="003204D1">
        <w:trPr>
          <w:cantSplit/>
        </w:trPr>
        <w:tc>
          <w:tcPr>
            <w:tcW w:w="1902" w:type="dxa"/>
            <w:vAlign w:val="center"/>
          </w:tcPr>
          <w:p w:rsidR="003356C7" w:rsidRDefault="003356C7" w:rsidP="003204D1">
            <w:pPr>
              <w:topLinePunct/>
              <w:autoSpaceDE w:val="0"/>
              <w:autoSpaceDN w:val="0"/>
              <w:ind w:rightChars="70" w:right="224"/>
              <w:jc w:val="center"/>
              <w:rPr>
                <w:szCs w:val="32"/>
              </w:rPr>
            </w:pPr>
            <w:r>
              <w:rPr>
                <w:szCs w:val="32"/>
              </w:rPr>
              <w:t>S3</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2</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2</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3</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3</w:t>
            </w:r>
          </w:p>
        </w:tc>
      </w:tr>
      <w:tr w:rsidR="003356C7" w:rsidTr="003204D1">
        <w:trPr>
          <w:cantSplit/>
        </w:trPr>
        <w:tc>
          <w:tcPr>
            <w:tcW w:w="1902" w:type="dxa"/>
            <w:vAlign w:val="center"/>
          </w:tcPr>
          <w:p w:rsidR="003356C7" w:rsidRDefault="003356C7" w:rsidP="003204D1">
            <w:pPr>
              <w:topLinePunct/>
              <w:autoSpaceDE w:val="0"/>
              <w:autoSpaceDN w:val="0"/>
              <w:ind w:rightChars="70" w:right="224"/>
              <w:jc w:val="center"/>
              <w:rPr>
                <w:szCs w:val="32"/>
              </w:rPr>
            </w:pPr>
            <w:r>
              <w:rPr>
                <w:szCs w:val="32"/>
              </w:rPr>
              <w:t>S4</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2</w:t>
            </w:r>
          </w:p>
        </w:tc>
      </w:tr>
      <w:tr w:rsidR="003356C7" w:rsidTr="003204D1">
        <w:trPr>
          <w:cantSplit/>
        </w:trPr>
        <w:tc>
          <w:tcPr>
            <w:tcW w:w="1902" w:type="dxa"/>
            <w:vAlign w:val="center"/>
          </w:tcPr>
          <w:p w:rsidR="003356C7" w:rsidRDefault="003356C7" w:rsidP="003204D1">
            <w:pPr>
              <w:topLinePunct/>
              <w:autoSpaceDE w:val="0"/>
              <w:autoSpaceDN w:val="0"/>
              <w:ind w:rightChars="70" w:right="224"/>
              <w:jc w:val="center"/>
              <w:rPr>
                <w:szCs w:val="32"/>
              </w:rPr>
            </w:pPr>
            <w:r>
              <w:rPr>
                <w:szCs w:val="32"/>
              </w:rPr>
              <w:t>S5</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c>
          <w:tcPr>
            <w:tcW w:w="1903" w:type="dxa"/>
            <w:vAlign w:val="center"/>
          </w:tcPr>
          <w:p w:rsidR="003356C7" w:rsidRDefault="003356C7" w:rsidP="003204D1">
            <w:pPr>
              <w:topLinePunct/>
              <w:autoSpaceDE w:val="0"/>
              <w:autoSpaceDN w:val="0"/>
              <w:ind w:rightChars="70" w:right="224"/>
              <w:jc w:val="center"/>
              <w:rPr>
                <w:szCs w:val="32"/>
              </w:rPr>
            </w:pPr>
            <w:r>
              <w:rPr>
                <w:szCs w:val="32"/>
              </w:rPr>
              <w:t>1</w:t>
            </w:r>
          </w:p>
        </w:tc>
      </w:tr>
    </w:tbl>
    <w:p w:rsidR="003356C7" w:rsidRDefault="003356C7" w:rsidP="003356C7">
      <w:pPr>
        <w:topLinePunct/>
        <w:autoSpaceDE w:val="0"/>
        <w:autoSpaceDN w:val="0"/>
        <w:ind w:firstLineChars="200" w:firstLine="640"/>
      </w:pPr>
      <w:r>
        <w:t>2.</w:t>
      </w:r>
      <w:r>
        <w:t>在剩余的信用分档次</w:t>
      </w:r>
      <w:r>
        <w:t>A</w:t>
      </w:r>
      <w:r>
        <w:t>类的有效投标人及信用分档次</w:t>
      </w:r>
      <w:r>
        <w:t>B</w:t>
      </w:r>
      <w:r>
        <w:t>类的有效投标人价格得分</w:t>
      </w:r>
      <w:proofErr w:type="spellStart"/>
      <w:r>
        <w:t>Yn</w:t>
      </w:r>
      <w:proofErr w:type="spellEnd"/>
      <w:r>
        <w:t>由高到低进行排序，</w:t>
      </w:r>
      <w:proofErr w:type="gramStart"/>
      <w:r>
        <w:t>按排</w:t>
      </w:r>
      <w:proofErr w:type="gramEnd"/>
      <w:r>
        <w:t>序选</w:t>
      </w:r>
      <w:r>
        <w:lastRenderedPageBreak/>
        <w:t>取前</w:t>
      </w:r>
      <w:r>
        <w:t>S2</w:t>
      </w:r>
      <w:r>
        <w:t>名投标人；</w:t>
      </w:r>
    </w:p>
    <w:p w:rsidR="003356C7" w:rsidRDefault="003356C7" w:rsidP="003356C7">
      <w:pPr>
        <w:topLinePunct/>
        <w:autoSpaceDE w:val="0"/>
        <w:autoSpaceDN w:val="0"/>
        <w:ind w:firstLineChars="200" w:firstLine="640"/>
      </w:pPr>
      <w:r>
        <w:t>3.</w:t>
      </w:r>
      <w:r>
        <w:t>以此类推，完成剩余三个批次的选取，产生完整的入围投标人名单。</w:t>
      </w:r>
    </w:p>
    <w:p w:rsidR="003356C7" w:rsidRDefault="003356C7" w:rsidP="003356C7">
      <w:pPr>
        <w:topLinePunct/>
        <w:autoSpaceDE w:val="0"/>
        <w:autoSpaceDN w:val="0"/>
        <w:ind w:firstLineChars="200" w:firstLine="640"/>
      </w:pPr>
      <w:r>
        <w:t>4.</w:t>
      </w:r>
      <w:r>
        <w:t>在任</w:t>
      </w:r>
      <w:proofErr w:type="gramStart"/>
      <w:r>
        <w:t>一</w:t>
      </w:r>
      <w:proofErr w:type="gramEnd"/>
      <w:r>
        <w:t>批次选取中可供选取的投标人数量不足本次入围人数的，所有可供选取的投标人均入围评标环节，不足名额在下一批次选取时补足。</w:t>
      </w:r>
    </w:p>
    <w:p w:rsidR="003356C7" w:rsidRDefault="003356C7" w:rsidP="003356C7">
      <w:pPr>
        <w:topLinePunct/>
        <w:autoSpaceDE w:val="0"/>
        <w:autoSpaceDN w:val="0"/>
        <w:ind w:firstLineChars="200" w:firstLine="640"/>
        <w:rPr>
          <w:rFonts w:eastAsia="黑体"/>
        </w:rPr>
      </w:pPr>
      <w:r>
        <w:rPr>
          <w:rFonts w:eastAsia="黑体"/>
        </w:rPr>
        <w:t>四、其他说明</w:t>
      </w:r>
    </w:p>
    <w:p w:rsidR="003356C7" w:rsidRDefault="003356C7" w:rsidP="003356C7">
      <w:pPr>
        <w:topLinePunct/>
        <w:autoSpaceDE w:val="0"/>
        <w:autoSpaceDN w:val="0"/>
        <w:ind w:firstLineChars="200" w:firstLine="640"/>
      </w:pPr>
      <w:r>
        <w:t>对不属于房屋建筑工程施工总承包和市政公用工程施工总承包单</w:t>
      </w:r>
      <w:proofErr w:type="gramStart"/>
      <w:r>
        <w:t>一</w:t>
      </w:r>
      <w:proofErr w:type="gramEnd"/>
      <w:r>
        <w:t>资质的招标项目，不计算信用分值和企业资质得分，即信用得分</w:t>
      </w:r>
      <w:r>
        <w:t>X</w:t>
      </w:r>
      <w:r>
        <w:t>＝</w:t>
      </w:r>
      <w:r>
        <w:t>0</w:t>
      </w:r>
      <w:r>
        <w:t>，企业资质得分</w:t>
      </w:r>
      <w:r>
        <w:t>Z</w:t>
      </w:r>
      <w:r>
        <w:t>＝</w:t>
      </w:r>
      <w:r>
        <w:t>0</w:t>
      </w:r>
      <w:r>
        <w:t>，参照上述筛选办法</w:t>
      </w:r>
      <w:proofErr w:type="gramStart"/>
      <w:r>
        <w:t>一</w:t>
      </w:r>
      <w:proofErr w:type="gramEnd"/>
      <w:r>
        <w:t>按照招标文件</w:t>
      </w:r>
      <w:r>
        <w:rPr>
          <w:rFonts w:hint="eastAsia"/>
        </w:rPr>
        <w:t>范本</w:t>
      </w:r>
      <w:r>
        <w:t>规定计算价格得分并由高到低进行排序，按顺序选取</w:t>
      </w:r>
      <w:r>
        <w:t>Q</w:t>
      </w:r>
      <w:proofErr w:type="gramStart"/>
      <w:r>
        <w:t>个</w:t>
      </w:r>
      <w:proofErr w:type="gramEnd"/>
      <w:r>
        <w:t>投标人进入评标程序。</w:t>
      </w:r>
    </w:p>
    <w:p w:rsidR="00D221C5" w:rsidRPr="003356C7" w:rsidRDefault="00D221C5"/>
    <w:sectPr w:rsidR="00D221C5" w:rsidRPr="003356C7" w:rsidSect="00D2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1E" w:rsidRDefault="000A3D1E" w:rsidP="003356C7">
      <w:r>
        <w:separator/>
      </w:r>
    </w:p>
  </w:endnote>
  <w:endnote w:type="continuationSeparator" w:id="0">
    <w:p w:rsidR="000A3D1E" w:rsidRDefault="000A3D1E" w:rsidP="00335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1E" w:rsidRDefault="000A3D1E" w:rsidP="003356C7">
      <w:r>
        <w:separator/>
      </w:r>
    </w:p>
  </w:footnote>
  <w:footnote w:type="continuationSeparator" w:id="0">
    <w:p w:rsidR="000A3D1E" w:rsidRDefault="000A3D1E" w:rsidP="003356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6C7"/>
    <w:rsid w:val="000A3D1E"/>
    <w:rsid w:val="003356C7"/>
    <w:rsid w:val="009146DD"/>
    <w:rsid w:val="00BE171B"/>
    <w:rsid w:val="00D221C5"/>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C7"/>
    <w:pPr>
      <w:widowControl w:val="0"/>
      <w:spacing w:line="240" w:lineRule="auto"/>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6C7"/>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56C7"/>
    <w:rPr>
      <w:sz w:val="18"/>
      <w:szCs w:val="18"/>
    </w:rPr>
  </w:style>
  <w:style w:type="paragraph" w:styleId="a4">
    <w:name w:val="footer"/>
    <w:basedOn w:val="a"/>
    <w:link w:val="Char0"/>
    <w:uiPriority w:val="99"/>
    <w:semiHidden/>
    <w:unhideWhenUsed/>
    <w:rsid w:val="003356C7"/>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356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2022-03-10T07:25:00Z</dcterms:created>
  <dcterms:modified xsi:type="dcterms:W3CDTF">2022-03-10T07:25:00Z</dcterms:modified>
</cp:coreProperties>
</file>