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lang w:eastAsia="zh-Hans"/>
        </w:rPr>
      </w:pPr>
      <w:r>
        <w:rPr>
          <w:color w:val="auto"/>
          <w:highlight w:val="none"/>
        </w:rPr>
        <w:br w:type="textWrapping"/>
      </w:r>
    </w:p>
    <w:p>
      <w:pPr>
        <w:rPr>
          <w:color w:val="auto"/>
          <w:highlight w:val="none"/>
        </w:rPr>
      </w:pPr>
    </w:p>
    <w:p>
      <w:pPr>
        <w:rPr>
          <w:color w:val="auto"/>
          <w:highlight w:val="none"/>
        </w:rPr>
      </w:pP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jc w:val="center"/>
        <w:rPr>
          <w:color w:val="auto"/>
          <w:highlight w:val="none"/>
        </w:rPr>
      </w:pPr>
      <w:r>
        <w:rPr>
          <w:rFonts w:hint="eastAsia"/>
          <w:b/>
          <w:color w:val="auto"/>
          <w:sz w:val="48"/>
          <w:highlight w:val="none"/>
        </w:rPr>
        <w:t>东莞市万江街道政府采购</w:t>
      </w:r>
    </w:p>
    <w:p>
      <w:pPr>
        <w:jc w:val="center"/>
        <w:rPr>
          <w:color w:val="auto"/>
          <w:highlight w:val="none"/>
        </w:rPr>
      </w:pPr>
      <w:r>
        <w:rPr>
          <w:b/>
          <w:color w:val="auto"/>
          <w:sz w:val="48"/>
          <w:highlight w:val="none"/>
        </w:rPr>
        <w:t>公开招标文件</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jc w:val="both"/>
        <w:rPr>
          <w:rFonts w:hint="eastAsia" w:eastAsiaTheme="minorEastAsia"/>
          <w:b/>
          <w:color w:val="auto"/>
          <w:sz w:val="24"/>
          <w:highlight w:val="none"/>
          <w:lang w:val="en-US" w:eastAsia="zh-CN"/>
        </w:rPr>
      </w:pPr>
      <w:r>
        <w:rPr>
          <w:b/>
          <w:color w:val="auto"/>
          <w:sz w:val="24"/>
          <w:highlight w:val="none"/>
        </w:rPr>
        <w:t>采购项目编号：</w:t>
      </w:r>
      <w:r>
        <w:rPr>
          <w:rFonts w:hint="eastAsia"/>
          <w:b/>
          <w:color w:val="auto"/>
          <w:sz w:val="24"/>
          <w:highlight w:val="none"/>
        </w:rPr>
        <w:t>WJGP2023003</w:t>
      </w:r>
    </w:p>
    <w:p>
      <w:pPr>
        <w:jc w:val="left"/>
        <w:rPr>
          <w:rFonts w:hint="eastAsia"/>
          <w:b/>
          <w:color w:val="auto"/>
          <w:sz w:val="24"/>
          <w:highlight w:val="none"/>
          <w:lang w:eastAsia="zh-CN"/>
        </w:rPr>
      </w:pPr>
      <w:r>
        <w:rPr>
          <w:b/>
          <w:color w:val="auto"/>
          <w:sz w:val="24"/>
          <w:highlight w:val="none"/>
        </w:rPr>
        <w:t>项目名称：</w:t>
      </w:r>
      <w:r>
        <w:rPr>
          <w:rFonts w:hint="eastAsia"/>
          <w:b/>
          <w:color w:val="auto"/>
          <w:sz w:val="24"/>
          <w:highlight w:val="none"/>
          <w:lang w:eastAsia="zh-CN"/>
        </w:rPr>
        <w:t>东莞市司法局万江分局2023年购买社工服务项目</w:t>
      </w:r>
    </w:p>
    <w:p>
      <w:pPr>
        <w:jc w:val="left"/>
        <w:rPr>
          <w:rFonts w:hint="eastAsia" w:eastAsiaTheme="minorEastAsia"/>
          <w:b/>
          <w:color w:val="auto"/>
          <w:sz w:val="24"/>
          <w:highlight w:val="none"/>
          <w:lang w:eastAsia="zh-CN"/>
        </w:rPr>
      </w:pPr>
      <w:r>
        <w:rPr>
          <w:b/>
          <w:color w:val="auto"/>
          <w:sz w:val="24"/>
          <w:highlight w:val="none"/>
        </w:rPr>
        <w:t>采购人：</w:t>
      </w:r>
      <w:r>
        <w:rPr>
          <w:rFonts w:hint="eastAsia"/>
          <w:b/>
          <w:color w:val="auto"/>
          <w:sz w:val="24"/>
          <w:highlight w:val="none"/>
          <w:lang w:eastAsia="zh-CN"/>
        </w:rPr>
        <w:t>东莞市司法局万江分局</w:t>
      </w:r>
    </w:p>
    <w:p>
      <w:pPr>
        <w:jc w:val="left"/>
        <w:rPr>
          <w:color w:val="auto"/>
          <w:highlight w:val="none"/>
        </w:rPr>
      </w:pPr>
      <w:r>
        <w:rPr>
          <w:b/>
          <w:color w:val="auto"/>
          <w:sz w:val="24"/>
          <w:highlight w:val="none"/>
        </w:rPr>
        <w:t>采购代理机构：东莞市万江招投标服务所</w:t>
      </w:r>
    </w:p>
    <w:p>
      <w:pPr>
        <w:ind w:firstLine="480"/>
        <w:rPr>
          <w:color w:val="auto"/>
          <w:highlight w:val="none"/>
        </w:rPr>
      </w:pPr>
    </w:p>
    <w:p>
      <w:pPr>
        <w:rPr>
          <w:color w:val="auto"/>
          <w:highlight w:val="none"/>
        </w:rPr>
      </w:pPr>
      <w:r>
        <w:rPr>
          <w:color w:val="auto"/>
          <w:highlight w:val="none"/>
        </w:rPr>
        <w:t xml:space="preserve"> </w:t>
      </w:r>
    </w:p>
    <w:p>
      <w:pPr>
        <w:rPr>
          <w:color w:val="auto"/>
          <w:highlight w:val="none"/>
        </w:rPr>
      </w:pPr>
    </w:p>
    <w:p>
      <w:pPr>
        <w:jc w:val="center"/>
        <w:rPr>
          <w:b/>
          <w:color w:val="auto"/>
          <w:sz w:val="36"/>
          <w:highlight w:val="none"/>
        </w:rPr>
      </w:pPr>
    </w:p>
    <w:p>
      <w:pPr>
        <w:jc w:val="center"/>
        <w:rPr>
          <w:color w:val="auto"/>
          <w:highlight w:val="none"/>
        </w:rPr>
      </w:pPr>
      <w:r>
        <w:rPr>
          <w:b/>
          <w:color w:val="auto"/>
          <w:sz w:val="36"/>
          <w:highlight w:val="none"/>
        </w:rPr>
        <w:t>第一章投标邀请</w:t>
      </w:r>
    </w:p>
    <w:p>
      <w:pPr>
        <w:ind w:firstLine="480"/>
        <w:rPr>
          <w:color w:val="auto"/>
          <w:highlight w:val="none"/>
        </w:rPr>
      </w:pPr>
      <w:r>
        <w:rPr>
          <w:color w:val="auto"/>
          <w:highlight w:val="none"/>
        </w:rPr>
        <w:t>东莞市万江招投标服务所受</w:t>
      </w:r>
      <w:r>
        <w:rPr>
          <w:rFonts w:hint="eastAsia"/>
          <w:color w:val="auto"/>
          <w:highlight w:val="none"/>
          <w:u w:val="single"/>
          <w:lang w:eastAsia="zh-CN"/>
        </w:rPr>
        <w:t>东莞市司法局万江分局</w:t>
      </w:r>
      <w:r>
        <w:rPr>
          <w:color w:val="auto"/>
          <w:highlight w:val="none"/>
        </w:rPr>
        <w:t>的委托，采用公开招标方式组织采购</w:t>
      </w:r>
      <w:r>
        <w:rPr>
          <w:rFonts w:hint="eastAsia"/>
          <w:color w:val="auto"/>
          <w:highlight w:val="none"/>
          <w:u w:val="single"/>
          <w:lang w:eastAsia="zh-CN"/>
        </w:rPr>
        <w:t>东莞市司法局万江分局2023年购买社工服务项</w:t>
      </w:r>
      <w:r>
        <w:rPr>
          <w:rFonts w:hint="eastAsia"/>
          <w:color w:val="auto"/>
          <w:highlight w:val="none"/>
          <w:u w:val="single"/>
        </w:rPr>
        <w:t>目</w:t>
      </w:r>
      <w:r>
        <w:rPr>
          <w:color w:val="auto"/>
          <w:highlight w:val="none"/>
        </w:rPr>
        <w:t>。欢迎符合资格条件的国内供应商参加投标。</w:t>
      </w:r>
    </w:p>
    <w:p>
      <w:pPr>
        <w:rPr>
          <w:color w:val="auto"/>
          <w:highlight w:val="none"/>
        </w:rPr>
      </w:pPr>
      <w:r>
        <w:rPr>
          <w:b/>
          <w:color w:val="auto"/>
          <w:sz w:val="28"/>
          <w:highlight w:val="none"/>
        </w:rPr>
        <w:t>一.项目概述</w:t>
      </w:r>
    </w:p>
    <w:p>
      <w:pPr>
        <w:rPr>
          <w:color w:val="auto"/>
          <w:highlight w:val="none"/>
        </w:rPr>
      </w:pPr>
      <w:r>
        <w:rPr>
          <w:b/>
          <w:color w:val="auto"/>
          <w:sz w:val="24"/>
          <w:highlight w:val="none"/>
        </w:rPr>
        <w:t>1.名称与编号</w:t>
      </w:r>
    </w:p>
    <w:p>
      <w:pPr>
        <w:ind w:firstLine="480"/>
        <w:rPr>
          <w:color w:val="auto"/>
          <w:highlight w:val="none"/>
        </w:rPr>
      </w:pPr>
      <w:r>
        <w:rPr>
          <w:color w:val="auto"/>
          <w:highlight w:val="none"/>
        </w:rPr>
        <w:t>项目名称：</w:t>
      </w:r>
      <w:r>
        <w:rPr>
          <w:rFonts w:hint="eastAsia"/>
          <w:color w:val="auto"/>
          <w:highlight w:val="none"/>
          <w:lang w:eastAsia="zh-CN"/>
        </w:rPr>
        <w:t>东莞市司法局万江分局2023年购买社工服务项目</w:t>
      </w:r>
    </w:p>
    <w:p>
      <w:pPr>
        <w:ind w:firstLine="480"/>
        <w:rPr>
          <w:rFonts w:hint="eastAsia"/>
          <w:color w:val="auto"/>
          <w:highlight w:val="none"/>
        </w:rPr>
      </w:pPr>
      <w:r>
        <w:rPr>
          <w:color w:val="auto"/>
          <w:highlight w:val="none"/>
        </w:rPr>
        <w:t>项目编号：</w:t>
      </w:r>
    </w:p>
    <w:p>
      <w:pPr>
        <w:ind w:firstLine="480"/>
        <w:rPr>
          <w:color w:val="auto"/>
          <w:highlight w:val="none"/>
        </w:rPr>
      </w:pPr>
      <w:r>
        <w:rPr>
          <w:color w:val="auto"/>
          <w:highlight w:val="none"/>
        </w:rPr>
        <w:t>采购方式：公开招标</w:t>
      </w:r>
    </w:p>
    <w:p>
      <w:pPr>
        <w:ind w:firstLine="480"/>
        <w:rPr>
          <w:color w:val="auto"/>
          <w:highlight w:val="none"/>
        </w:rPr>
      </w:pPr>
      <w:r>
        <w:rPr>
          <w:color w:val="auto"/>
          <w:highlight w:val="none"/>
        </w:rPr>
        <w:t>预算金额：</w:t>
      </w:r>
      <w:r>
        <w:rPr>
          <w:rFonts w:hint="eastAsia"/>
          <w:color w:val="auto"/>
          <w:highlight w:val="none"/>
          <w:lang w:eastAsia="zh-CN"/>
        </w:rPr>
        <w:t>792,000.00</w:t>
      </w:r>
      <w:r>
        <w:rPr>
          <w:rFonts w:hint="eastAsia"/>
          <w:color w:val="auto"/>
          <w:highlight w:val="none"/>
        </w:rPr>
        <w:t>元</w:t>
      </w:r>
    </w:p>
    <w:p>
      <w:pPr>
        <w:rPr>
          <w:color w:val="auto"/>
          <w:highlight w:val="none"/>
        </w:rPr>
      </w:pPr>
      <w:r>
        <w:rPr>
          <w:b/>
          <w:color w:val="auto"/>
          <w:sz w:val="24"/>
          <w:highlight w:val="none"/>
        </w:rPr>
        <w:t>2.项目内容及需求情况（采购项目技术规格、参数及要求）</w:t>
      </w:r>
    </w:p>
    <w:p>
      <w:pPr>
        <w:ind w:firstLine="480"/>
        <w:rPr>
          <w:color w:val="auto"/>
          <w:highlight w:val="none"/>
        </w:rPr>
      </w:pPr>
      <w:r>
        <w:rPr>
          <w:color w:val="auto"/>
          <w:highlight w:val="none"/>
        </w:rPr>
        <w:t>采购包1(</w:t>
      </w:r>
      <w:r>
        <w:rPr>
          <w:rFonts w:hint="eastAsia"/>
          <w:color w:val="auto"/>
          <w:highlight w:val="none"/>
          <w:lang w:eastAsia="zh-CN"/>
        </w:rPr>
        <w:t>东莞市司法局万江分局2023年购买社工服务项目</w:t>
      </w:r>
      <w:r>
        <w:rPr>
          <w:color w:val="auto"/>
          <w:highlight w:val="none"/>
        </w:rPr>
        <w:t>):</w:t>
      </w:r>
    </w:p>
    <w:p>
      <w:pPr>
        <w:rPr>
          <w:color w:val="auto"/>
          <w:highlight w:val="none"/>
        </w:rPr>
      </w:pPr>
      <w:r>
        <w:rPr>
          <w:color w:val="auto"/>
          <w:highlight w:val="none"/>
        </w:rPr>
        <w:t>采购包预算金额：</w:t>
      </w:r>
      <w:r>
        <w:rPr>
          <w:rFonts w:hint="eastAsia"/>
          <w:color w:val="auto"/>
          <w:highlight w:val="none"/>
          <w:lang w:eastAsia="zh-CN"/>
        </w:rPr>
        <w:t>792,000.00</w:t>
      </w:r>
      <w:r>
        <w:rPr>
          <w:color w:val="auto"/>
          <w:highlight w:val="none"/>
        </w:rPr>
        <w:t>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0"/>
        <w:gridCol w:w="1692"/>
        <w:gridCol w:w="638"/>
        <w:gridCol w:w="1060"/>
        <w:gridCol w:w="2325"/>
        <w:gridCol w:w="14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0" w:type="auto"/>
            <w:vAlign w:val="center"/>
          </w:tcPr>
          <w:p>
            <w:pPr>
              <w:jc w:val="center"/>
              <w:rPr>
                <w:b/>
                <w:color w:val="auto"/>
                <w:highlight w:val="none"/>
              </w:rPr>
            </w:pPr>
            <w:r>
              <w:rPr>
                <w:rFonts w:hint="eastAsia"/>
                <w:b/>
                <w:color w:val="auto"/>
                <w:highlight w:val="none"/>
              </w:rPr>
              <w:t>采购标的</w:t>
            </w:r>
          </w:p>
        </w:tc>
        <w:tc>
          <w:tcPr>
            <w:tcW w:w="0" w:type="auto"/>
            <w:vAlign w:val="center"/>
          </w:tcPr>
          <w:p>
            <w:pPr>
              <w:jc w:val="center"/>
              <w:rPr>
                <w:b/>
                <w:color w:val="auto"/>
                <w:highlight w:val="none"/>
              </w:rPr>
            </w:pPr>
            <w:r>
              <w:rPr>
                <w:rFonts w:hint="eastAsia"/>
                <w:b/>
                <w:color w:val="auto"/>
                <w:highlight w:val="none"/>
              </w:rPr>
              <w:t>预算单价（元）</w:t>
            </w:r>
          </w:p>
        </w:tc>
        <w:tc>
          <w:tcPr>
            <w:tcW w:w="0" w:type="auto"/>
            <w:vAlign w:val="center"/>
          </w:tcPr>
          <w:p>
            <w:pPr>
              <w:jc w:val="center"/>
              <w:rPr>
                <w:b/>
                <w:color w:val="auto"/>
                <w:highlight w:val="none"/>
              </w:rPr>
            </w:pPr>
            <w:r>
              <w:rPr>
                <w:b/>
                <w:color w:val="auto"/>
                <w:highlight w:val="none"/>
              </w:rPr>
              <w:t>数量</w:t>
            </w:r>
          </w:p>
        </w:tc>
        <w:tc>
          <w:tcPr>
            <w:tcW w:w="0" w:type="auto"/>
            <w:vAlign w:val="center"/>
          </w:tcPr>
          <w:p>
            <w:pPr>
              <w:jc w:val="center"/>
              <w:rPr>
                <w:b/>
                <w:color w:val="auto"/>
                <w:highlight w:val="none"/>
              </w:rPr>
            </w:pPr>
            <w:r>
              <w:rPr>
                <w:rFonts w:hint="eastAsia"/>
                <w:b/>
                <w:color w:val="auto"/>
                <w:highlight w:val="none"/>
              </w:rPr>
              <w:t>计量单位</w:t>
            </w:r>
          </w:p>
        </w:tc>
        <w:tc>
          <w:tcPr>
            <w:tcW w:w="0" w:type="auto"/>
            <w:vAlign w:val="center"/>
          </w:tcPr>
          <w:p>
            <w:pPr>
              <w:jc w:val="center"/>
              <w:rPr>
                <w:b/>
                <w:color w:val="auto"/>
                <w:highlight w:val="none"/>
              </w:rPr>
            </w:pPr>
            <w:r>
              <w:rPr>
                <w:b/>
                <w:color w:val="auto"/>
                <w:highlight w:val="none"/>
              </w:rPr>
              <w:t>技术规格、参数及要求</w:t>
            </w:r>
          </w:p>
        </w:tc>
        <w:tc>
          <w:tcPr>
            <w:tcW w:w="0" w:type="auto"/>
            <w:vAlign w:val="center"/>
          </w:tcPr>
          <w:p>
            <w:pPr>
              <w:jc w:val="center"/>
              <w:rPr>
                <w:b/>
                <w:color w:val="auto"/>
                <w:highlight w:val="none"/>
              </w:rPr>
            </w:pPr>
            <w:r>
              <w:rPr>
                <w:b/>
                <w:color w:val="auto"/>
                <w:highlight w:val="none"/>
              </w:rPr>
              <w:t>品目预算(元)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0" w:type="auto"/>
            <w:vAlign w:val="center"/>
          </w:tcPr>
          <w:p>
            <w:pPr>
              <w:jc w:val="center"/>
              <w:rPr>
                <w:rFonts w:hint="eastAsia"/>
                <w:b/>
                <w:color w:val="auto"/>
                <w:highlight w:val="none"/>
              </w:rPr>
            </w:pPr>
            <w:r>
              <w:rPr>
                <w:rFonts w:hint="eastAsia"/>
                <w:color w:val="auto"/>
                <w:highlight w:val="none"/>
                <w:lang w:eastAsia="zh-CN"/>
              </w:rPr>
              <w:t>社工服务</w:t>
            </w:r>
          </w:p>
        </w:tc>
        <w:tc>
          <w:tcPr>
            <w:tcW w:w="0" w:type="auto"/>
            <w:vAlign w:val="center"/>
          </w:tcPr>
          <w:p>
            <w:pPr>
              <w:jc w:val="center"/>
              <w:rPr>
                <w:rFonts w:hint="eastAsia"/>
                <w:b/>
                <w:color w:val="auto"/>
                <w:highlight w:val="none"/>
              </w:rPr>
            </w:pPr>
            <w:r>
              <w:rPr>
                <w:rFonts w:hint="eastAsia"/>
                <w:color w:val="auto"/>
                <w:highlight w:val="none"/>
                <w:lang w:eastAsia="zh-CN"/>
              </w:rPr>
              <w:t>792,000.00</w:t>
            </w:r>
          </w:p>
        </w:tc>
        <w:tc>
          <w:tcPr>
            <w:tcW w:w="0" w:type="auto"/>
            <w:vAlign w:val="center"/>
          </w:tcPr>
          <w:p>
            <w:pPr>
              <w:jc w:val="center"/>
              <w:rPr>
                <w:rFonts w:hint="eastAsia" w:eastAsiaTheme="minorEastAsia"/>
                <w:b/>
                <w:color w:val="auto"/>
                <w:highlight w:val="none"/>
                <w:lang w:val="en-US" w:eastAsia="zh-CN"/>
              </w:rPr>
            </w:pPr>
            <w:r>
              <w:rPr>
                <w:rFonts w:hint="eastAsia"/>
                <w:b/>
                <w:color w:val="auto"/>
                <w:highlight w:val="none"/>
                <w:lang w:val="en-US" w:eastAsia="zh-CN"/>
              </w:rPr>
              <w:t>1</w:t>
            </w:r>
          </w:p>
        </w:tc>
        <w:tc>
          <w:tcPr>
            <w:tcW w:w="0" w:type="auto"/>
            <w:vAlign w:val="center"/>
          </w:tcPr>
          <w:p>
            <w:pPr>
              <w:jc w:val="center"/>
              <w:rPr>
                <w:rFonts w:hint="eastAsia" w:eastAsiaTheme="minorEastAsia"/>
                <w:b/>
                <w:color w:val="auto"/>
                <w:highlight w:val="none"/>
                <w:lang w:val="en-US" w:eastAsia="zh-CN"/>
              </w:rPr>
            </w:pPr>
            <w:r>
              <w:rPr>
                <w:rFonts w:hint="eastAsia"/>
                <w:b/>
                <w:color w:val="auto"/>
                <w:highlight w:val="none"/>
                <w:lang w:val="en-US" w:eastAsia="zh-CN"/>
              </w:rPr>
              <w:t>项</w:t>
            </w:r>
          </w:p>
        </w:tc>
        <w:tc>
          <w:tcPr>
            <w:tcW w:w="0" w:type="auto"/>
            <w:vAlign w:val="center"/>
          </w:tcPr>
          <w:p>
            <w:pPr>
              <w:jc w:val="center"/>
              <w:rPr>
                <w:rFonts w:hint="eastAsia" w:eastAsiaTheme="minorEastAsia"/>
                <w:b/>
                <w:color w:val="auto"/>
                <w:highlight w:val="none"/>
                <w:lang w:eastAsia="zh-CN"/>
              </w:rPr>
            </w:pPr>
            <w:r>
              <w:rPr>
                <w:rFonts w:hint="eastAsia"/>
                <w:b/>
                <w:color w:val="auto"/>
                <w:highlight w:val="none"/>
                <w:lang w:eastAsia="zh-CN"/>
              </w:rPr>
              <w:t>详见招标文件</w:t>
            </w:r>
          </w:p>
        </w:tc>
        <w:tc>
          <w:tcPr>
            <w:tcW w:w="0" w:type="auto"/>
            <w:vAlign w:val="center"/>
          </w:tcPr>
          <w:p>
            <w:pPr>
              <w:jc w:val="center"/>
              <w:rPr>
                <w:b/>
                <w:color w:val="auto"/>
                <w:highlight w:val="none"/>
              </w:rPr>
            </w:pPr>
            <w:r>
              <w:rPr>
                <w:rFonts w:hint="eastAsia"/>
                <w:color w:val="auto"/>
                <w:highlight w:val="none"/>
                <w:lang w:eastAsia="zh-CN"/>
              </w:rPr>
              <w:t>792,000.00</w:t>
            </w:r>
          </w:p>
        </w:tc>
      </w:tr>
    </w:tbl>
    <w:p>
      <w:pPr>
        <w:rPr>
          <w:color w:val="auto"/>
          <w:highlight w:val="none"/>
        </w:rPr>
      </w:pPr>
    </w:p>
    <w:p>
      <w:pPr>
        <w:jc w:val="left"/>
        <w:rPr>
          <w:color w:val="auto"/>
          <w:highlight w:val="none"/>
        </w:rPr>
      </w:pPr>
      <w:r>
        <w:rPr>
          <w:color w:val="auto"/>
          <w:highlight w:val="none"/>
        </w:rPr>
        <w:t>本采购包不接受联合体投标</w:t>
      </w:r>
    </w:p>
    <w:p>
      <w:pPr>
        <w:jc w:val="left"/>
        <w:rPr>
          <w:rFonts w:hint="eastAsia" w:eastAsiaTheme="minorEastAsia"/>
          <w:color w:val="auto"/>
          <w:highlight w:val="none"/>
          <w:lang w:eastAsia="zh-CN"/>
        </w:rPr>
      </w:pPr>
      <w:r>
        <w:rPr>
          <w:color w:val="auto"/>
          <w:highlight w:val="none"/>
        </w:rPr>
        <w:t>合同履行期限：</w:t>
      </w:r>
      <w:r>
        <w:rPr>
          <w:rFonts w:hint="eastAsia"/>
          <w:color w:val="auto"/>
          <w:highlight w:val="none"/>
          <w:lang w:eastAsia="zh-CN"/>
        </w:rPr>
        <w:t>自合同签订之日起</w:t>
      </w:r>
      <w:r>
        <w:rPr>
          <w:rFonts w:hint="eastAsia"/>
          <w:color w:val="auto"/>
          <w:highlight w:val="none"/>
          <w:lang w:val="en-US" w:eastAsia="zh-CN"/>
        </w:rPr>
        <w:t>1年</w:t>
      </w:r>
      <w:r>
        <w:rPr>
          <w:rFonts w:hint="eastAsia"/>
          <w:color w:val="auto"/>
          <w:highlight w:val="none"/>
          <w:lang w:eastAsia="zh-CN"/>
        </w:rPr>
        <w:t>。</w:t>
      </w:r>
    </w:p>
    <w:p>
      <w:pPr>
        <w:rPr>
          <w:color w:val="auto"/>
          <w:highlight w:val="none"/>
        </w:rPr>
      </w:pPr>
    </w:p>
    <w:p>
      <w:pPr>
        <w:rPr>
          <w:color w:val="auto"/>
          <w:highlight w:val="none"/>
        </w:rPr>
      </w:pPr>
      <w:r>
        <w:rPr>
          <w:b/>
          <w:color w:val="auto"/>
          <w:sz w:val="28"/>
          <w:highlight w:val="none"/>
        </w:rPr>
        <w:t>二.投标人的资格要求</w:t>
      </w:r>
    </w:p>
    <w:p>
      <w:pPr>
        <w:rPr>
          <w:color w:val="auto"/>
          <w:highlight w:val="none"/>
        </w:rPr>
      </w:pPr>
      <w:r>
        <w:rPr>
          <w:b/>
          <w:color w:val="auto"/>
          <w:sz w:val="24"/>
          <w:highlight w:val="none"/>
        </w:rPr>
        <w:t>1.投标人应具备《中华人民共和国政府采购法》第二十二条规定的条件，提供下列材料：</w:t>
      </w:r>
    </w:p>
    <w:p>
      <w:pPr>
        <w:rPr>
          <w:rFonts w:eastAsia="仿宋_GB2312"/>
          <w:color w:val="auto"/>
          <w:sz w:val="28"/>
          <w:szCs w:val="28"/>
          <w:highlight w:val="none"/>
        </w:rPr>
      </w:pPr>
      <w:r>
        <w:rPr>
          <w:rFonts w:eastAsia="仿宋_GB2312"/>
          <w:color w:val="auto"/>
          <w:sz w:val="28"/>
          <w:szCs w:val="28"/>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rPr>
          <w:rFonts w:eastAsia="仿宋_GB2312"/>
          <w:color w:val="auto"/>
          <w:sz w:val="28"/>
          <w:szCs w:val="28"/>
          <w:highlight w:val="none"/>
        </w:rPr>
      </w:pPr>
      <w:r>
        <w:rPr>
          <w:rFonts w:eastAsia="仿宋_GB2312"/>
          <w:color w:val="auto"/>
          <w:sz w:val="28"/>
          <w:szCs w:val="28"/>
          <w:highlight w:val="none"/>
        </w:rPr>
        <w:t>2）有依法缴纳税收和社会保障资金的良好记录：提供投标截止日前6个月内任意1个月依法缴纳税收和社会保障资金的相关材料。 如依法免税或不需要缴纳社会保障资金的， 提供相应证明材料。</w:t>
      </w:r>
    </w:p>
    <w:p>
      <w:pPr>
        <w:rPr>
          <w:rFonts w:eastAsia="仿宋_GB2312"/>
          <w:color w:val="auto"/>
          <w:sz w:val="28"/>
          <w:szCs w:val="28"/>
          <w:highlight w:val="none"/>
        </w:rPr>
      </w:pPr>
      <w:r>
        <w:rPr>
          <w:rFonts w:eastAsia="仿宋_GB2312"/>
          <w:color w:val="auto"/>
          <w:sz w:val="28"/>
          <w:szCs w:val="28"/>
          <w:highlight w:val="none"/>
        </w:rPr>
        <w:t>3）具有良好的商业信誉和健全的财务会计制度：供应商必须具有良好的商业信誉和健全的财务会计制度（提供2021年度财务状况报告或基本开户行出具的资信证明或专业担保机构出具的投标担保函） 。</w:t>
      </w:r>
    </w:p>
    <w:p>
      <w:pPr>
        <w:rPr>
          <w:rFonts w:eastAsia="仿宋_GB2312"/>
          <w:color w:val="auto"/>
          <w:sz w:val="28"/>
          <w:szCs w:val="28"/>
          <w:highlight w:val="none"/>
        </w:rPr>
      </w:pPr>
      <w:r>
        <w:rPr>
          <w:rFonts w:eastAsia="仿宋_GB2312"/>
          <w:color w:val="auto"/>
          <w:sz w:val="28"/>
          <w:szCs w:val="28"/>
          <w:highlight w:val="none"/>
        </w:rPr>
        <w:t>4）履行合同所必需的设备和专业技术能力：按投标（响应）文件格式填报设备及专业技术能力情况，否则视为不符合。</w:t>
      </w:r>
    </w:p>
    <w:p>
      <w:pPr>
        <w:rPr>
          <w:rFonts w:eastAsia="仿宋_GB2312"/>
          <w:color w:val="auto"/>
          <w:sz w:val="28"/>
          <w:szCs w:val="28"/>
          <w:highlight w:val="none"/>
        </w:rPr>
      </w:pPr>
      <w:r>
        <w:rPr>
          <w:rFonts w:eastAsia="仿宋_GB2312"/>
          <w:color w:val="auto"/>
          <w:sz w:val="28"/>
          <w:szCs w:val="28"/>
          <w:highlight w:val="none"/>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rPr>
          <w:color w:val="auto"/>
          <w:highlight w:val="none"/>
        </w:rPr>
      </w:pPr>
    </w:p>
    <w:p>
      <w:pPr>
        <w:rPr>
          <w:color w:val="auto"/>
          <w:highlight w:val="none"/>
        </w:rPr>
      </w:pPr>
      <w:r>
        <w:rPr>
          <w:b/>
          <w:color w:val="auto"/>
          <w:sz w:val="24"/>
          <w:highlight w:val="none"/>
        </w:rPr>
        <w:t>2.落实政府采购政策需满足的资格要求：</w:t>
      </w:r>
    </w:p>
    <w:p>
      <w:pPr>
        <w:jc w:val="left"/>
        <w:rPr>
          <w:color w:val="auto"/>
          <w:highlight w:val="none"/>
        </w:rPr>
      </w:pPr>
    </w:p>
    <w:p>
      <w:pPr>
        <w:rPr>
          <w:rFonts w:hint="eastAsia" w:eastAsia="仿宋_GB2312"/>
          <w:color w:val="auto"/>
          <w:highlight w:val="none"/>
          <w:lang w:eastAsia="zh-CN"/>
        </w:rPr>
      </w:pPr>
      <w:r>
        <w:rPr>
          <w:rFonts w:hint="eastAsia" w:eastAsia="仿宋_GB2312"/>
          <w:color w:val="auto"/>
          <w:sz w:val="28"/>
          <w:szCs w:val="28"/>
          <w:highlight w:val="none"/>
        </w:rPr>
        <w:t>本项目</w:t>
      </w:r>
      <w:r>
        <w:rPr>
          <w:rFonts w:hint="eastAsia" w:eastAsia="仿宋_GB2312"/>
          <w:color w:val="auto"/>
          <w:sz w:val="28"/>
          <w:szCs w:val="28"/>
          <w:highlight w:val="none"/>
          <w:lang w:eastAsia="zh-CN"/>
        </w:rPr>
        <w:t>不属于</w:t>
      </w:r>
      <w:r>
        <w:rPr>
          <w:rFonts w:hint="eastAsia" w:eastAsia="仿宋_GB2312"/>
          <w:color w:val="auto"/>
          <w:sz w:val="28"/>
          <w:szCs w:val="28"/>
          <w:highlight w:val="none"/>
        </w:rPr>
        <w:t>专门</w:t>
      </w:r>
      <w:r>
        <w:rPr>
          <w:rFonts w:hint="eastAsia" w:eastAsia="仿宋_GB2312"/>
          <w:color w:val="auto"/>
          <w:sz w:val="28"/>
          <w:szCs w:val="28"/>
          <w:highlight w:val="none"/>
          <w:lang w:eastAsia="zh-CN"/>
        </w:rPr>
        <w:t>面向中小</w:t>
      </w:r>
      <w:r>
        <w:rPr>
          <w:rFonts w:hint="eastAsia" w:eastAsia="仿宋_GB2312"/>
          <w:color w:val="auto"/>
          <w:sz w:val="28"/>
          <w:szCs w:val="28"/>
          <w:highlight w:val="none"/>
        </w:rPr>
        <w:t>企业采购的项目</w:t>
      </w:r>
      <w:r>
        <w:rPr>
          <w:rFonts w:hint="eastAsia" w:eastAsia="仿宋_GB2312"/>
          <w:color w:val="auto"/>
          <w:sz w:val="28"/>
          <w:szCs w:val="28"/>
          <w:highlight w:val="none"/>
          <w:lang w:eastAsia="zh-CN"/>
        </w:rPr>
        <w:t>。</w:t>
      </w:r>
    </w:p>
    <w:p>
      <w:pPr>
        <w:rPr>
          <w:color w:val="auto"/>
          <w:highlight w:val="none"/>
        </w:rPr>
      </w:pPr>
      <w:r>
        <w:rPr>
          <w:b/>
          <w:color w:val="auto"/>
          <w:sz w:val="24"/>
          <w:highlight w:val="none"/>
        </w:rPr>
        <w:t>3.本项目特定的资格要求：</w:t>
      </w:r>
    </w:p>
    <w:p>
      <w:pPr>
        <w:rPr>
          <w:color w:val="auto"/>
          <w:highlight w:val="none"/>
        </w:rPr>
      </w:pPr>
    </w:p>
    <w:p>
      <w:pPr>
        <w:rPr>
          <w:rFonts w:eastAsia="仿宋_GB2312"/>
          <w:color w:val="auto"/>
          <w:sz w:val="28"/>
          <w:szCs w:val="28"/>
          <w:highlight w:val="none"/>
        </w:rPr>
      </w:pPr>
      <w:r>
        <w:rPr>
          <w:rFonts w:eastAsia="仿宋_GB2312"/>
          <w:color w:val="auto"/>
          <w:sz w:val="28"/>
          <w:szCs w:val="28"/>
          <w:highlight w:val="none"/>
        </w:rPr>
        <w:t>采购包1（</w:t>
      </w:r>
      <w:r>
        <w:rPr>
          <w:rFonts w:hint="eastAsia" w:eastAsia="仿宋_GB2312"/>
          <w:color w:val="auto"/>
          <w:sz w:val="28"/>
          <w:szCs w:val="28"/>
          <w:highlight w:val="none"/>
          <w:lang w:eastAsia="zh-CN"/>
        </w:rPr>
        <w:t>东莞市司法局万江分局2023年购买社工服务项目</w:t>
      </w:r>
      <w:r>
        <w:rPr>
          <w:rFonts w:eastAsia="仿宋_GB2312"/>
          <w:color w:val="auto"/>
          <w:sz w:val="28"/>
          <w:szCs w:val="28"/>
          <w:highlight w:val="none"/>
        </w:rPr>
        <w:t>）：</w:t>
      </w:r>
    </w:p>
    <w:p>
      <w:pPr>
        <w:rPr>
          <w:rFonts w:eastAsia="仿宋_GB2312"/>
          <w:color w:val="auto"/>
          <w:sz w:val="28"/>
          <w:szCs w:val="28"/>
          <w:highlight w:val="none"/>
        </w:rPr>
      </w:pPr>
      <w:r>
        <w:rPr>
          <w:rFonts w:eastAsia="仿宋_GB2312"/>
          <w:color w:val="auto"/>
          <w:sz w:val="28"/>
          <w:szCs w:val="28"/>
          <w:highlight w:val="none"/>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rPr>
          <w:color w:val="auto"/>
          <w:highlight w:val="none"/>
        </w:rPr>
      </w:pPr>
      <w:r>
        <w:rPr>
          <w:rFonts w:eastAsia="仿宋_GB2312"/>
          <w:color w:val="auto"/>
          <w:sz w:val="28"/>
          <w:szCs w:val="28"/>
          <w:highlight w:val="none"/>
        </w:rPr>
        <w:t xml:space="preserve">2)单位负责人为同一人或者存在直接控股、 管理关系的不同供应商，不得同时参加本采购项目（或采购包） 投标（响应）。 为本项目提供整体设计、 规范编制或者项目管理、 监理、 检测等服务的供应商， 不得再参与本项目投标（响应）。 </w:t>
      </w:r>
    </w:p>
    <w:p>
      <w:pPr>
        <w:rPr>
          <w:color w:val="auto"/>
          <w:highlight w:val="none"/>
        </w:rPr>
      </w:pPr>
      <w:r>
        <w:rPr>
          <w:b/>
          <w:color w:val="auto"/>
          <w:sz w:val="28"/>
          <w:highlight w:val="none"/>
        </w:rPr>
        <w:t>三.获取招标文件</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1、招标文件公告期限：2023年3月1日 至 2023年3月</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日止</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2、招标文件获取网址：中国东莞万江街道栏目。</w:t>
      </w:r>
    </w:p>
    <w:p>
      <w:pPr>
        <w:autoSpaceDE w:val="0"/>
        <w:autoSpaceDN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3、获取招标文件方式：在线获取招标文件以及相关附件，文件均不收费。</w:t>
      </w:r>
    </w:p>
    <w:p>
      <w:pPr>
        <w:autoSpaceDE w:val="0"/>
        <w:autoSpaceDN w:val="0"/>
        <w:spacing w:line="500" w:lineRule="exact"/>
        <w:rPr>
          <w:b/>
          <w:color w:val="auto"/>
          <w:sz w:val="28"/>
          <w:highlight w:val="none"/>
        </w:rPr>
      </w:pPr>
      <w:r>
        <w:rPr>
          <w:rFonts w:hint="eastAsia"/>
          <w:b/>
          <w:color w:val="auto"/>
          <w:sz w:val="28"/>
          <w:highlight w:val="none"/>
        </w:rPr>
        <w:t>四.投标人购买采购文件登记事宜</w:t>
      </w:r>
    </w:p>
    <w:p>
      <w:pPr>
        <w:autoSpaceDE w:val="0"/>
        <w:autoSpaceDN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1.购买时间：</w:t>
      </w:r>
      <w:r>
        <w:rPr>
          <w:rFonts w:hint="eastAsia" w:eastAsia="仿宋_GB2312"/>
          <w:color w:val="auto"/>
          <w:sz w:val="28"/>
          <w:szCs w:val="28"/>
          <w:highlight w:val="none"/>
        </w:rPr>
        <w:t>符合资格的投标人应当在</w:t>
      </w:r>
      <w:r>
        <w:rPr>
          <w:rFonts w:hint="eastAsia" w:ascii="仿宋" w:hAnsi="仿宋" w:eastAsia="仿宋" w:cs="仿宋"/>
          <w:color w:val="auto"/>
          <w:sz w:val="28"/>
          <w:szCs w:val="28"/>
          <w:highlight w:val="none"/>
          <w:lang w:val="en-US" w:eastAsia="zh-CN"/>
        </w:rPr>
        <w:t>2023年3月1日 至 2023年3月9日</w:t>
      </w:r>
      <w:r>
        <w:rPr>
          <w:rFonts w:hint="eastAsia" w:ascii="仿宋" w:hAnsi="仿宋" w:eastAsia="仿宋" w:cs="仿宋"/>
          <w:color w:val="auto"/>
          <w:sz w:val="28"/>
          <w:szCs w:val="28"/>
          <w:highlight w:val="none"/>
        </w:rPr>
        <w:t>止</w:t>
      </w:r>
      <w:r>
        <w:rPr>
          <w:rFonts w:hint="eastAsia" w:eastAsia="仿宋_GB2312"/>
          <w:color w:val="auto"/>
          <w:sz w:val="28"/>
          <w:szCs w:val="28"/>
          <w:highlight w:val="none"/>
        </w:rPr>
        <w:t>（法定节假日除外）</w:t>
      </w:r>
    </w:p>
    <w:p>
      <w:pPr>
        <w:autoSpaceDE w:val="0"/>
        <w:autoSpaceDN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2、登记地点：东莞市万江街道行政办事中心3号楼2楼办公室</w:t>
      </w:r>
    </w:p>
    <w:p>
      <w:pPr>
        <w:autoSpaceDE w:val="0"/>
        <w:autoSpaceDN w:val="0"/>
        <w:spacing w:line="500" w:lineRule="exact"/>
        <w:ind w:firstLine="420" w:firstLineChars="150"/>
        <w:rPr>
          <w:rFonts w:eastAsia="仿宋_GB2312"/>
          <w:color w:val="auto"/>
          <w:sz w:val="28"/>
          <w:szCs w:val="28"/>
          <w:highlight w:val="none"/>
        </w:rPr>
      </w:pPr>
      <w:r>
        <w:rPr>
          <w:rFonts w:hint="eastAsia" w:ascii="仿宋" w:hAnsi="仿宋" w:eastAsia="仿宋" w:cs="仿宋"/>
          <w:color w:val="auto"/>
          <w:sz w:val="28"/>
          <w:szCs w:val="28"/>
          <w:highlight w:val="none"/>
        </w:rPr>
        <w:t>3、</w:t>
      </w:r>
      <w:r>
        <w:rPr>
          <w:rFonts w:hint="eastAsia" w:eastAsia="仿宋_GB2312"/>
          <w:color w:val="auto"/>
          <w:sz w:val="28"/>
          <w:szCs w:val="28"/>
          <w:highlight w:val="none"/>
        </w:rPr>
        <w:t>购买采购文件登记</w:t>
      </w:r>
      <w:r>
        <w:rPr>
          <w:rFonts w:eastAsia="仿宋_GB2312"/>
          <w:color w:val="auto"/>
          <w:sz w:val="28"/>
          <w:szCs w:val="28"/>
          <w:highlight w:val="none"/>
        </w:rPr>
        <w:t>时须提供“</w:t>
      </w:r>
      <w:r>
        <w:rPr>
          <w:rFonts w:eastAsia="仿宋_GB2312"/>
          <w:b/>
          <w:bCs/>
          <w:color w:val="auto"/>
          <w:sz w:val="28"/>
          <w:szCs w:val="28"/>
          <w:highlight w:val="none"/>
        </w:rPr>
        <w:t>万江招投标服务所登记表</w:t>
      </w:r>
      <w:r>
        <w:rPr>
          <w:rFonts w:eastAsia="仿宋_GB2312"/>
          <w:color w:val="auto"/>
          <w:sz w:val="28"/>
          <w:szCs w:val="28"/>
          <w:highlight w:val="none"/>
        </w:rPr>
        <w:t>”和《营业执照》或《事业单位法人证书》复印件（加盖公章）。</w:t>
      </w:r>
    </w:p>
    <w:p>
      <w:pPr>
        <w:autoSpaceDE w:val="0"/>
        <w:autoSpaceDN w:val="0"/>
        <w:spacing w:line="500" w:lineRule="exact"/>
        <w:rPr>
          <w:color w:val="auto"/>
          <w:highlight w:val="none"/>
        </w:rPr>
      </w:pPr>
      <w:r>
        <w:rPr>
          <w:rFonts w:eastAsia="仿宋_GB2312"/>
          <w:b/>
          <w:bCs/>
          <w:color w:val="auto"/>
          <w:sz w:val="28"/>
          <w:szCs w:val="28"/>
          <w:highlight w:val="none"/>
        </w:rPr>
        <w:t>注： 如“三证合一”的营业执照，则不需要提供税务登记证和组织机构代码证。</w:t>
      </w:r>
    </w:p>
    <w:p>
      <w:pPr>
        <w:autoSpaceDE w:val="0"/>
        <w:autoSpaceDN w:val="0"/>
        <w:spacing w:line="500" w:lineRule="exact"/>
        <w:rPr>
          <w:b/>
          <w:color w:val="auto"/>
          <w:sz w:val="28"/>
          <w:highlight w:val="none"/>
        </w:rPr>
      </w:pPr>
      <w:r>
        <w:rPr>
          <w:rFonts w:hint="eastAsia"/>
          <w:b/>
          <w:color w:val="auto"/>
          <w:sz w:val="28"/>
          <w:highlight w:val="none"/>
        </w:rPr>
        <w:t>五.</w:t>
      </w:r>
      <w:r>
        <w:rPr>
          <w:b/>
          <w:color w:val="auto"/>
          <w:sz w:val="28"/>
          <w:highlight w:val="none"/>
        </w:rPr>
        <w:t xml:space="preserve"> 提交投标文件截止时间、开标时间和地点</w:t>
      </w:r>
    </w:p>
    <w:p>
      <w:pPr>
        <w:autoSpaceDE w:val="0"/>
        <w:autoSpaceDN w:val="0"/>
        <w:spacing w:line="50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1、递交投标文件开始时间：20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日上午9:</w:t>
      </w:r>
      <w:r>
        <w:rPr>
          <w:rFonts w:hint="eastAsia" w:ascii="仿宋" w:hAnsi="仿宋" w:eastAsia="仿宋" w:cs="仿宋"/>
          <w:color w:val="auto"/>
          <w:sz w:val="28"/>
          <w:szCs w:val="28"/>
          <w:highlight w:val="none"/>
          <w:lang w:val="en-US" w:eastAsia="zh-CN"/>
        </w:rPr>
        <w:t>00时</w:t>
      </w:r>
    </w:p>
    <w:p>
      <w:pPr>
        <w:spacing w:line="500" w:lineRule="exact"/>
        <w:ind w:firstLine="588" w:firstLineChars="21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递交投标文件截止及开标时间：20</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日上午9:30时</w:t>
      </w:r>
    </w:p>
    <w:p>
      <w:pPr>
        <w:spacing w:line="500" w:lineRule="exact"/>
        <w:ind w:firstLine="590" w:firstLineChars="21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(逾期送达或未按招标文件要求密封的投标文件恕不接收。)</w:t>
      </w:r>
    </w:p>
    <w:p>
      <w:pPr>
        <w:spacing w:line="500" w:lineRule="exact"/>
        <w:ind w:firstLine="588" w:firstLineChars="21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2、递交投标文件及开标地点：东莞市万江街道行政办事中心3号楼1楼会议室。</w:t>
      </w:r>
    </w:p>
    <w:p>
      <w:pPr>
        <w:spacing w:line="50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b/>
          <w:bCs/>
          <w:color w:val="auto"/>
          <w:sz w:val="28"/>
          <w:szCs w:val="28"/>
          <w:highlight w:val="none"/>
        </w:rPr>
        <w:t>签到事宜：</w:t>
      </w:r>
    </w:p>
    <w:p>
      <w:pPr>
        <w:spacing w:line="50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3.1 投标人的法定代表人参加的，需携带有效身份证明签名报到；</w:t>
      </w:r>
    </w:p>
    <w:p>
      <w:pPr>
        <w:spacing w:line="50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3.2 非法定代表人参加的，需携带有效身份证明，并在签到时向招标所现场工作人员提供法定代表人授权委托书原件。</w:t>
      </w:r>
    </w:p>
    <w:p>
      <w:pPr>
        <w:autoSpaceDE w:val="0"/>
        <w:autoSpaceDN w:val="0"/>
        <w:spacing w:line="500" w:lineRule="exact"/>
        <w:rPr>
          <w:rFonts w:ascii="仿宋" w:hAnsi="仿宋" w:eastAsia="仿宋" w:cs="仿宋"/>
          <w:color w:val="auto"/>
          <w:sz w:val="28"/>
          <w:szCs w:val="28"/>
          <w:highlight w:val="none"/>
        </w:rPr>
      </w:pPr>
      <w:r>
        <w:rPr>
          <w:rFonts w:hint="eastAsia"/>
          <w:b/>
          <w:color w:val="auto"/>
          <w:sz w:val="28"/>
          <w:highlight w:val="none"/>
        </w:rPr>
        <w:t>六</w:t>
      </w:r>
      <w:r>
        <w:rPr>
          <w:b/>
          <w:color w:val="auto"/>
          <w:sz w:val="28"/>
          <w:highlight w:val="none"/>
        </w:rPr>
        <w:t>.</w:t>
      </w:r>
      <w:r>
        <w:rPr>
          <w:rFonts w:hint="eastAsia" w:ascii="仿宋" w:hAnsi="仿宋" w:eastAsia="仿宋" w:cs="仿宋"/>
          <w:color w:val="auto"/>
          <w:sz w:val="28"/>
          <w:szCs w:val="28"/>
          <w:highlight w:val="none"/>
        </w:rPr>
        <w:t xml:space="preserve"> </w:t>
      </w:r>
      <w:r>
        <w:rPr>
          <w:rFonts w:hint="eastAsia"/>
          <w:b/>
          <w:color w:val="auto"/>
          <w:sz w:val="28"/>
          <w:highlight w:val="none"/>
        </w:rPr>
        <w:t>投标保证金事宜</w:t>
      </w:r>
    </w:p>
    <w:p>
      <w:pPr>
        <w:autoSpaceDE w:val="0"/>
        <w:autoSpaceDN w:val="0"/>
        <w:spacing w:line="500" w:lineRule="exact"/>
        <w:ind w:firstLine="562" w:firstLineChars="200"/>
        <w:rPr>
          <w:rFonts w:ascii="仿宋" w:hAnsi="仿宋" w:eastAsia="仿宋" w:cs="仿宋"/>
          <w:color w:val="auto"/>
          <w:highlight w:val="none"/>
        </w:rPr>
      </w:pPr>
      <w:r>
        <w:rPr>
          <w:rFonts w:hint="eastAsia" w:ascii="仿宋" w:hAnsi="仿宋" w:eastAsia="仿宋" w:cs="仿宋"/>
          <w:b/>
          <w:bCs/>
          <w:color w:val="auto"/>
          <w:sz w:val="28"/>
          <w:szCs w:val="28"/>
          <w:highlight w:val="none"/>
        </w:rPr>
        <w:t>本项目不收取投标保证金。</w:t>
      </w:r>
    </w:p>
    <w:p>
      <w:pPr>
        <w:rPr>
          <w:b/>
          <w:color w:val="auto"/>
          <w:sz w:val="28"/>
          <w:highlight w:val="none"/>
        </w:rPr>
      </w:pPr>
      <w:r>
        <w:rPr>
          <w:rFonts w:hint="eastAsia"/>
          <w:b/>
          <w:color w:val="auto"/>
          <w:sz w:val="28"/>
          <w:highlight w:val="none"/>
        </w:rPr>
        <w:t>七</w:t>
      </w:r>
      <w:r>
        <w:rPr>
          <w:b/>
          <w:color w:val="auto"/>
          <w:sz w:val="28"/>
          <w:highlight w:val="none"/>
        </w:rPr>
        <w:t>.本项目联系方式：</w:t>
      </w:r>
    </w:p>
    <w:p>
      <w:pPr>
        <w:rPr>
          <w:color w:val="auto"/>
          <w:highlight w:val="none"/>
        </w:rPr>
      </w:pPr>
      <w:r>
        <w:rPr>
          <w:b/>
          <w:color w:val="auto"/>
          <w:sz w:val="24"/>
          <w:highlight w:val="none"/>
        </w:rPr>
        <w:t>1.采购人信息</w:t>
      </w:r>
    </w:p>
    <w:p>
      <w:pPr>
        <w:ind w:firstLine="480"/>
        <w:rPr>
          <w:rFonts w:hint="eastAsia" w:ascii="仿宋" w:hAnsi="仿宋" w:eastAsia="仿宋" w:cs="仿宋"/>
          <w:color w:val="auto"/>
          <w:sz w:val="28"/>
          <w:szCs w:val="28"/>
          <w:highlight w:val="none"/>
          <w:lang w:eastAsia="zh-CN"/>
        </w:rPr>
      </w:pPr>
      <w:r>
        <w:rPr>
          <w:rFonts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东莞市司法局万江分局</w:t>
      </w:r>
    </w:p>
    <w:p>
      <w:pPr>
        <w:ind w:firstLine="480"/>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地址：</w:t>
      </w:r>
      <w:r>
        <w:rPr>
          <w:rFonts w:hint="eastAsia" w:ascii="仿宋" w:hAnsi="仿宋" w:eastAsia="仿宋" w:cs="仿宋"/>
          <w:color w:val="auto"/>
          <w:sz w:val="28"/>
          <w:szCs w:val="28"/>
          <w:highlight w:val="none"/>
        </w:rPr>
        <w:t>东莞市万江街道沿江东路46号法治惠民中心1栋1楼</w:t>
      </w:r>
    </w:p>
    <w:p>
      <w:pPr>
        <w:ind w:firstLine="480"/>
        <w:rPr>
          <w:rFonts w:ascii="仿宋" w:hAnsi="仿宋" w:eastAsia="仿宋" w:cs="仿宋"/>
          <w:color w:val="auto"/>
          <w:sz w:val="28"/>
          <w:szCs w:val="28"/>
          <w:highlight w:val="none"/>
        </w:rPr>
      </w:pPr>
      <w:r>
        <w:rPr>
          <w:rFonts w:ascii="仿宋" w:hAnsi="仿宋" w:eastAsia="仿宋" w:cs="仿宋"/>
          <w:color w:val="auto"/>
          <w:sz w:val="28"/>
          <w:szCs w:val="28"/>
          <w:highlight w:val="none"/>
        </w:rPr>
        <w:t>联系方式：（0769）22718108</w:t>
      </w:r>
    </w:p>
    <w:p>
      <w:pPr>
        <w:rPr>
          <w:color w:val="auto"/>
          <w:highlight w:val="none"/>
        </w:rPr>
      </w:pPr>
      <w:r>
        <w:rPr>
          <w:b/>
          <w:color w:val="auto"/>
          <w:sz w:val="24"/>
          <w:highlight w:val="none"/>
        </w:rPr>
        <w:t>2.采购代理机构信息</w:t>
      </w:r>
    </w:p>
    <w:p>
      <w:pPr>
        <w:ind w:firstLine="480"/>
        <w:rPr>
          <w:rFonts w:ascii="仿宋" w:hAnsi="仿宋" w:eastAsia="仿宋" w:cs="仿宋"/>
          <w:color w:val="auto"/>
          <w:sz w:val="28"/>
          <w:szCs w:val="28"/>
          <w:highlight w:val="none"/>
        </w:rPr>
      </w:pPr>
      <w:r>
        <w:rPr>
          <w:rFonts w:ascii="仿宋" w:hAnsi="仿宋" w:eastAsia="仿宋" w:cs="仿宋"/>
          <w:color w:val="auto"/>
          <w:sz w:val="28"/>
          <w:szCs w:val="28"/>
          <w:highlight w:val="none"/>
        </w:rPr>
        <w:t>名称：东莞市万江招投标服务所</w:t>
      </w:r>
    </w:p>
    <w:p>
      <w:pPr>
        <w:ind w:firstLine="480"/>
        <w:rPr>
          <w:rFonts w:ascii="仿宋" w:hAnsi="仿宋" w:eastAsia="仿宋" w:cs="仿宋"/>
          <w:color w:val="auto"/>
          <w:sz w:val="28"/>
          <w:szCs w:val="28"/>
          <w:highlight w:val="none"/>
        </w:rPr>
      </w:pPr>
      <w:r>
        <w:rPr>
          <w:rFonts w:ascii="仿宋" w:hAnsi="仿宋" w:eastAsia="仿宋" w:cs="仿宋"/>
          <w:color w:val="auto"/>
          <w:sz w:val="28"/>
          <w:szCs w:val="28"/>
          <w:highlight w:val="none"/>
        </w:rPr>
        <w:t>地址：东莞市万江街道徐屋街10号行政办事中心3号楼2楼办公室</w:t>
      </w:r>
    </w:p>
    <w:p>
      <w:pPr>
        <w:ind w:firstLine="480"/>
        <w:rPr>
          <w:rFonts w:ascii="仿宋" w:hAnsi="仿宋" w:eastAsia="仿宋" w:cs="仿宋"/>
          <w:color w:val="auto"/>
          <w:sz w:val="28"/>
          <w:szCs w:val="28"/>
          <w:highlight w:val="none"/>
        </w:rPr>
      </w:pPr>
      <w:r>
        <w:rPr>
          <w:rFonts w:ascii="仿宋" w:hAnsi="仿宋" w:eastAsia="仿宋" w:cs="仿宋"/>
          <w:color w:val="auto"/>
          <w:sz w:val="28"/>
          <w:szCs w:val="28"/>
          <w:highlight w:val="none"/>
        </w:rPr>
        <w:t>联系方式：（0769）21661806</w:t>
      </w:r>
    </w:p>
    <w:p>
      <w:pPr>
        <w:rPr>
          <w:color w:val="auto"/>
          <w:highlight w:val="none"/>
        </w:rPr>
      </w:pPr>
      <w:r>
        <w:rPr>
          <w:b/>
          <w:color w:val="auto"/>
          <w:sz w:val="24"/>
          <w:highlight w:val="none"/>
        </w:rPr>
        <w:t>3.项目联系方式</w:t>
      </w:r>
    </w:p>
    <w:p>
      <w:pPr>
        <w:ind w:firstLine="480"/>
        <w:rPr>
          <w:rFonts w:hint="eastAsia" w:ascii="仿宋" w:hAnsi="仿宋" w:eastAsia="仿宋" w:cs="仿宋"/>
          <w:color w:val="auto"/>
          <w:sz w:val="28"/>
          <w:szCs w:val="28"/>
          <w:highlight w:val="none"/>
          <w:lang w:eastAsia="zh-CN"/>
        </w:rPr>
      </w:pPr>
      <w:r>
        <w:rPr>
          <w:rFonts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eastAsia="zh-CN"/>
        </w:rPr>
        <w:t>李小姐</w:t>
      </w:r>
    </w:p>
    <w:p>
      <w:pPr>
        <w:ind w:firstLine="480"/>
        <w:rPr>
          <w:rFonts w:ascii="仿宋" w:hAnsi="仿宋" w:eastAsia="仿宋" w:cs="仿宋"/>
          <w:color w:val="auto"/>
          <w:sz w:val="28"/>
          <w:szCs w:val="28"/>
          <w:highlight w:val="none"/>
        </w:rPr>
      </w:pPr>
      <w:r>
        <w:rPr>
          <w:rFonts w:ascii="仿宋" w:hAnsi="仿宋" w:eastAsia="仿宋" w:cs="仿宋"/>
          <w:color w:val="auto"/>
          <w:sz w:val="28"/>
          <w:szCs w:val="28"/>
          <w:highlight w:val="none"/>
        </w:rPr>
        <w:t>电话：（0769）21661806</w:t>
      </w:r>
    </w:p>
    <w:p>
      <w:pPr>
        <w:ind w:firstLine="480"/>
        <w:rPr>
          <w:b/>
          <w:color w:val="auto"/>
          <w:sz w:val="24"/>
          <w:highlight w:val="none"/>
        </w:rPr>
      </w:pPr>
    </w:p>
    <w:p>
      <w:pPr>
        <w:ind w:firstLine="480"/>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color w:val="auto"/>
          <w:highlight w:val="none"/>
        </w:rPr>
      </w:pPr>
    </w:p>
    <w:p>
      <w:pPr>
        <w:jc w:val="center"/>
        <w:rPr>
          <w:b/>
          <w:color w:val="auto"/>
          <w:sz w:val="36"/>
          <w:highlight w:val="none"/>
        </w:rPr>
      </w:pPr>
    </w:p>
    <w:p>
      <w:pPr>
        <w:jc w:val="center"/>
        <w:rPr>
          <w:b/>
          <w:color w:val="auto"/>
          <w:sz w:val="36"/>
          <w:highlight w:val="none"/>
        </w:rPr>
      </w:pPr>
    </w:p>
    <w:p>
      <w:pPr>
        <w:jc w:val="center"/>
        <w:rPr>
          <w:b/>
          <w:color w:val="auto"/>
          <w:sz w:val="36"/>
          <w:highlight w:val="none"/>
        </w:rPr>
      </w:pPr>
    </w:p>
    <w:p>
      <w:pPr>
        <w:jc w:val="center"/>
        <w:rPr>
          <w:color w:val="auto"/>
          <w:highlight w:val="none"/>
        </w:rPr>
      </w:pPr>
      <w:r>
        <w:rPr>
          <w:b/>
          <w:color w:val="auto"/>
          <w:sz w:val="36"/>
          <w:highlight w:val="none"/>
        </w:rPr>
        <w:t>第二章 采购需求</w:t>
      </w:r>
    </w:p>
    <w:p>
      <w:pPr>
        <w:rPr>
          <w:color w:val="auto"/>
          <w:highlight w:val="none"/>
        </w:rPr>
      </w:pPr>
      <w:r>
        <w:rPr>
          <w:rFonts w:hint="eastAsia"/>
          <w:b/>
          <w:color w:val="auto"/>
          <w:sz w:val="28"/>
          <w:highlight w:val="none"/>
          <w:lang w:eastAsia="zh-CN"/>
        </w:rPr>
        <w:t>一</w:t>
      </w:r>
      <w:r>
        <w:rPr>
          <w:b/>
          <w:color w:val="auto"/>
          <w:sz w:val="28"/>
          <w:highlight w:val="none"/>
        </w:rPr>
        <w:t>、项目清单</w:t>
      </w:r>
    </w:p>
    <w:p>
      <w:pPr>
        <w:spacing w:line="480" w:lineRule="exact"/>
        <w:rPr>
          <w:rFonts w:ascii="仿宋" w:hAnsi="仿宋" w:eastAsia="仿宋"/>
          <w:color w:val="auto"/>
          <w:sz w:val="24"/>
          <w:highlight w:val="none"/>
        </w:rPr>
      </w:pPr>
      <w:r>
        <w:rPr>
          <w:rFonts w:hint="eastAsia" w:ascii="仿宋" w:hAnsi="仿宋" w:eastAsia="仿宋"/>
          <w:color w:val="auto"/>
          <w:sz w:val="24"/>
          <w:highlight w:val="none"/>
        </w:rPr>
        <w:t>注：1.用户需求书中标注“■”号的内容为采购的主要标的（核心产品）。</w:t>
      </w:r>
    </w:p>
    <w:p>
      <w:pPr>
        <w:autoSpaceDE w:val="0"/>
        <w:autoSpaceDN w:val="0"/>
        <w:adjustRightInd w:val="0"/>
        <w:spacing w:line="480" w:lineRule="exact"/>
        <w:rPr>
          <w:rFonts w:ascii="仿宋" w:hAnsi="仿宋" w:eastAsia="仿宋"/>
          <w:color w:val="auto"/>
          <w:sz w:val="24"/>
          <w:highlight w:val="none"/>
        </w:rPr>
      </w:pPr>
      <w:r>
        <w:rPr>
          <w:rFonts w:hint="eastAsia" w:ascii="仿宋" w:hAnsi="仿宋" w:eastAsia="仿宋"/>
          <w:color w:val="auto"/>
          <w:sz w:val="24"/>
          <w:highlight w:val="none"/>
        </w:rPr>
        <w:t>2.在《用户需求书》中所提供的货物参数要求，其目的仅仅是为了使投标人更加准确地了解招标要求，不构成对投标单位所报品牌的任何约束；投标人所投货物参数应不低于《用户需求书》中的要求。</w:t>
      </w:r>
    </w:p>
    <w:p>
      <w:pPr>
        <w:rPr>
          <w:rFonts w:hint="eastAsia"/>
          <w:b/>
          <w:color w:val="auto"/>
          <w:sz w:val="28"/>
          <w:highlight w:val="none"/>
          <w:lang w:val="en-US" w:eastAsia="zh-CN"/>
        </w:rPr>
      </w:pPr>
      <w:r>
        <w:rPr>
          <w:rFonts w:hint="eastAsia"/>
          <w:b/>
          <w:color w:val="auto"/>
          <w:sz w:val="28"/>
          <w:highlight w:val="none"/>
          <w:lang w:val="en-US" w:eastAsia="zh-CN"/>
        </w:rPr>
        <w:t>二、采购清单</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0"/>
        <w:gridCol w:w="1692"/>
        <w:gridCol w:w="638"/>
        <w:gridCol w:w="1060"/>
        <w:gridCol w:w="2325"/>
        <w:gridCol w:w="14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0" w:type="auto"/>
            <w:vAlign w:val="center"/>
          </w:tcPr>
          <w:p>
            <w:pPr>
              <w:jc w:val="center"/>
              <w:rPr>
                <w:b/>
                <w:color w:val="auto"/>
                <w:highlight w:val="none"/>
              </w:rPr>
            </w:pPr>
            <w:r>
              <w:rPr>
                <w:rFonts w:hint="eastAsia"/>
                <w:b/>
                <w:color w:val="auto"/>
                <w:highlight w:val="none"/>
              </w:rPr>
              <w:t>采购标的</w:t>
            </w:r>
          </w:p>
        </w:tc>
        <w:tc>
          <w:tcPr>
            <w:tcW w:w="0" w:type="auto"/>
            <w:vAlign w:val="center"/>
          </w:tcPr>
          <w:p>
            <w:pPr>
              <w:jc w:val="center"/>
              <w:rPr>
                <w:b/>
                <w:color w:val="auto"/>
                <w:highlight w:val="none"/>
              </w:rPr>
            </w:pPr>
            <w:r>
              <w:rPr>
                <w:rFonts w:hint="eastAsia"/>
                <w:b/>
                <w:color w:val="auto"/>
                <w:highlight w:val="none"/>
              </w:rPr>
              <w:t>预算单价（元）</w:t>
            </w:r>
          </w:p>
        </w:tc>
        <w:tc>
          <w:tcPr>
            <w:tcW w:w="0" w:type="auto"/>
            <w:vAlign w:val="center"/>
          </w:tcPr>
          <w:p>
            <w:pPr>
              <w:jc w:val="center"/>
              <w:rPr>
                <w:b/>
                <w:color w:val="auto"/>
                <w:highlight w:val="none"/>
              </w:rPr>
            </w:pPr>
            <w:r>
              <w:rPr>
                <w:b/>
                <w:color w:val="auto"/>
                <w:highlight w:val="none"/>
              </w:rPr>
              <w:t>数量</w:t>
            </w:r>
          </w:p>
        </w:tc>
        <w:tc>
          <w:tcPr>
            <w:tcW w:w="0" w:type="auto"/>
            <w:vAlign w:val="center"/>
          </w:tcPr>
          <w:p>
            <w:pPr>
              <w:jc w:val="center"/>
              <w:rPr>
                <w:b/>
                <w:color w:val="auto"/>
                <w:highlight w:val="none"/>
              </w:rPr>
            </w:pPr>
            <w:r>
              <w:rPr>
                <w:rFonts w:hint="eastAsia"/>
                <w:b/>
                <w:color w:val="auto"/>
                <w:highlight w:val="none"/>
              </w:rPr>
              <w:t>计量单位</w:t>
            </w:r>
          </w:p>
        </w:tc>
        <w:tc>
          <w:tcPr>
            <w:tcW w:w="0" w:type="auto"/>
            <w:vAlign w:val="center"/>
          </w:tcPr>
          <w:p>
            <w:pPr>
              <w:jc w:val="center"/>
              <w:rPr>
                <w:b/>
                <w:color w:val="auto"/>
                <w:highlight w:val="none"/>
              </w:rPr>
            </w:pPr>
            <w:r>
              <w:rPr>
                <w:b/>
                <w:color w:val="auto"/>
                <w:highlight w:val="none"/>
              </w:rPr>
              <w:t>技术规格、参数及要求</w:t>
            </w:r>
          </w:p>
        </w:tc>
        <w:tc>
          <w:tcPr>
            <w:tcW w:w="0" w:type="auto"/>
            <w:vAlign w:val="center"/>
          </w:tcPr>
          <w:p>
            <w:pPr>
              <w:jc w:val="center"/>
              <w:rPr>
                <w:b/>
                <w:color w:val="auto"/>
                <w:highlight w:val="none"/>
              </w:rPr>
            </w:pPr>
            <w:r>
              <w:rPr>
                <w:b/>
                <w:color w:val="auto"/>
                <w:highlight w:val="none"/>
              </w:rPr>
              <w:t>品目预算(元)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0" w:type="auto"/>
            <w:vAlign w:val="center"/>
          </w:tcPr>
          <w:p>
            <w:pPr>
              <w:jc w:val="center"/>
              <w:rPr>
                <w:rFonts w:hint="eastAsia"/>
                <w:b/>
                <w:color w:val="auto"/>
                <w:highlight w:val="none"/>
              </w:rPr>
            </w:pPr>
            <w:r>
              <w:rPr>
                <w:rFonts w:hint="eastAsia"/>
                <w:color w:val="auto"/>
                <w:highlight w:val="none"/>
                <w:lang w:eastAsia="zh-CN"/>
              </w:rPr>
              <w:t>社工服务</w:t>
            </w:r>
          </w:p>
        </w:tc>
        <w:tc>
          <w:tcPr>
            <w:tcW w:w="0" w:type="auto"/>
            <w:vAlign w:val="center"/>
          </w:tcPr>
          <w:p>
            <w:pPr>
              <w:jc w:val="center"/>
              <w:rPr>
                <w:rFonts w:hint="eastAsia"/>
                <w:b/>
                <w:color w:val="auto"/>
                <w:highlight w:val="none"/>
              </w:rPr>
            </w:pPr>
            <w:r>
              <w:rPr>
                <w:rFonts w:hint="eastAsia"/>
                <w:color w:val="auto"/>
                <w:highlight w:val="none"/>
                <w:lang w:eastAsia="zh-CN"/>
              </w:rPr>
              <w:t>792,000.00</w:t>
            </w:r>
          </w:p>
        </w:tc>
        <w:tc>
          <w:tcPr>
            <w:tcW w:w="0" w:type="auto"/>
            <w:vAlign w:val="center"/>
          </w:tcPr>
          <w:p>
            <w:pPr>
              <w:jc w:val="center"/>
              <w:rPr>
                <w:rFonts w:hint="eastAsia" w:eastAsiaTheme="minorEastAsia"/>
                <w:b/>
                <w:color w:val="auto"/>
                <w:highlight w:val="none"/>
                <w:lang w:val="en-US" w:eastAsia="zh-CN"/>
              </w:rPr>
            </w:pPr>
            <w:r>
              <w:rPr>
                <w:rFonts w:hint="eastAsia"/>
                <w:b/>
                <w:color w:val="auto"/>
                <w:highlight w:val="none"/>
                <w:lang w:val="en-US" w:eastAsia="zh-CN"/>
              </w:rPr>
              <w:t>1</w:t>
            </w:r>
          </w:p>
        </w:tc>
        <w:tc>
          <w:tcPr>
            <w:tcW w:w="0" w:type="auto"/>
            <w:vAlign w:val="center"/>
          </w:tcPr>
          <w:p>
            <w:pPr>
              <w:jc w:val="center"/>
              <w:rPr>
                <w:rFonts w:hint="eastAsia" w:eastAsiaTheme="minorEastAsia"/>
                <w:b/>
                <w:color w:val="auto"/>
                <w:highlight w:val="none"/>
                <w:lang w:val="en-US" w:eastAsia="zh-CN"/>
              </w:rPr>
            </w:pPr>
            <w:r>
              <w:rPr>
                <w:rFonts w:hint="eastAsia"/>
                <w:b/>
                <w:color w:val="auto"/>
                <w:highlight w:val="none"/>
                <w:lang w:val="en-US" w:eastAsia="zh-CN"/>
              </w:rPr>
              <w:t>项</w:t>
            </w:r>
          </w:p>
        </w:tc>
        <w:tc>
          <w:tcPr>
            <w:tcW w:w="0" w:type="auto"/>
            <w:vAlign w:val="center"/>
          </w:tcPr>
          <w:p>
            <w:pPr>
              <w:jc w:val="center"/>
              <w:rPr>
                <w:rFonts w:hint="eastAsia" w:eastAsiaTheme="minorEastAsia"/>
                <w:b/>
                <w:color w:val="auto"/>
                <w:highlight w:val="none"/>
                <w:lang w:eastAsia="zh-CN"/>
              </w:rPr>
            </w:pPr>
            <w:r>
              <w:rPr>
                <w:rFonts w:hint="eastAsia"/>
                <w:b/>
                <w:color w:val="auto"/>
                <w:highlight w:val="none"/>
                <w:lang w:eastAsia="zh-CN"/>
              </w:rPr>
              <w:t>详见招标文件</w:t>
            </w:r>
          </w:p>
        </w:tc>
        <w:tc>
          <w:tcPr>
            <w:tcW w:w="0" w:type="auto"/>
            <w:vAlign w:val="center"/>
          </w:tcPr>
          <w:p>
            <w:pPr>
              <w:jc w:val="center"/>
              <w:rPr>
                <w:b/>
                <w:color w:val="auto"/>
                <w:highlight w:val="none"/>
              </w:rPr>
            </w:pPr>
            <w:r>
              <w:rPr>
                <w:rFonts w:hint="eastAsia"/>
                <w:color w:val="auto"/>
                <w:highlight w:val="none"/>
                <w:lang w:eastAsia="zh-CN"/>
              </w:rPr>
              <w:t>792,000.00</w:t>
            </w:r>
          </w:p>
        </w:tc>
      </w:tr>
    </w:tbl>
    <w:p>
      <w:pPr>
        <w:jc w:val="left"/>
        <w:rPr>
          <w:b/>
          <w:color w:val="auto"/>
          <w:sz w:val="28"/>
          <w:highlight w:val="none"/>
        </w:rPr>
      </w:pPr>
      <w:r>
        <w:rPr>
          <w:rFonts w:hint="eastAsia"/>
          <w:b/>
          <w:color w:val="auto"/>
          <w:sz w:val="28"/>
          <w:highlight w:val="none"/>
        </w:rPr>
        <w:t>三</w:t>
      </w:r>
      <w:r>
        <w:rPr>
          <w:b/>
          <w:color w:val="auto"/>
          <w:sz w:val="28"/>
          <w:highlight w:val="none"/>
        </w:rPr>
        <w:t>、</w:t>
      </w:r>
      <w:r>
        <w:rPr>
          <w:rFonts w:hint="eastAsia"/>
          <w:b/>
          <w:color w:val="auto"/>
          <w:sz w:val="28"/>
          <w:highlight w:val="none"/>
        </w:rPr>
        <w:t>主要</w:t>
      </w:r>
      <w:r>
        <w:rPr>
          <w:b/>
          <w:color w:val="auto"/>
          <w:sz w:val="28"/>
          <w:highlight w:val="none"/>
        </w:rPr>
        <w:t>技术参数</w:t>
      </w:r>
    </w:p>
    <w:p>
      <w:pPr>
        <w:adjustRightInd w:val="0"/>
        <w:spacing w:line="400" w:lineRule="exact"/>
        <w:outlineLvl w:val="0"/>
        <w:rPr>
          <w:rFonts w:hint="eastAsia"/>
          <w:b/>
          <w:color w:val="auto"/>
          <w:kern w:val="28"/>
          <w:highlight w:val="none"/>
        </w:rPr>
      </w:pPr>
      <w:r>
        <w:rPr>
          <w:rFonts w:hint="eastAsia"/>
          <w:b/>
          <w:color w:val="auto"/>
          <w:kern w:val="28"/>
          <w:highlight w:val="none"/>
          <w:lang w:val="en-US" w:eastAsia="zh-CN"/>
        </w:rPr>
        <w:t>1</w:t>
      </w:r>
      <w:r>
        <w:rPr>
          <w:rFonts w:hint="eastAsia"/>
          <w:b/>
          <w:color w:val="auto"/>
          <w:kern w:val="28"/>
          <w:highlight w:val="none"/>
        </w:rPr>
        <w:t>、服务目的</w:t>
      </w:r>
    </w:p>
    <w:p>
      <w:pPr>
        <w:spacing w:line="400" w:lineRule="exact"/>
        <w:ind w:firstLine="420" w:firstLineChars="200"/>
        <w:outlineLvl w:val="0"/>
        <w:rPr>
          <w:bCs/>
          <w:color w:val="auto"/>
          <w:kern w:val="28"/>
          <w:highlight w:val="none"/>
        </w:rPr>
      </w:pPr>
      <w:r>
        <w:rPr>
          <w:rFonts w:hint="eastAsia"/>
          <w:bCs/>
          <w:color w:val="auto"/>
          <w:kern w:val="28"/>
          <w:highlight w:val="none"/>
        </w:rPr>
        <w:t>运用社会工作者的专业力量，助力提高社区矫正、安置帮教等工作的整体成效。</w:t>
      </w:r>
    </w:p>
    <w:p>
      <w:pPr>
        <w:spacing w:line="400" w:lineRule="exact"/>
        <w:outlineLvl w:val="0"/>
        <w:rPr>
          <w:b/>
          <w:color w:val="auto"/>
          <w:kern w:val="28"/>
          <w:highlight w:val="none"/>
        </w:rPr>
      </w:pPr>
      <w:r>
        <w:rPr>
          <w:rFonts w:hint="eastAsia"/>
          <w:b/>
          <w:color w:val="auto"/>
          <w:kern w:val="28"/>
          <w:highlight w:val="none"/>
          <w:lang w:val="en-US" w:eastAsia="zh-CN"/>
        </w:rPr>
        <w:t>2</w:t>
      </w:r>
      <w:r>
        <w:rPr>
          <w:rFonts w:hint="eastAsia"/>
          <w:b/>
          <w:color w:val="auto"/>
          <w:kern w:val="28"/>
          <w:highlight w:val="none"/>
        </w:rPr>
        <w:t>、服务群体</w:t>
      </w:r>
    </w:p>
    <w:p>
      <w:pPr>
        <w:spacing w:line="400" w:lineRule="exact"/>
        <w:ind w:firstLine="420" w:firstLineChars="200"/>
        <w:rPr>
          <w:rFonts w:hint="eastAsia"/>
          <w:bCs/>
          <w:color w:val="auto"/>
          <w:kern w:val="28"/>
          <w:highlight w:val="none"/>
        </w:rPr>
      </w:pPr>
      <w:r>
        <w:rPr>
          <w:rFonts w:hint="eastAsia"/>
          <w:bCs/>
          <w:color w:val="auto"/>
          <w:kern w:val="28"/>
          <w:highlight w:val="none"/>
        </w:rPr>
        <w:t>主要</w:t>
      </w:r>
      <w:r>
        <w:rPr>
          <w:bCs/>
          <w:color w:val="auto"/>
          <w:kern w:val="28"/>
          <w:highlight w:val="none"/>
        </w:rPr>
        <w:t>服务</w:t>
      </w:r>
      <w:r>
        <w:rPr>
          <w:rFonts w:hint="eastAsia"/>
          <w:bCs/>
          <w:color w:val="auto"/>
          <w:kern w:val="28"/>
          <w:highlight w:val="none"/>
        </w:rPr>
        <w:t>社区矫正人员、安置帮教人员</w:t>
      </w:r>
      <w:r>
        <w:rPr>
          <w:bCs/>
          <w:color w:val="auto"/>
          <w:kern w:val="28"/>
          <w:highlight w:val="none"/>
        </w:rPr>
        <w:t>等</w:t>
      </w:r>
      <w:r>
        <w:rPr>
          <w:rFonts w:hint="eastAsia"/>
          <w:bCs/>
          <w:color w:val="auto"/>
          <w:kern w:val="28"/>
          <w:highlight w:val="none"/>
        </w:rPr>
        <w:t>特殊群体。</w:t>
      </w:r>
    </w:p>
    <w:p>
      <w:pPr>
        <w:spacing w:line="400" w:lineRule="exact"/>
        <w:outlineLvl w:val="0"/>
        <w:rPr>
          <w:b/>
          <w:color w:val="auto"/>
          <w:kern w:val="28"/>
          <w:highlight w:val="none"/>
        </w:rPr>
      </w:pPr>
      <w:r>
        <w:rPr>
          <w:rFonts w:hint="eastAsia"/>
          <w:b/>
          <w:color w:val="auto"/>
          <w:kern w:val="28"/>
          <w:highlight w:val="none"/>
          <w:lang w:val="en-US" w:eastAsia="zh-CN"/>
        </w:rPr>
        <w:t>3</w:t>
      </w:r>
      <w:r>
        <w:rPr>
          <w:rFonts w:hint="eastAsia"/>
          <w:b/>
          <w:color w:val="auto"/>
          <w:kern w:val="28"/>
          <w:highlight w:val="none"/>
        </w:rPr>
        <w:t>、服务需求</w:t>
      </w:r>
    </w:p>
    <w:p>
      <w:pPr>
        <w:ind w:firstLine="422" w:firstLineChars="200"/>
        <w:rPr>
          <w:rFonts w:hint="eastAsia"/>
          <w:b/>
          <w:bCs/>
          <w:color w:val="auto"/>
          <w:highlight w:val="none"/>
        </w:rPr>
      </w:pPr>
      <w:r>
        <w:rPr>
          <w:rFonts w:hint="eastAsia"/>
          <w:b/>
          <w:bCs/>
          <w:color w:val="auto"/>
          <w:highlight w:val="none"/>
        </w:rPr>
        <w:t>（一）针对社区矫正人员的具体服务内容</w:t>
      </w:r>
    </w:p>
    <w:p>
      <w:pPr>
        <w:ind w:firstLine="420" w:firstLineChars="200"/>
        <w:rPr>
          <w:rFonts w:hint="eastAsia"/>
          <w:color w:val="auto"/>
          <w:highlight w:val="none"/>
        </w:rPr>
      </w:pPr>
      <w:r>
        <w:rPr>
          <w:rFonts w:hint="eastAsia"/>
          <w:color w:val="auto"/>
          <w:highlight w:val="none"/>
        </w:rPr>
        <w:t>1、协助司法行政部门对社区矫正人员的管理和教育</w:t>
      </w:r>
    </w:p>
    <w:p>
      <w:pPr>
        <w:ind w:firstLine="420" w:firstLineChars="200"/>
        <w:rPr>
          <w:rFonts w:hint="eastAsia"/>
          <w:color w:val="auto"/>
          <w:highlight w:val="none"/>
        </w:rPr>
      </w:pPr>
      <w:r>
        <w:rPr>
          <w:rFonts w:hint="eastAsia"/>
          <w:color w:val="auto"/>
          <w:highlight w:val="none"/>
        </w:rPr>
        <w:t>通过个别教育、集体教育、社区教育等多样化的教育方式，使矫正对象提高对所犯行为的认识，逐步养成良好的行为习惯，使他们在思想上、素质上、行为习惯和道德习惯上都能适应社会的需要，顺利地回归社会。</w:t>
      </w:r>
    </w:p>
    <w:p>
      <w:pPr>
        <w:ind w:firstLine="420" w:firstLineChars="200"/>
        <w:rPr>
          <w:rFonts w:hint="eastAsia"/>
          <w:color w:val="auto"/>
          <w:highlight w:val="none"/>
        </w:rPr>
      </w:pPr>
      <w:r>
        <w:rPr>
          <w:rFonts w:hint="eastAsia"/>
          <w:color w:val="auto"/>
          <w:highlight w:val="none"/>
        </w:rPr>
        <w:t>管理的主要内容包括：根据相关的法律法规加强对矫正对象的有效管理，规范他们的行为，确保社区矫正工作的正常秩序，确保非监禁刑罚的有效执行。</w:t>
      </w:r>
    </w:p>
    <w:p>
      <w:pPr>
        <w:ind w:firstLine="420" w:firstLineChars="200"/>
        <w:rPr>
          <w:rFonts w:hint="eastAsia"/>
          <w:color w:val="auto"/>
          <w:highlight w:val="none"/>
        </w:rPr>
      </w:pPr>
      <w:r>
        <w:rPr>
          <w:rFonts w:hint="eastAsia"/>
          <w:color w:val="auto"/>
          <w:highlight w:val="none"/>
        </w:rPr>
        <w:t>教育的主要内容包括：法律法规教育、文化和职业技术教育、生活和社会功能教育等。</w:t>
      </w:r>
    </w:p>
    <w:p>
      <w:pPr>
        <w:ind w:firstLine="420" w:firstLineChars="200"/>
        <w:rPr>
          <w:rFonts w:hint="eastAsia"/>
          <w:color w:val="auto"/>
          <w:highlight w:val="none"/>
        </w:rPr>
      </w:pPr>
      <w:r>
        <w:rPr>
          <w:color w:val="auto"/>
          <w:highlight w:val="none"/>
        </w:rPr>
        <w:t>2</w:t>
      </w:r>
      <w:r>
        <w:rPr>
          <w:rFonts w:hint="eastAsia"/>
          <w:color w:val="auto"/>
          <w:highlight w:val="none"/>
        </w:rPr>
        <w:t>、协助组织参与公益劳动和实践活动</w:t>
      </w:r>
    </w:p>
    <w:p>
      <w:pPr>
        <w:ind w:firstLine="420" w:firstLineChars="200"/>
        <w:rPr>
          <w:rFonts w:hint="eastAsia"/>
          <w:color w:val="auto"/>
          <w:highlight w:val="none"/>
        </w:rPr>
      </w:pPr>
      <w:r>
        <w:rPr>
          <w:rFonts w:hint="eastAsia"/>
          <w:color w:val="auto"/>
          <w:highlight w:val="none"/>
        </w:rPr>
        <w:t>根据矫正对象的身体、技能状况，安排一定时间的社区公益劳动，公益劳动情况记入档案，作为考核与鉴定的依据。通过参加公益劳动，使他们增强与社区环境的联系，加强与社区居民的互动，增强对社会的责任感，回报社会。</w:t>
      </w:r>
    </w:p>
    <w:p>
      <w:pPr>
        <w:ind w:firstLine="422" w:firstLineChars="200"/>
        <w:rPr>
          <w:rFonts w:hint="eastAsia"/>
          <w:b/>
          <w:bCs/>
          <w:color w:val="auto"/>
          <w:highlight w:val="none"/>
        </w:rPr>
      </w:pPr>
      <w:r>
        <w:rPr>
          <w:rFonts w:hint="eastAsia"/>
          <w:b/>
          <w:bCs/>
          <w:color w:val="auto"/>
          <w:highlight w:val="none"/>
        </w:rPr>
        <w:t>（二）协助社区矫正工作机构开展对拟判处社区矫正的被告人、罪犯进行社会调查</w:t>
      </w:r>
    </w:p>
    <w:p>
      <w:pPr>
        <w:ind w:firstLine="420" w:firstLineChars="200"/>
        <w:rPr>
          <w:rFonts w:hint="eastAsia"/>
          <w:color w:val="auto"/>
          <w:highlight w:val="none"/>
        </w:rPr>
      </w:pPr>
      <w:r>
        <w:rPr>
          <w:rFonts w:hint="eastAsia"/>
          <w:color w:val="auto"/>
          <w:highlight w:val="none"/>
        </w:rPr>
        <w:t>社工的主要工作是协助社区矫正工作机构工作人员开展对拟适用社区矫正的被告人罪犯的个人、家庭、社会环境进行社会调查和评估，全面了解被告人的居所情况、家庭和社会关系、一贯表现、犯罪行为的后果和影响、居住地村（居）民委员和被害人意见、拟禁止的事项等情况，形成评估意见，提交给委托机关。</w:t>
      </w:r>
    </w:p>
    <w:p>
      <w:pPr>
        <w:ind w:firstLine="422" w:firstLineChars="200"/>
        <w:rPr>
          <w:rFonts w:hint="eastAsia"/>
          <w:b/>
          <w:color w:val="auto"/>
          <w:highlight w:val="none"/>
        </w:rPr>
      </w:pPr>
      <w:r>
        <w:rPr>
          <w:rFonts w:hint="eastAsia"/>
          <w:b/>
          <w:color w:val="auto"/>
          <w:highlight w:val="none"/>
        </w:rPr>
        <w:t>（三）针对安置帮教人员的具体服务内容</w:t>
      </w:r>
    </w:p>
    <w:p>
      <w:pPr>
        <w:ind w:firstLine="420" w:firstLineChars="200"/>
        <w:rPr>
          <w:rFonts w:hint="eastAsia"/>
          <w:color w:val="auto"/>
          <w:highlight w:val="none"/>
        </w:rPr>
      </w:pPr>
      <w:r>
        <w:rPr>
          <w:rFonts w:hint="eastAsia"/>
          <w:color w:val="auto"/>
          <w:highlight w:val="none"/>
        </w:rPr>
        <w:t>1、协助司法行政部门对安置帮教人员的跟踪帮扶</w:t>
      </w:r>
    </w:p>
    <w:p>
      <w:pPr>
        <w:ind w:firstLine="420" w:firstLineChars="200"/>
        <w:rPr>
          <w:rFonts w:hint="eastAsia"/>
          <w:color w:val="auto"/>
          <w:highlight w:val="none"/>
        </w:rPr>
      </w:pPr>
      <w:r>
        <w:rPr>
          <w:rFonts w:hint="eastAsia"/>
          <w:color w:val="auto"/>
          <w:highlight w:val="none"/>
        </w:rPr>
        <w:t>管理的主要内容包括：对辖区安置帮教人员进行走访调查摸底，形成动态管理资料，根据安置帮教人员的实际需要提供个别化服务。</w:t>
      </w:r>
    </w:p>
    <w:p>
      <w:pPr>
        <w:ind w:firstLine="420" w:firstLineChars="200"/>
        <w:rPr>
          <w:rFonts w:hint="eastAsia"/>
          <w:color w:val="auto"/>
          <w:highlight w:val="none"/>
        </w:rPr>
      </w:pPr>
      <w:r>
        <w:rPr>
          <w:rFonts w:hint="eastAsia"/>
          <w:color w:val="auto"/>
          <w:highlight w:val="none"/>
        </w:rPr>
        <w:t>2、提供资源链接，为安置帮教人员回归创造有利条件</w:t>
      </w:r>
    </w:p>
    <w:p>
      <w:pPr>
        <w:ind w:firstLine="420" w:firstLineChars="200"/>
        <w:rPr>
          <w:rFonts w:hint="eastAsia"/>
          <w:color w:val="auto"/>
          <w:highlight w:val="none"/>
        </w:rPr>
      </w:pPr>
      <w:r>
        <w:rPr>
          <w:rFonts w:hint="eastAsia"/>
          <w:color w:val="auto"/>
          <w:highlight w:val="none"/>
        </w:rPr>
        <w:t>安置帮教人员的顺利回归需要家庭及社会等系统的支持与援助，社工将根据安置帮教人员的资源系统，作为各个资源系统的链接者，对安置帮教人员的家庭及社会系统进行修复、维护及加强。同时注重整合社区各成员单位的资源优势，包括劳动保障部门、民政部门、司法行政部门等，积极协助安置帮教人员解决生活、就业、心理等方面存在的问题和困难，从而激发其潜能，促使其顺利回归社会。</w:t>
      </w:r>
    </w:p>
    <w:p>
      <w:pPr>
        <w:ind w:firstLine="420" w:firstLineChars="200"/>
        <w:rPr>
          <w:rFonts w:hint="eastAsia"/>
          <w:color w:val="auto"/>
          <w:highlight w:val="none"/>
        </w:rPr>
      </w:pPr>
      <w:r>
        <w:rPr>
          <w:rFonts w:hint="eastAsia"/>
          <w:color w:val="auto"/>
          <w:highlight w:val="none"/>
        </w:rPr>
        <w:t>3、协助司法行政部门对安置帮教人员的法治教育</w:t>
      </w:r>
    </w:p>
    <w:p>
      <w:pPr>
        <w:ind w:firstLine="420" w:firstLineChars="200"/>
        <w:rPr>
          <w:rFonts w:hint="eastAsia"/>
          <w:color w:val="auto"/>
          <w:highlight w:val="none"/>
        </w:rPr>
      </w:pPr>
      <w:r>
        <w:rPr>
          <w:rFonts w:hint="eastAsia"/>
          <w:color w:val="auto"/>
          <w:highlight w:val="none"/>
        </w:rPr>
        <w:t>通过社区教育、成长小组等多样化的教育方式，对安置帮教人员进行法治教育，提高他们的法律意识，预防再违法犯罪。</w:t>
      </w:r>
    </w:p>
    <w:p>
      <w:pPr>
        <w:ind w:firstLine="422" w:firstLineChars="200"/>
        <w:rPr>
          <w:rFonts w:hint="eastAsia"/>
          <w:b/>
          <w:bCs/>
          <w:color w:val="auto"/>
          <w:highlight w:val="none"/>
        </w:rPr>
      </w:pPr>
      <w:r>
        <w:rPr>
          <w:rFonts w:hint="eastAsia"/>
          <w:b/>
          <w:bCs/>
          <w:color w:val="auto"/>
          <w:highlight w:val="none"/>
        </w:rPr>
        <w:t>（四）个案辅导</w:t>
      </w:r>
    </w:p>
    <w:p>
      <w:pPr>
        <w:ind w:firstLine="420" w:firstLineChars="200"/>
        <w:rPr>
          <w:rFonts w:hint="eastAsia"/>
          <w:color w:val="auto"/>
          <w:highlight w:val="none"/>
        </w:rPr>
      </w:pPr>
      <w:r>
        <w:rPr>
          <w:rFonts w:hint="eastAsia"/>
          <w:color w:val="auto"/>
          <w:highlight w:val="none"/>
        </w:rPr>
        <w:t>根据服务对象的需求，运用社会工作专业的知识、方法和技巧，帮助服务对象个人或家庭发掘和运用自身及其周围的资源，改善个人与社会环境之间的适应状况，实现服务对象对自我的尊重、肯定和能力的重塑及社区居民对服务对象的接纳和肯定。</w:t>
      </w:r>
    </w:p>
    <w:p>
      <w:pPr>
        <w:ind w:firstLine="422" w:firstLineChars="200"/>
        <w:rPr>
          <w:rFonts w:hint="eastAsia"/>
          <w:b/>
          <w:bCs/>
          <w:color w:val="auto"/>
          <w:highlight w:val="none"/>
        </w:rPr>
      </w:pPr>
      <w:r>
        <w:rPr>
          <w:rFonts w:hint="eastAsia"/>
          <w:b/>
          <w:bCs/>
          <w:color w:val="auto"/>
          <w:highlight w:val="none"/>
        </w:rPr>
        <w:t>（五）社区服务</w:t>
      </w:r>
    </w:p>
    <w:p>
      <w:pPr>
        <w:ind w:firstLine="420" w:firstLineChars="200"/>
        <w:rPr>
          <w:color w:val="auto"/>
          <w:highlight w:val="none"/>
        </w:rPr>
      </w:pPr>
      <w:r>
        <w:rPr>
          <w:rFonts w:hint="eastAsia"/>
          <w:color w:val="auto"/>
          <w:highlight w:val="none"/>
        </w:rPr>
        <w:t>通过定期安排矫正对象参与社区服务，培养他们的责任感以及让社会人士对他们有正当认识。在社区进行宣传，消除居民对服务对象的歧视和排斥，调动居民积极参与和协助服务对象，使他们感受到社会的关怀与温暖，重新为社会再贡献。</w:t>
      </w:r>
    </w:p>
    <w:p>
      <w:pPr>
        <w:spacing w:line="400" w:lineRule="exact"/>
        <w:outlineLvl w:val="0"/>
        <w:rPr>
          <w:b/>
          <w:color w:val="auto"/>
          <w:kern w:val="28"/>
          <w:highlight w:val="none"/>
        </w:rPr>
      </w:pPr>
      <w:r>
        <w:rPr>
          <w:rFonts w:hint="eastAsia"/>
          <w:b/>
          <w:color w:val="auto"/>
          <w:kern w:val="28"/>
          <w:highlight w:val="none"/>
          <w:lang w:val="en-US" w:eastAsia="zh-CN"/>
        </w:rPr>
        <w:t>4</w:t>
      </w:r>
      <w:r>
        <w:rPr>
          <w:rFonts w:hint="eastAsia"/>
          <w:b/>
          <w:color w:val="auto"/>
          <w:kern w:val="28"/>
          <w:highlight w:val="none"/>
        </w:rPr>
        <w:t>、人员数量</w:t>
      </w:r>
    </w:p>
    <w:p>
      <w:pPr>
        <w:spacing w:line="400" w:lineRule="exact"/>
        <w:ind w:firstLine="420" w:firstLineChars="200"/>
        <w:outlineLvl w:val="1"/>
        <w:rPr>
          <w:color w:val="auto"/>
          <w:highlight w:val="none"/>
          <w:shd w:val="clear" w:color="auto" w:fill="FFFFFF"/>
        </w:rPr>
      </w:pPr>
      <w:r>
        <w:rPr>
          <w:rFonts w:hint="eastAsia"/>
          <w:color w:val="auto"/>
          <w:highlight w:val="none"/>
        </w:rPr>
        <w:t>至少</w:t>
      </w:r>
      <w:r>
        <w:rPr>
          <w:color w:val="auto"/>
          <w:highlight w:val="none"/>
        </w:rPr>
        <w:t>8</w:t>
      </w:r>
      <w:r>
        <w:rPr>
          <w:rFonts w:hint="eastAsia"/>
          <w:color w:val="auto"/>
          <w:highlight w:val="none"/>
        </w:rPr>
        <w:t>名</w:t>
      </w:r>
      <w:r>
        <w:rPr>
          <w:color w:val="auto"/>
          <w:highlight w:val="none"/>
        </w:rPr>
        <w:t>社会工作者（</w:t>
      </w:r>
      <w:r>
        <w:rPr>
          <w:rFonts w:hint="eastAsia"/>
          <w:color w:val="auto"/>
          <w:highlight w:val="none"/>
        </w:rPr>
        <w:t>设项目负责人1名</w:t>
      </w:r>
      <w:r>
        <w:rPr>
          <w:color w:val="auto"/>
          <w:highlight w:val="none"/>
        </w:rPr>
        <w:t>）</w:t>
      </w:r>
    </w:p>
    <w:p>
      <w:pPr>
        <w:pStyle w:val="8"/>
        <w:rPr>
          <w:bCs w:val="0"/>
          <w:color w:val="auto"/>
          <w:kern w:val="28"/>
          <w:sz w:val="22"/>
          <w:szCs w:val="22"/>
          <w:highlight w:val="none"/>
        </w:rPr>
      </w:pPr>
      <w:r>
        <w:rPr>
          <w:rFonts w:hint="eastAsia"/>
          <w:bCs w:val="0"/>
          <w:color w:val="auto"/>
          <w:kern w:val="28"/>
          <w:sz w:val="22"/>
          <w:szCs w:val="22"/>
          <w:highlight w:val="none"/>
          <w:lang w:val="en-US" w:eastAsia="zh-CN"/>
        </w:rPr>
        <w:t>5</w:t>
      </w:r>
      <w:r>
        <w:rPr>
          <w:bCs w:val="0"/>
          <w:color w:val="auto"/>
          <w:kern w:val="28"/>
          <w:sz w:val="22"/>
          <w:szCs w:val="22"/>
          <w:highlight w:val="none"/>
        </w:rPr>
        <w:t>、</w:t>
      </w:r>
      <w:r>
        <w:rPr>
          <w:rFonts w:hint="eastAsia"/>
          <w:bCs w:val="0"/>
          <w:color w:val="auto"/>
          <w:kern w:val="28"/>
          <w:sz w:val="22"/>
          <w:szCs w:val="22"/>
          <w:highlight w:val="none"/>
        </w:rPr>
        <w:t>人员资质要求</w:t>
      </w:r>
    </w:p>
    <w:p>
      <w:pPr>
        <w:pStyle w:val="8"/>
        <w:ind w:firstLine="440" w:firstLineChars="200"/>
        <w:rPr>
          <w:rFonts w:hint="eastAsia"/>
          <w:b w:val="0"/>
          <w:bCs w:val="0"/>
          <w:color w:val="auto"/>
          <w:sz w:val="22"/>
          <w:szCs w:val="22"/>
          <w:highlight w:val="none"/>
        </w:rPr>
      </w:pPr>
      <w:r>
        <w:rPr>
          <w:rFonts w:hint="eastAsia"/>
          <w:b w:val="0"/>
          <w:bCs w:val="0"/>
          <w:color w:val="auto"/>
          <w:sz w:val="22"/>
          <w:szCs w:val="22"/>
          <w:highlight w:val="none"/>
        </w:rPr>
        <w:t>中标人所提供的人员应具备以下基本条件：①项目</w:t>
      </w:r>
      <w:r>
        <w:rPr>
          <w:b w:val="0"/>
          <w:bCs w:val="0"/>
          <w:color w:val="auto"/>
          <w:sz w:val="22"/>
          <w:szCs w:val="22"/>
          <w:highlight w:val="none"/>
        </w:rPr>
        <w:t>负责人</w:t>
      </w:r>
      <w:r>
        <w:rPr>
          <w:rFonts w:hint="eastAsia"/>
          <w:b w:val="0"/>
          <w:bCs w:val="0"/>
          <w:color w:val="auto"/>
          <w:sz w:val="22"/>
          <w:szCs w:val="22"/>
          <w:highlight w:val="none"/>
        </w:rPr>
        <w:t>通过中级社会</w:t>
      </w:r>
      <w:r>
        <w:rPr>
          <w:b w:val="0"/>
          <w:bCs w:val="0"/>
          <w:color w:val="auto"/>
          <w:sz w:val="22"/>
          <w:szCs w:val="22"/>
          <w:highlight w:val="none"/>
        </w:rPr>
        <w:t>工作师职业水平考试并取得证书；</w:t>
      </w:r>
      <w:r>
        <w:rPr>
          <w:rFonts w:hint="eastAsia"/>
          <w:b w:val="0"/>
          <w:bCs w:val="0"/>
          <w:color w:val="auto"/>
          <w:sz w:val="22"/>
          <w:szCs w:val="22"/>
          <w:highlight w:val="none"/>
        </w:rPr>
        <w:t>②非项目</w:t>
      </w:r>
      <w:r>
        <w:rPr>
          <w:b w:val="0"/>
          <w:bCs w:val="0"/>
          <w:color w:val="auto"/>
          <w:sz w:val="22"/>
          <w:szCs w:val="22"/>
          <w:highlight w:val="none"/>
        </w:rPr>
        <w:t>负责人</w:t>
      </w:r>
      <w:r>
        <w:rPr>
          <w:rFonts w:hint="eastAsia"/>
          <w:b w:val="0"/>
          <w:bCs w:val="0"/>
          <w:color w:val="auto"/>
          <w:sz w:val="22"/>
          <w:szCs w:val="22"/>
          <w:highlight w:val="none"/>
        </w:rPr>
        <w:t>的其他</w:t>
      </w:r>
      <w:r>
        <w:rPr>
          <w:b w:val="0"/>
          <w:bCs w:val="0"/>
          <w:color w:val="auto"/>
          <w:sz w:val="22"/>
          <w:szCs w:val="22"/>
          <w:highlight w:val="none"/>
        </w:rPr>
        <w:t>人员</w:t>
      </w:r>
      <w:r>
        <w:rPr>
          <w:rFonts w:hint="eastAsia"/>
          <w:b w:val="0"/>
          <w:bCs w:val="0"/>
          <w:color w:val="auto"/>
          <w:sz w:val="22"/>
          <w:szCs w:val="22"/>
          <w:highlight w:val="none"/>
        </w:rPr>
        <w:t>通过助理社工师</w:t>
      </w:r>
      <w:r>
        <w:rPr>
          <w:b w:val="0"/>
          <w:bCs w:val="0"/>
          <w:color w:val="auto"/>
          <w:sz w:val="22"/>
          <w:szCs w:val="22"/>
          <w:highlight w:val="none"/>
        </w:rPr>
        <w:t>职业水平考试并取得证书；</w:t>
      </w:r>
      <w:r>
        <w:rPr>
          <w:rFonts w:hint="eastAsia"/>
          <w:b w:val="0"/>
          <w:bCs w:val="0"/>
          <w:color w:val="auto"/>
          <w:sz w:val="22"/>
          <w:szCs w:val="22"/>
          <w:highlight w:val="none"/>
        </w:rPr>
        <w:t>③熟悉电脑基本操作，有一定的文字写作及文书处理能力，且能运用专业的知识、方法和技巧，辅助采购人开展有关工作；④热爱社会工作，具有社会责任感和敬业精神，遵守职业操守及采购人的各项管理制度。</w:t>
      </w:r>
    </w:p>
    <w:p>
      <w:pPr>
        <w:spacing w:line="400" w:lineRule="exact"/>
        <w:outlineLvl w:val="0"/>
        <w:rPr>
          <w:rFonts w:hint="eastAsia"/>
          <w:b/>
          <w:bCs/>
          <w:color w:val="auto"/>
          <w:highlight w:val="none"/>
        </w:rPr>
      </w:pPr>
      <w:r>
        <w:rPr>
          <w:rFonts w:hint="eastAsia"/>
          <w:b/>
          <w:bCs/>
          <w:color w:val="auto"/>
          <w:highlight w:val="none"/>
          <w:lang w:val="en-US" w:eastAsia="zh-CN"/>
        </w:rPr>
        <w:t>6</w:t>
      </w:r>
      <w:r>
        <w:rPr>
          <w:rFonts w:hint="eastAsia"/>
          <w:b/>
          <w:bCs/>
          <w:color w:val="auto"/>
          <w:highlight w:val="none"/>
        </w:rPr>
        <w:t>、服务标准</w:t>
      </w:r>
    </w:p>
    <w:tbl>
      <w:tblPr>
        <w:tblStyle w:val="1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2"/>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872" w:type="dxa"/>
            <w:noWrap w:val="0"/>
            <w:vAlign w:val="center"/>
          </w:tcPr>
          <w:p>
            <w:pPr>
              <w:spacing w:line="360" w:lineRule="auto"/>
              <w:ind w:firstLine="422" w:firstLineChars="200"/>
              <w:jc w:val="center"/>
              <w:rPr>
                <w:rFonts w:hint="eastAsia"/>
                <w:b/>
                <w:bCs/>
                <w:color w:val="auto"/>
                <w:highlight w:val="none"/>
                <w:shd w:val="clear" w:color="auto" w:fill="FFFFFF"/>
              </w:rPr>
            </w:pPr>
            <w:r>
              <w:rPr>
                <w:rFonts w:hint="eastAsia"/>
                <w:b/>
                <w:bCs/>
                <w:color w:val="auto"/>
                <w:highlight w:val="none"/>
                <w:shd w:val="clear" w:color="auto" w:fill="FFFFFF"/>
              </w:rPr>
              <w:t>服务指标</w:t>
            </w:r>
          </w:p>
        </w:tc>
        <w:tc>
          <w:tcPr>
            <w:tcW w:w="3075" w:type="dxa"/>
            <w:noWrap w:val="0"/>
            <w:vAlign w:val="center"/>
          </w:tcPr>
          <w:p>
            <w:pPr>
              <w:spacing w:line="360" w:lineRule="auto"/>
              <w:jc w:val="center"/>
              <w:rPr>
                <w:rFonts w:hint="eastAsia"/>
                <w:color w:val="auto"/>
                <w:highlight w:val="none"/>
              </w:rPr>
            </w:pPr>
            <w:r>
              <w:rPr>
                <w:rFonts w:hint="eastAsia"/>
                <w:b/>
                <w:bCs/>
                <w:color w:val="auto"/>
                <w:highlight w:val="none"/>
                <w:shd w:val="clear" w:color="auto" w:fill="FFFFFF"/>
              </w:rPr>
              <w:t>指标量化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1、个案工作</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不少于40个/年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2、小组工作</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不少于4个/年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3、社区工作</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不少于24个/年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4、咨询、社区走访、家访</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不少于640人次/年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5、参与开展非监禁刑判前调查，撰写庭前调查意见报告</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不少于20份/年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6、帮助矫正机构为社区矫正人员或安置帮教人员建立档案</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不少于100%建档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7、协调有关部门和单位，为社区矫正人员和安置帮教人员生活中遇到的问题提供职责范围内的指导和帮助</w:t>
            </w:r>
          </w:p>
        </w:tc>
        <w:tc>
          <w:tcPr>
            <w:tcW w:w="3075" w:type="dxa"/>
            <w:noWrap w:val="0"/>
            <w:vAlign w:val="center"/>
          </w:tcPr>
          <w:p>
            <w:pPr>
              <w:autoSpaceDE/>
              <w:autoSpaceDN/>
              <w:spacing w:line="360" w:lineRule="auto"/>
              <w:jc w:val="center"/>
              <w:rPr>
                <w:color w:val="auto"/>
                <w:highlight w:val="none"/>
              </w:rPr>
            </w:pPr>
            <w:r>
              <w:rPr>
                <w:rFonts w:hint="eastAsia"/>
                <w:color w:val="auto"/>
                <w:highlight w:val="none"/>
              </w:rPr>
              <w:t>不少于100%协助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8、定期向镇（街）矫正机构反馈工作开展情况</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每月不少于1次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72" w:type="dxa"/>
            <w:noWrap w:val="0"/>
            <w:vAlign w:val="center"/>
          </w:tcPr>
          <w:p>
            <w:pPr>
              <w:autoSpaceDE/>
              <w:autoSpaceDN/>
              <w:spacing w:line="360" w:lineRule="auto"/>
              <w:rPr>
                <w:color w:val="auto"/>
                <w:highlight w:val="none"/>
                <w:shd w:val="clear" w:color="auto" w:fill="FFFFFF"/>
              </w:rPr>
            </w:pPr>
            <w:r>
              <w:rPr>
                <w:rFonts w:hint="eastAsia"/>
                <w:color w:val="auto"/>
                <w:highlight w:val="none"/>
                <w:shd w:val="clear" w:color="auto" w:fill="FFFFFF"/>
              </w:rPr>
              <w:t>9、季度工作总结、年终（中）工作总结</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6份</w:t>
            </w:r>
          </w:p>
        </w:tc>
      </w:tr>
    </w:tbl>
    <w:p>
      <w:pPr>
        <w:spacing w:line="400" w:lineRule="exact"/>
        <w:ind w:firstLine="420" w:firstLineChars="200"/>
        <w:rPr>
          <w:color w:val="auto"/>
          <w:highlight w:val="none"/>
        </w:rPr>
      </w:pPr>
      <w:r>
        <w:rPr>
          <w:rFonts w:hint="eastAsia"/>
          <w:color w:val="auto"/>
          <w:highlight w:val="none"/>
        </w:rPr>
        <w:t>注：以上指标为合同期内服务指标，届时将根据实际服务需求，采购人与中标人双方协商一致可作相应调整。</w:t>
      </w:r>
    </w:p>
    <w:p>
      <w:pPr>
        <w:adjustRightInd w:val="0"/>
        <w:spacing w:line="400" w:lineRule="exact"/>
        <w:outlineLvl w:val="0"/>
        <w:rPr>
          <w:b/>
          <w:bCs/>
          <w:color w:val="auto"/>
          <w:highlight w:val="none"/>
        </w:rPr>
      </w:pPr>
      <w:r>
        <w:rPr>
          <w:rFonts w:hint="eastAsia"/>
          <w:b/>
          <w:bCs/>
          <w:color w:val="auto"/>
          <w:highlight w:val="none"/>
          <w:lang w:val="en-US" w:eastAsia="zh-CN"/>
        </w:rPr>
        <w:t>7</w:t>
      </w:r>
      <w:r>
        <w:rPr>
          <w:rFonts w:hint="eastAsia"/>
          <w:b/>
          <w:bCs/>
          <w:color w:val="auto"/>
          <w:highlight w:val="none"/>
        </w:rPr>
        <w:t>、考核</w:t>
      </w:r>
      <w:r>
        <w:rPr>
          <w:b/>
          <w:bCs/>
          <w:color w:val="auto"/>
          <w:highlight w:val="none"/>
        </w:rPr>
        <w:t>管理</w:t>
      </w:r>
    </w:p>
    <w:p>
      <w:pPr>
        <w:pStyle w:val="8"/>
        <w:ind w:firstLine="220" w:firstLineChars="100"/>
        <w:rPr>
          <w:rFonts w:hint="eastAsia"/>
          <w:b w:val="0"/>
          <w:bCs w:val="0"/>
          <w:color w:val="auto"/>
          <w:sz w:val="22"/>
          <w:szCs w:val="22"/>
          <w:highlight w:val="none"/>
        </w:rPr>
      </w:pPr>
      <w:r>
        <w:rPr>
          <w:rFonts w:hint="eastAsia"/>
          <w:b w:val="0"/>
          <w:bCs w:val="0"/>
          <w:color w:val="auto"/>
          <w:sz w:val="22"/>
          <w:szCs w:val="22"/>
          <w:highlight w:val="none"/>
        </w:rPr>
        <w:t>★</w:t>
      </w:r>
      <w:r>
        <w:rPr>
          <w:b w:val="0"/>
          <w:bCs w:val="0"/>
          <w:color w:val="auto"/>
          <w:sz w:val="22"/>
          <w:szCs w:val="22"/>
          <w:highlight w:val="none"/>
        </w:rPr>
        <w:t>采购</w:t>
      </w:r>
      <w:r>
        <w:rPr>
          <w:rFonts w:hint="eastAsia"/>
          <w:b w:val="0"/>
          <w:bCs w:val="0"/>
          <w:color w:val="auto"/>
          <w:sz w:val="22"/>
          <w:szCs w:val="22"/>
          <w:highlight w:val="none"/>
        </w:rPr>
        <w:t>人</w:t>
      </w:r>
      <w:r>
        <w:rPr>
          <w:b w:val="0"/>
          <w:bCs w:val="0"/>
          <w:color w:val="auto"/>
          <w:sz w:val="22"/>
          <w:szCs w:val="22"/>
          <w:highlight w:val="none"/>
        </w:rPr>
        <w:t>每</w:t>
      </w:r>
      <w:r>
        <w:rPr>
          <w:rFonts w:hint="eastAsia"/>
          <w:b w:val="0"/>
          <w:bCs w:val="0"/>
          <w:color w:val="auto"/>
          <w:sz w:val="22"/>
          <w:szCs w:val="22"/>
          <w:highlight w:val="none"/>
        </w:rPr>
        <w:t>季度</w:t>
      </w:r>
      <w:r>
        <w:rPr>
          <w:b w:val="0"/>
          <w:bCs w:val="0"/>
          <w:color w:val="auto"/>
          <w:sz w:val="22"/>
          <w:szCs w:val="22"/>
          <w:highlight w:val="none"/>
        </w:rPr>
        <w:t>对中标人提供的</w:t>
      </w:r>
      <w:r>
        <w:rPr>
          <w:rFonts w:hint="eastAsia"/>
          <w:b w:val="0"/>
          <w:bCs w:val="0"/>
          <w:color w:val="auto"/>
          <w:sz w:val="22"/>
          <w:szCs w:val="22"/>
          <w:highlight w:val="none"/>
        </w:rPr>
        <w:t>具体</w:t>
      </w:r>
      <w:r>
        <w:rPr>
          <w:b w:val="0"/>
          <w:bCs w:val="0"/>
          <w:color w:val="auto"/>
          <w:sz w:val="22"/>
          <w:szCs w:val="22"/>
          <w:highlight w:val="none"/>
        </w:rPr>
        <w:t>服务进行</w:t>
      </w:r>
      <w:r>
        <w:rPr>
          <w:rFonts w:hint="eastAsia"/>
          <w:b w:val="0"/>
          <w:bCs w:val="0"/>
          <w:color w:val="auto"/>
          <w:sz w:val="22"/>
          <w:szCs w:val="22"/>
          <w:highlight w:val="none"/>
        </w:rPr>
        <w:t>考核，过程考核和结果考核均采用百分制，设置优秀、良好、合格、不合格</w:t>
      </w:r>
      <w:r>
        <w:rPr>
          <w:b w:val="0"/>
          <w:bCs w:val="0"/>
          <w:color w:val="auto"/>
          <w:sz w:val="22"/>
          <w:szCs w:val="22"/>
          <w:highlight w:val="none"/>
        </w:rPr>
        <w:t>4个等次，90分及以上为优秀、76-89分为良</w:t>
      </w:r>
      <w:r>
        <w:rPr>
          <w:rFonts w:hint="eastAsia"/>
          <w:b w:val="0"/>
          <w:bCs w:val="0"/>
          <w:color w:val="auto"/>
          <w:sz w:val="22"/>
          <w:szCs w:val="22"/>
          <w:highlight w:val="none"/>
        </w:rPr>
        <w:t>好、</w:t>
      </w:r>
      <w:r>
        <w:rPr>
          <w:b w:val="0"/>
          <w:bCs w:val="0"/>
          <w:color w:val="auto"/>
          <w:sz w:val="22"/>
          <w:szCs w:val="22"/>
          <w:highlight w:val="none"/>
        </w:rPr>
        <w:t>60-75分为合格、60分以下为不合格。经费支付与考核评估</w:t>
      </w:r>
      <w:r>
        <w:rPr>
          <w:rFonts w:hint="eastAsia"/>
          <w:b w:val="0"/>
          <w:bCs w:val="0"/>
          <w:color w:val="auto"/>
          <w:sz w:val="22"/>
          <w:szCs w:val="22"/>
          <w:highlight w:val="none"/>
        </w:rPr>
        <w:t>挂钩。考核</w:t>
      </w:r>
      <w:r>
        <w:rPr>
          <w:b w:val="0"/>
          <w:bCs w:val="0"/>
          <w:color w:val="auto"/>
          <w:sz w:val="22"/>
          <w:szCs w:val="22"/>
          <w:highlight w:val="none"/>
        </w:rPr>
        <w:t>结果为</w:t>
      </w:r>
      <w:r>
        <w:rPr>
          <w:rFonts w:hint="eastAsia"/>
          <w:b w:val="0"/>
          <w:bCs w:val="0"/>
          <w:color w:val="auto"/>
          <w:sz w:val="22"/>
          <w:szCs w:val="22"/>
          <w:highlight w:val="none"/>
        </w:rPr>
        <w:t>良好或以上的，当季度服务经费</w:t>
      </w:r>
      <w:r>
        <w:rPr>
          <w:b w:val="0"/>
          <w:bCs w:val="0"/>
          <w:color w:val="auto"/>
          <w:sz w:val="22"/>
          <w:szCs w:val="22"/>
          <w:highlight w:val="none"/>
        </w:rPr>
        <w:t>全额支付；评估结果为合格的，</w:t>
      </w:r>
      <w:r>
        <w:rPr>
          <w:rFonts w:hint="eastAsia"/>
          <w:b w:val="0"/>
          <w:bCs w:val="0"/>
          <w:color w:val="auto"/>
          <w:sz w:val="22"/>
          <w:szCs w:val="22"/>
          <w:highlight w:val="none"/>
        </w:rPr>
        <w:t>当季度服务经费80%</w:t>
      </w:r>
      <w:r>
        <w:rPr>
          <w:b w:val="0"/>
          <w:bCs w:val="0"/>
          <w:color w:val="auto"/>
          <w:sz w:val="22"/>
          <w:szCs w:val="22"/>
          <w:highlight w:val="none"/>
        </w:rPr>
        <w:t>支付</w:t>
      </w:r>
      <w:r>
        <w:rPr>
          <w:rFonts w:hint="eastAsia"/>
          <w:b w:val="0"/>
          <w:bCs w:val="0"/>
          <w:color w:val="auto"/>
          <w:sz w:val="22"/>
          <w:szCs w:val="22"/>
          <w:highlight w:val="none"/>
        </w:rPr>
        <w:t>，</w:t>
      </w:r>
      <w:r>
        <w:rPr>
          <w:b w:val="0"/>
          <w:bCs w:val="0"/>
          <w:color w:val="auto"/>
          <w:sz w:val="22"/>
          <w:szCs w:val="22"/>
          <w:highlight w:val="none"/>
        </w:rPr>
        <w:t>评估结果为</w:t>
      </w:r>
      <w:r>
        <w:rPr>
          <w:rFonts w:hint="eastAsia"/>
          <w:b w:val="0"/>
          <w:bCs w:val="0"/>
          <w:color w:val="auto"/>
          <w:sz w:val="22"/>
          <w:szCs w:val="22"/>
          <w:highlight w:val="none"/>
        </w:rPr>
        <w:t>不</w:t>
      </w:r>
      <w:r>
        <w:rPr>
          <w:b w:val="0"/>
          <w:bCs w:val="0"/>
          <w:color w:val="auto"/>
          <w:sz w:val="22"/>
          <w:szCs w:val="22"/>
          <w:highlight w:val="none"/>
        </w:rPr>
        <w:t>合格的，</w:t>
      </w:r>
      <w:r>
        <w:rPr>
          <w:rFonts w:hint="eastAsia"/>
          <w:b w:val="0"/>
          <w:bCs w:val="0"/>
          <w:color w:val="auto"/>
          <w:sz w:val="22"/>
          <w:szCs w:val="22"/>
          <w:highlight w:val="none"/>
        </w:rPr>
        <w:t>当季度服务经费50%</w:t>
      </w:r>
      <w:r>
        <w:rPr>
          <w:b w:val="0"/>
          <w:bCs w:val="0"/>
          <w:color w:val="auto"/>
          <w:sz w:val="22"/>
          <w:szCs w:val="22"/>
          <w:highlight w:val="none"/>
        </w:rPr>
        <w:t>支付</w:t>
      </w:r>
      <w:r>
        <w:rPr>
          <w:rFonts w:hint="eastAsia"/>
          <w:b w:val="0"/>
          <w:bCs w:val="0"/>
          <w:color w:val="auto"/>
          <w:sz w:val="22"/>
          <w:szCs w:val="22"/>
          <w:highlight w:val="none"/>
        </w:rPr>
        <w:t>，并且采购人有权终止合同</w:t>
      </w:r>
      <w:r>
        <w:rPr>
          <w:b w:val="0"/>
          <w:bCs w:val="0"/>
          <w:color w:val="auto"/>
          <w:sz w:val="22"/>
          <w:szCs w:val="22"/>
          <w:highlight w:val="none"/>
        </w:rPr>
        <w:t>。</w:t>
      </w:r>
      <w:r>
        <w:rPr>
          <w:rFonts w:hint="eastAsia"/>
          <w:b w:val="0"/>
          <w:bCs w:val="0"/>
          <w:color w:val="auto"/>
          <w:sz w:val="22"/>
          <w:szCs w:val="22"/>
          <w:highlight w:val="none"/>
        </w:rPr>
        <w:t>（考核标准附件一。</w:t>
      </w:r>
      <w:r>
        <w:rPr>
          <w:rFonts w:hint="eastAsia"/>
          <w:b w:val="0"/>
          <w:bCs w:val="0"/>
          <w:color w:val="auto"/>
          <w:sz w:val="22"/>
          <w:szCs w:val="22"/>
          <w:highlight w:val="none"/>
          <w:lang w:eastAsia="zh-CN"/>
        </w:rPr>
        <w:t>（投标人须在投标文件中提供单独书面承诺函，承诺函格式自定）</w:t>
      </w:r>
    </w:p>
    <w:p>
      <w:pPr>
        <w:adjustRightInd w:val="0"/>
        <w:spacing w:line="400" w:lineRule="exact"/>
        <w:outlineLvl w:val="0"/>
        <w:rPr>
          <w:rFonts w:hint="eastAsia"/>
          <w:b/>
          <w:bCs/>
          <w:color w:val="auto"/>
          <w:spacing w:val="-2"/>
          <w:highlight w:val="none"/>
        </w:rPr>
      </w:pPr>
      <w:r>
        <w:rPr>
          <w:rFonts w:hint="eastAsia"/>
          <w:b/>
          <w:bCs/>
          <w:color w:val="auto"/>
          <w:highlight w:val="none"/>
          <w:lang w:val="en-US" w:eastAsia="zh-CN"/>
        </w:rPr>
        <w:t>8</w:t>
      </w:r>
      <w:r>
        <w:rPr>
          <w:b/>
          <w:bCs/>
          <w:color w:val="auto"/>
          <w:highlight w:val="none"/>
        </w:rPr>
        <w:t>、</w:t>
      </w:r>
      <w:r>
        <w:rPr>
          <w:rFonts w:hint="eastAsia"/>
          <w:b/>
          <w:bCs/>
          <w:color w:val="auto"/>
          <w:highlight w:val="none"/>
        </w:rPr>
        <w:t>其他要求</w:t>
      </w:r>
    </w:p>
    <w:p>
      <w:pPr>
        <w:pStyle w:val="8"/>
        <w:ind w:firstLine="220" w:firstLineChars="100"/>
        <w:rPr>
          <w:rFonts w:hint="eastAsia" w:eastAsia="宋体"/>
          <w:b w:val="0"/>
          <w:bCs w:val="0"/>
          <w:color w:val="auto"/>
          <w:sz w:val="22"/>
          <w:szCs w:val="22"/>
          <w:highlight w:val="none"/>
          <w:lang w:eastAsia="zh-CN"/>
        </w:rPr>
      </w:pPr>
      <w:r>
        <w:rPr>
          <w:rFonts w:hint="eastAsia"/>
          <w:b w:val="0"/>
          <w:bCs w:val="0"/>
          <w:color w:val="auto"/>
          <w:sz w:val="22"/>
          <w:szCs w:val="22"/>
          <w:highlight w:val="none"/>
        </w:rPr>
        <w:t>★（一）中标通知书</w:t>
      </w:r>
      <w:r>
        <w:rPr>
          <w:b w:val="0"/>
          <w:bCs w:val="0"/>
          <w:color w:val="auto"/>
          <w:sz w:val="22"/>
          <w:szCs w:val="22"/>
          <w:highlight w:val="none"/>
        </w:rPr>
        <w:t>生效之日起</w:t>
      </w:r>
      <w:r>
        <w:rPr>
          <w:rFonts w:hint="eastAsia"/>
          <w:b w:val="0"/>
          <w:bCs w:val="0"/>
          <w:color w:val="auto"/>
          <w:sz w:val="22"/>
          <w:szCs w:val="22"/>
          <w:highlight w:val="none"/>
        </w:rPr>
        <w:t>3个</w:t>
      </w:r>
      <w:r>
        <w:rPr>
          <w:b w:val="0"/>
          <w:bCs w:val="0"/>
          <w:color w:val="auto"/>
          <w:sz w:val="22"/>
          <w:szCs w:val="22"/>
          <w:highlight w:val="none"/>
        </w:rPr>
        <w:t>工作日内</w:t>
      </w:r>
      <w:r>
        <w:rPr>
          <w:rFonts w:hint="eastAsia"/>
          <w:b w:val="0"/>
          <w:bCs w:val="0"/>
          <w:color w:val="auto"/>
          <w:sz w:val="22"/>
          <w:szCs w:val="22"/>
          <w:highlight w:val="none"/>
        </w:rPr>
        <w:t>，项目75%的人员到岗，否则合同采购人有权申请中标</w:t>
      </w:r>
      <w:r>
        <w:rPr>
          <w:b w:val="0"/>
          <w:bCs w:val="0"/>
          <w:color w:val="auto"/>
          <w:sz w:val="22"/>
          <w:szCs w:val="22"/>
          <w:highlight w:val="none"/>
        </w:rPr>
        <w:t>结果无效</w:t>
      </w:r>
      <w:r>
        <w:rPr>
          <w:rFonts w:hint="eastAsia"/>
          <w:b w:val="0"/>
          <w:bCs w:val="0"/>
          <w:color w:val="auto"/>
          <w:sz w:val="22"/>
          <w:szCs w:val="22"/>
          <w:highlight w:val="none"/>
        </w:rPr>
        <w:t>，</w:t>
      </w:r>
      <w:r>
        <w:rPr>
          <w:b w:val="0"/>
          <w:bCs w:val="0"/>
          <w:color w:val="auto"/>
          <w:sz w:val="22"/>
          <w:szCs w:val="22"/>
          <w:highlight w:val="none"/>
        </w:rPr>
        <w:t>重新采购</w:t>
      </w:r>
      <w:r>
        <w:rPr>
          <w:rFonts w:hint="eastAsia"/>
          <w:b w:val="0"/>
          <w:bCs w:val="0"/>
          <w:color w:val="auto"/>
          <w:sz w:val="22"/>
          <w:szCs w:val="22"/>
          <w:highlight w:val="none"/>
        </w:rPr>
        <w:t>。合同签定并生效之日起3个</w:t>
      </w:r>
      <w:r>
        <w:rPr>
          <w:b w:val="0"/>
          <w:bCs w:val="0"/>
          <w:color w:val="auto"/>
          <w:sz w:val="22"/>
          <w:szCs w:val="22"/>
          <w:highlight w:val="none"/>
        </w:rPr>
        <w:t>工作日内</w:t>
      </w:r>
      <w:r>
        <w:rPr>
          <w:rFonts w:hint="eastAsia"/>
          <w:b w:val="0"/>
          <w:bCs w:val="0"/>
          <w:color w:val="auto"/>
          <w:sz w:val="22"/>
          <w:szCs w:val="22"/>
          <w:highlight w:val="none"/>
        </w:rPr>
        <w:t>，项目100%的人员到岗，否则合同采购人有权解除合同。</w:t>
      </w:r>
      <w:r>
        <w:rPr>
          <w:rFonts w:hint="eastAsia"/>
          <w:b w:val="0"/>
          <w:bCs w:val="0"/>
          <w:color w:val="auto"/>
          <w:sz w:val="22"/>
          <w:szCs w:val="22"/>
          <w:highlight w:val="none"/>
          <w:lang w:eastAsia="zh-CN"/>
        </w:rPr>
        <w:t>（投标人须在投标文件中提供单独书面承诺函，承诺函格式自定）</w:t>
      </w:r>
    </w:p>
    <w:p>
      <w:pPr>
        <w:pStyle w:val="8"/>
        <w:ind w:firstLine="440" w:firstLineChars="200"/>
        <w:rPr>
          <w:b w:val="0"/>
          <w:bCs w:val="0"/>
          <w:color w:val="auto"/>
          <w:sz w:val="22"/>
          <w:szCs w:val="22"/>
          <w:highlight w:val="none"/>
        </w:rPr>
      </w:pPr>
      <w:r>
        <w:rPr>
          <w:rFonts w:hint="eastAsia"/>
          <w:b w:val="0"/>
          <w:bCs w:val="0"/>
          <w:color w:val="auto"/>
          <w:sz w:val="22"/>
          <w:szCs w:val="22"/>
          <w:highlight w:val="none"/>
        </w:rPr>
        <w:t>（二）中标人应本着服务至上、诚信为本的宗旨，为采购人委派身体健康并符合合同要求的项目人员，同时需监督管理指导项目人员为采购人提供相关的优质服务。</w:t>
      </w:r>
    </w:p>
    <w:p>
      <w:pPr>
        <w:pStyle w:val="8"/>
        <w:ind w:firstLine="440" w:firstLineChars="200"/>
        <w:rPr>
          <w:b w:val="0"/>
          <w:bCs w:val="0"/>
          <w:color w:val="auto"/>
          <w:sz w:val="22"/>
          <w:szCs w:val="22"/>
          <w:highlight w:val="none"/>
        </w:rPr>
      </w:pPr>
      <w:r>
        <w:rPr>
          <w:rFonts w:hint="eastAsia"/>
          <w:b w:val="0"/>
          <w:bCs w:val="0"/>
          <w:color w:val="auto"/>
          <w:sz w:val="22"/>
          <w:szCs w:val="22"/>
          <w:highlight w:val="none"/>
        </w:rPr>
        <w:t>（三）中标人委派的项目人员应当尊重服务对象的自决权、隐私权、知情权，保护其利益，接纳服务对象。项目人员应遵守采购人工作有关保密要求。</w:t>
      </w:r>
    </w:p>
    <w:p>
      <w:pPr>
        <w:pStyle w:val="8"/>
        <w:ind w:firstLine="440" w:firstLineChars="200"/>
        <w:rPr>
          <w:rFonts w:hint="eastAsia"/>
          <w:b w:val="0"/>
          <w:bCs w:val="0"/>
          <w:color w:val="auto"/>
          <w:sz w:val="22"/>
          <w:szCs w:val="22"/>
          <w:highlight w:val="none"/>
        </w:rPr>
      </w:pPr>
      <w:r>
        <w:rPr>
          <w:rFonts w:hint="eastAsia"/>
          <w:b w:val="0"/>
          <w:bCs w:val="0"/>
          <w:color w:val="auto"/>
          <w:sz w:val="22"/>
          <w:szCs w:val="22"/>
          <w:highlight w:val="none"/>
        </w:rPr>
        <w:t>（四）中标人需安排符合要求的项目人员，并提前向采购人报备项目人员名单，经同意后方可安排上岗。如有人员变更的，需提前报备，征得采购人同意后方可变更。采购人</w:t>
      </w:r>
      <w:r>
        <w:rPr>
          <w:b w:val="0"/>
          <w:bCs w:val="0"/>
          <w:color w:val="auto"/>
          <w:sz w:val="22"/>
          <w:szCs w:val="22"/>
          <w:highlight w:val="none"/>
        </w:rPr>
        <w:t>要求</w:t>
      </w:r>
      <w:r>
        <w:rPr>
          <w:rFonts w:hint="eastAsia"/>
          <w:b w:val="0"/>
          <w:bCs w:val="0"/>
          <w:color w:val="auto"/>
          <w:sz w:val="22"/>
          <w:szCs w:val="22"/>
          <w:highlight w:val="none"/>
        </w:rPr>
        <w:t>变更</w:t>
      </w:r>
      <w:r>
        <w:rPr>
          <w:b w:val="0"/>
          <w:bCs w:val="0"/>
          <w:color w:val="auto"/>
          <w:sz w:val="22"/>
          <w:szCs w:val="22"/>
          <w:highlight w:val="none"/>
        </w:rPr>
        <w:t>人员</w:t>
      </w:r>
      <w:r>
        <w:rPr>
          <w:rFonts w:hint="eastAsia"/>
          <w:b w:val="0"/>
          <w:bCs w:val="0"/>
          <w:color w:val="auto"/>
          <w:sz w:val="22"/>
          <w:szCs w:val="22"/>
          <w:highlight w:val="none"/>
        </w:rPr>
        <w:t>时</w:t>
      </w:r>
      <w:r>
        <w:rPr>
          <w:b w:val="0"/>
          <w:bCs w:val="0"/>
          <w:color w:val="auto"/>
          <w:sz w:val="22"/>
          <w:szCs w:val="22"/>
          <w:highlight w:val="none"/>
        </w:rPr>
        <w:t>，中标人要</w:t>
      </w:r>
      <w:r>
        <w:rPr>
          <w:rFonts w:hint="eastAsia"/>
          <w:b w:val="0"/>
          <w:bCs w:val="0"/>
          <w:color w:val="auto"/>
          <w:sz w:val="22"/>
          <w:szCs w:val="22"/>
          <w:highlight w:val="none"/>
        </w:rPr>
        <w:t>在3个</w:t>
      </w:r>
      <w:r>
        <w:rPr>
          <w:b w:val="0"/>
          <w:bCs w:val="0"/>
          <w:color w:val="auto"/>
          <w:sz w:val="22"/>
          <w:szCs w:val="22"/>
          <w:highlight w:val="none"/>
        </w:rPr>
        <w:t>工作日内</w:t>
      </w:r>
      <w:r>
        <w:rPr>
          <w:rFonts w:hint="eastAsia"/>
          <w:b w:val="0"/>
          <w:bCs w:val="0"/>
          <w:color w:val="auto"/>
          <w:sz w:val="22"/>
          <w:szCs w:val="22"/>
          <w:highlight w:val="none"/>
        </w:rPr>
        <w:t>安排</w:t>
      </w:r>
      <w:r>
        <w:rPr>
          <w:b w:val="0"/>
          <w:bCs w:val="0"/>
          <w:color w:val="auto"/>
          <w:sz w:val="22"/>
          <w:szCs w:val="22"/>
          <w:highlight w:val="none"/>
        </w:rPr>
        <w:t>接替人员到岗。</w:t>
      </w:r>
    </w:p>
    <w:p>
      <w:pPr>
        <w:pStyle w:val="8"/>
        <w:ind w:firstLine="440" w:firstLineChars="200"/>
        <w:rPr>
          <w:b w:val="0"/>
          <w:bCs w:val="0"/>
          <w:color w:val="auto"/>
          <w:sz w:val="22"/>
          <w:szCs w:val="22"/>
          <w:highlight w:val="none"/>
        </w:rPr>
      </w:pPr>
      <w:r>
        <w:rPr>
          <w:rFonts w:hint="eastAsia"/>
          <w:b w:val="0"/>
          <w:bCs w:val="0"/>
          <w:color w:val="auto"/>
          <w:sz w:val="22"/>
          <w:szCs w:val="22"/>
          <w:highlight w:val="none"/>
        </w:rPr>
        <w:t>（五）</w:t>
      </w:r>
      <w:r>
        <w:rPr>
          <w:b w:val="0"/>
          <w:bCs w:val="0"/>
          <w:color w:val="auto"/>
          <w:sz w:val="22"/>
          <w:szCs w:val="22"/>
          <w:highlight w:val="none"/>
        </w:rPr>
        <w:t>合同期内，中标人应根据合同要求配备足量符合要求的项目人员，有项目人员离职的，应提前一个月报备并</w:t>
      </w:r>
      <w:r>
        <w:rPr>
          <w:rFonts w:hint="eastAsia"/>
          <w:b w:val="0"/>
          <w:bCs w:val="0"/>
          <w:color w:val="auto"/>
          <w:sz w:val="22"/>
          <w:szCs w:val="22"/>
          <w:highlight w:val="none"/>
        </w:rPr>
        <w:t>在有关人员</w:t>
      </w:r>
      <w:r>
        <w:rPr>
          <w:b w:val="0"/>
          <w:bCs w:val="0"/>
          <w:color w:val="auto"/>
          <w:sz w:val="22"/>
          <w:szCs w:val="22"/>
          <w:highlight w:val="none"/>
        </w:rPr>
        <w:t>离职前5</w:t>
      </w:r>
      <w:r>
        <w:rPr>
          <w:rFonts w:hint="eastAsia"/>
          <w:b w:val="0"/>
          <w:bCs w:val="0"/>
          <w:color w:val="auto"/>
          <w:sz w:val="22"/>
          <w:szCs w:val="22"/>
          <w:highlight w:val="none"/>
        </w:rPr>
        <w:t>个</w:t>
      </w:r>
      <w:r>
        <w:rPr>
          <w:b w:val="0"/>
          <w:bCs w:val="0"/>
          <w:color w:val="auto"/>
          <w:sz w:val="22"/>
          <w:szCs w:val="22"/>
          <w:highlight w:val="none"/>
        </w:rPr>
        <w:t>工作日内安排符合采购人要求的接替人员</w:t>
      </w:r>
      <w:r>
        <w:rPr>
          <w:rFonts w:hint="eastAsia"/>
          <w:b w:val="0"/>
          <w:bCs w:val="0"/>
          <w:color w:val="auto"/>
          <w:sz w:val="22"/>
          <w:szCs w:val="22"/>
          <w:highlight w:val="none"/>
        </w:rPr>
        <w:t>到岗</w:t>
      </w:r>
      <w:r>
        <w:rPr>
          <w:b w:val="0"/>
          <w:bCs w:val="0"/>
          <w:color w:val="auto"/>
          <w:sz w:val="22"/>
          <w:szCs w:val="22"/>
          <w:highlight w:val="none"/>
        </w:rPr>
        <w:t>。</w:t>
      </w:r>
    </w:p>
    <w:p>
      <w:pPr>
        <w:adjustRightInd w:val="0"/>
        <w:spacing w:line="360" w:lineRule="auto"/>
        <w:rPr>
          <w:rFonts w:hint="eastAsia"/>
          <w:b/>
          <w:bCs/>
          <w:color w:val="auto"/>
          <w:highlight w:val="none"/>
        </w:rPr>
      </w:pPr>
    </w:p>
    <w:p>
      <w:pPr>
        <w:adjustRightInd w:val="0"/>
        <w:spacing w:line="360" w:lineRule="auto"/>
        <w:rPr>
          <w:color w:val="auto"/>
          <w:highlight w:val="none"/>
        </w:rPr>
      </w:pPr>
      <w:r>
        <w:rPr>
          <w:rFonts w:hint="eastAsia"/>
          <w:b/>
          <w:bCs/>
          <w:color w:val="auto"/>
          <w:highlight w:val="none"/>
        </w:rPr>
        <w:t>附件一、东莞市司法局万江分局2023年购买社工服务项目运作季度考核表</w:t>
      </w:r>
      <w:r>
        <w:rPr>
          <w:rFonts w:hint="eastAsia"/>
          <w:b/>
          <w:color w:val="auto"/>
          <w:highlight w:val="none"/>
        </w:rPr>
        <w:t>(对项目整体进行测评)</w:t>
      </w:r>
    </w:p>
    <w:tbl>
      <w:tblPr>
        <w:tblStyle w:val="14"/>
        <w:tblW w:w="5012"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3"/>
        <w:gridCol w:w="1319"/>
        <w:gridCol w:w="1584"/>
        <w:gridCol w:w="2412"/>
        <w:gridCol w:w="539"/>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20" w:type="pct"/>
            <w:noWrap w:val="0"/>
            <w:vAlign w:val="center"/>
          </w:tcPr>
          <w:p>
            <w:pPr>
              <w:spacing w:line="360" w:lineRule="exact"/>
              <w:jc w:val="center"/>
              <w:rPr>
                <w:rFonts w:cs="仿宋_GB2312"/>
                <w:b/>
                <w:color w:val="auto"/>
                <w:highlight w:val="none"/>
              </w:rPr>
            </w:pPr>
            <w:r>
              <w:rPr>
                <w:rFonts w:hint="eastAsia" w:cs="仿宋_GB2312"/>
                <w:b/>
                <w:color w:val="auto"/>
                <w:highlight w:val="none"/>
              </w:rPr>
              <w:t>一级指标</w:t>
            </w:r>
          </w:p>
        </w:tc>
        <w:tc>
          <w:tcPr>
            <w:tcW w:w="791" w:type="pct"/>
            <w:noWrap w:val="0"/>
            <w:vAlign w:val="center"/>
          </w:tcPr>
          <w:p>
            <w:pPr>
              <w:spacing w:line="360" w:lineRule="exact"/>
              <w:jc w:val="center"/>
              <w:rPr>
                <w:rFonts w:cs="仿宋_GB2312"/>
                <w:b/>
                <w:color w:val="auto"/>
                <w:highlight w:val="none"/>
              </w:rPr>
            </w:pPr>
            <w:r>
              <w:rPr>
                <w:rFonts w:hint="eastAsia" w:cs="仿宋_GB2312"/>
                <w:b/>
                <w:color w:val="auto"/>
                <w:highlight w:val="none"/>
              </w:rPr>
              <w:t>二级指标</w:t>
            </w:r>
          </w:p>
        </w:tc>
        <w:tc>
          <w:tcPr>
            <w:tcW w:w="950" w:type="pct"/>
            <w:noWrap w:val="0"/>
            <w:vAlign w:val="center"/>
          </w:tcPr>
          <w:p>
            <w:pPr>
              <w:spacing w:line="360" w:lineRule="exact"/>
              <w:jc w:val="center"/>
              <w:rPr>
                <w:rFonts w:cs="仿宋_GB2312"/>
                <w:b/>
                <w:color w:val="auto"/>
                <w:highlight w:val="none"/>
              </w:rPr>
            </w:pPr>
            <w:r>
              <w:rPr>
                <w:rFonts w:hint="eastAsia" w:cs="仿宋_GB2312"/>
                <w:b/>
                <w:color w:val="auto"/>
                <w:highlight w:val="none"/>
              </w:rPr>
              <w:t>三级指标</w:t>
            </w:r>
          </w:p>
        </w:tc>
        <w:tc>
          <w:tcPr>
            <w:tcW w:w="1447" w:type="pct"/>
            <w:noWrap w:val="0"/>
            <w:vAlign w:val="center"/>
          </w:tcPr>
          <w:p>
            <w:pPr>
              <w:spacing w:line="360" w:lineRule="exact"/>
              <w:jc w:val="center"/>
              <w:rPr>
                <w:rFonts w:cs="仿宋_GB2312"/>
                <w:b/>
                <w:color w:val="auto"/>
                <w:highlight w:val="none"/>
              </w:rPr>
            </w:pPr>
            <w:r>
              <w:rPr>
                <w:rFonts w:hint="eastAsia" w:cs="仿宋_GB2312"/>
                <w:b/>
                <w:color w:val="auto"/>
                <w:highlight w:val="none"/>
              </w:rPr>
              <w:t>指标说明</w:t>
            </w:r>
          </w:p>
        </w:tc>
        <w:tc>
          <w:tcPr>
            <w:tcW w:w="323" w:type="pct"/>
            <w:noWrap w:val="0"/>
            <w:vAlign w:val="center"/>
          </w:tcPr>
          <w:p>
            <w:pPr>
              <w:spacing w:line="360" w:lineRule="exact"/>
              <w:jc w:val="center"/>
              <w:rPr>
                <w:rFonts w:cs="仿宋_GB2312"/>
                <w:b/>
                <w:color w:val="auto"/>
                <w:highlight w:val="none"/>
              </w:rPr>
            </w:pPr>
            <w:r>
              <w:rPr>
                <w:rFonts w:hint="eastAsia" w:cs="仿宋_GB2312"/>
                <w:b/>
                <w:color w:val="auto"/>
                <w:highlight w:val="none"/>
              </w:rPr>
              <w:t>分值</w:t>
            </w:r>
          </w:p>
        </w:tc>
        <w:tc>
          <w:tcPr>
            <w:tcW w:w="869" w:type="pct"/>
            <w:noWrap w:val="0"/>
            <w:vAlign w:val="center"/>
          </w:tcPr>
          <w:p>
            <w:pPr>
              <w:spacing w:line="360" w:lineRule="exact"/>
              <w:jc w:val="center"/>
              <w:rPr>
                <w:rFonts w:cs="仿宋_GB2312"/>
                <w:b/>
                <w:color w:val="auto"/>
                <w:highlight w:val="none"/>
              </w:rPr>
            </w:pPr>
            <w:r>
              <w:rPr>
                <w:rFonts w:hint="eastAsia" w:cs="仿宋_GB2312"/>
                <w:b/>
                <w:color w:val="auto"/>
                <w:highlight w:val="none"/>
              </w:rPr>
              <w:t>评价主体及评估结果所占比例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20" w:type="pct"/>
            <w:tcBorders>
              <w:top w:val="nil"/>
            </w:tcBorders>
            <w:noWrap w:val="0"/>
            <w:vAlign w:val="center"/>
          </w:tcPr>
          <w:p>
            <w:pPr>
              <w:spacing w:line="360" w:lineRule="exact"/>
              <w:ind w:left="220" w:hanging="210" w:hangingChars="100"/>
              <w:rPr>
                <w:rFonts w:hint="eastAsia" w:cs="仿宋_GB2312"/>
                <w:color w:val="auto"/>
                <w:highlight w:val="none"/>
              </w:rPr>
            </w:pPr>
            <w:r>
              <w:rPr>
                <w:rFonts w:hint="eastAsia" w:cs="仿宋_GB2312"/>
                <w:color w:val="auto"/>
                <w:highlight w:val="none"/>
              </w:rPr>
              <w:t>1.人员</w:t>
            </w:r>
            <w:r>
              <w:rPr>
                <w:rFonts w:cs="仿宋_GB2312"/>
                <w:color w:val="auto"/>
                <w:highlight w:val="none"/>
              </w:rPr>
              <w:t>配置</w:t>
            </w:r>
            <w:r>
              <w:rPr>
                <w:rFonts w:hint="eastAsia" w:cs="仿宋_GB2312"/>
                <w:color w:val="auto"/>
                <w:highlight w:val="none"/>
              </w:rPr>
              <w:t>（</w:t>
            </w:r>
            <w:r>
              <w:rPr>
                <w:rFonts w:cs="仿宋_GB2312"/>
                <w:color w:val="auto"/>
                <w:highlight w:val="none"/>
              </w:rPr>
              <w:t>2</w:t>
            </w:r>
            <w:r>
              <w:rPr>
                <w:rFonts w:hint="eastAsia" w:cs="仿宋_GB2312"/>
                <w:color w:val="auto"/>
                <w:highlight w:val="none"/>
              </w:rPr>
              <w:t>0分）</w:t>
            </w:r>
          </w:p>
        </w:tc>
        <w:tc>
          <w:tcPr>
            <w:tcW w:w="791" w:type="pct"/>
            <w:tcBorders>
              <w:top w:val="nil"/>
            </w:tcBorders>
            <w:noWrap w:val="0"/>
            <w:vAlign w:val="center"/>
          </w:tcPr>
          <w:p>
            <w:pPr>
              <w:spacing w:line="360" w:lineRule="exact"/>
              <w:rPr>
                <w:rFonts w:hint="eastAsia" w:cs="仿宋_GB2312"/>
                <w:color w:val="auto"/>
                <w:highlight w:val="none"/>
              </w:rPr>
            </w:pPr>
            <w:r>
              <w:rPr>
                <w:rFonts w:hint="eastAsia" w:cs="仿宋_GB2312"/>
                <w:color w:val="auto"/>
                <w:highlight w:val="none"/>
              </w:rPr>
              <w:t>1.1</w:t>
            </w:r>
            <w:r>
              <w:rPr>
                <w:rFonts w:cs="仿宋_GB2312"/>
                <w:color w:val="auto"/>
                <w:highlight w:val="none"/>
              </w:rPr>
              <w:t xml:space="preserve"> </w:t>
            </w:r>
            <w:r>
              <w:rPr>
                <w:rFonts w:hint="eastAsia" w:cs="仿宋_GB2312"/>
                <w:color w:val="auto"/>
                <w:highlight w:val="none"/>
              </w:rPr>
              <w:t>人员</w:t>
            </w:r>
            <w:r>
              <w:rPr>
                <w:rFonts w:cs="仿宋_GB2312"/>
                <w:color w:val="auto"/>
                <w:highlight w:val="none"/>
              </w:rPr>
              <w:t>配置</w:t>
            </w:r>
          </w:p>
        </w:tc>
        <w:tc>
          <w:tcPr>
            <w:tcW w:w="950" w:type="pct"/>
            <w:noWrap w:val="0"/>
            <w:vAlign w:val="center"/>
          </w:tcPr>
          <w:p>
            <w:pPr>
              <w:spacing w:line="360" w:lineRule="exact"/>
              <w:rPr>
                <w:rFonts w:cs="仿宋_GB2312"/>
                <w:color w:val="auto"/>
                <w:highlight w:val="none"/>
              </w:rPr>
            </w:pPr>
            <w:r>
              <w:rPr>
                <w:rFonts w:hint="eastAsia" w:cs="仿宋_GB2312"/>
                <w:color w:val="auto"/>
                <w:highlight w:val="none"/>
              </w:rPr>
              <w:t>1.1.</w:t>
            </w:r>
            <w:r>
              <w:rPr>
                <w:rFonts w:cs="仿宋_GB2312"/>
                <w:color w:val="auto"/>
                <w:highlight w:val="none"/>
              </w:rPr>
              <w:t>1</w:t>
            </w:r>
            <w:r>
              <w:rPr>
                <w:rFonts w:cs="仿宋_GB2312"/>
                <w:color w:val="auto"/>
                <w:spacing w:val="-63"/>
                <w:highlight w:val="none"/>
              </w:rPr>
              <w:t xml:space="preserve"> </w:t>
            </w:r>
            <w:r>
              <w:rPr>
                <w:rFonts w:hint="eastAsia" w:cs="仿宋_GB2312"/>
                <w:color w:val="auto"/>
                <w:spacing w:val="-12"/>
                <w:highlight w:val="none"/>
              </w:rPr>
              <w:t>人员</w:t>
            </w:r>
            <w:r>
              <w:rPr>
                <w:rFonts w:hint="eastAsia" w:cs="仿宋_GB2312"/>
                <w:color w:val="auto"/>
                <w:highlight w:val="none"/>
              </w:rPr>
              <w:t>稳定性</w:t>
            </w:r>
          </w:p>
        </w:tc>
        <w:tc>
          <w:tcPr>
            <w:tcW w:w="1447" w:type="pct"/>
            <w:noWrap w:val="0"/>
            <w:vAlign w:val="center"/>
          </w:tcPr>
          <w:p>
            <w:pPr>
              <w:spacing w:line="360" w:lineRule="exact"/>
              <w:rPr>
                <w:rFonts w:cs="仿宋_GB2312"/>
                <w:color w:val="auto"/>
                <w:highlight w:val="none"/>
              </w:rPr>
            </w:pPr>
            <w:r>
              <w:rPr>
                <w:rFonts w:hint="eastAsia" w:cs="仿宋_GB2312"/>
                <w:color w:val="auto"/>
                <w:highlight w:val="none"/>
              </w:rPr>
              <w:t>项目人员稳定，没有出现变动或出现变动中标人也能及时补上接替人员，没有造成空岗。</w:t>
            </w:r>
          </w:p>
        </w:tc>
        <w:tc>
          <w:tcPr>
            <w:tcW w:w="323" w:type="pct"/>
            <w:noWrap w:val="0"/>
            <w:vAlign w:val="center"/>
          </w:tcPr>
          <w:p>
            <w:pPr>
              <w:spacing w:line="360" w:lineRule="exact"/>
              <w:jc w:val="center"/>
              <w:rPr>
                <w:rFonts w:cs="仿宋_GB2312"/>
                <w:color w:val="auto"/>
                <w:highlight w:val="none"/>
              </w:rPr>
            </w:pPr>
            <w:r>
              <w:rPr>
                <w:rFonts w:cs="仿宋_GB2312"/>
                <w:color w:val="auto"/>
                <w:highlight w:val="none"/>
              </w:rPr>
              <w:t>20</w:t>
            </w:r>
          </w:p>
        </w:tc>
        <w:tc>
          <w:tcPr>
            <w:tcW w:w="869" w:type="pct"/>
            <w:noWrap w:val="0"/>
            <w:vAlign w:val="center"/>
          </w:tcPr>
          <w:p>
            <w:pPr>
              <w:spacing w:line="360" w:lineRule="exact"/>
              <w:jc w:val="center"/>
              <w:rPr>
                <w:rFonts w:cs="仿宋_GB2312"/>
                <w:color w:val="auto"/>
                <w:highlight w:val="none"/>
              </w:rPr>
            </w:pPr>
            <w:r>
              <w:rPr>
                <w:rFonts w:hint="eastAsia" w:cs="仿宋_GB2312"/>
                <w:color w:val="auto"/>
                <w:highlight w:val="none"/>
              </w:rPr>
              <w:t>服务单位100%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20" w:type="pct"/>
            <w:vMerge w:val="restart"/>
            <w:noWrap w:val="0"/>
            <w:vAlign w:val="center"/>
          </w:tcPr>
          <w:p>
            <w:pPr>
              <w:spacing w:line="360" w:lineRule="exact"/>
              <w:rPr>
                <w:rFonts w:cs="仿宋_GB2312"/>
                <w:color w:val="auto"/>
                <w:highlight w:val="none"/>
              </w:rPr>
            </w:pPr>
            <w:r>
              <w:rPr>
                <w:rFonts w:cs="仿宋_GB2312"/>
                <w:color w:val="auto"/>
                <w:spacing w:val="-7"/>
                <w:highlight w:val="none"/>
              </w:rPr>
              <w:t>2</w:t>
            </w:r>
            <w:r>
              <w:rPr>
                <w:rFonts w:hint="eastAsia" w:cs="仿宋_GB2312"/>
                <w:color w:val="auto"/>
                <w:spacing w:val="-7"/>
                <w:highlight w:val="none"/>
              </w:rPr>
              <w:t>.服务产</w:t>
            </w:r>
            <w:r>
              <w:rPr>
                <w:rFonts w:hint="eastAsia" w:cs="仿宋_GB2312"/>
                <w:color w:val="auto"/>
                <w:spacing w:val="-5"/>
                <w:highlight w:val="none"/>
              </w:rPr>
              <w:t>出与成效</w:t>
            </w:r>
          </w:p>
          <w:p>
            <w:pPr>
              <w:spacing w:line="360" w:lineRule="exact"/>
              <w:ind w:firstLine="105" w:firstLineChars="50"/>
              <w:rPr>
                <w:rFonts w:cs="仿宋_GB2312"/>
                <w:color w:val="auto"/>
                <w:highlight w:val="none"/>
              </w:rPr>
            </w:pPr>
            <w:r>
              <w:rPr>
                <w:rFonts w:hint="eastAsia" w:cs="仿宋_GB2312"/>
                <w:color w:val="auto"/>
                <w:highlight w:val="none"/>
              </w:rPr>
              <w:t>（55</w:t>
            </w:r>
            <w:r>
              <w:rPr>
                <w:rFonts w:hint="eastAsia" w:cs="仿宋_GB2312"/>
                <w:color w:val="auto"/>
                <w:spacing w:val="-52"/>
                <w:highlight w:val="none"/>
              </w:rPr>
              <w:t xml:space="preserve"> </w:t>
            </w:r>
            <w:r>
              <w:rPr>
                <w:rFonts w:hint="eastAsia" w:cs="仿宋_GB2312"/>
                <w:color w:val="auto"/>
                <w:highlight w:val="none"/>
              </w:rPr>
              <w:t>分）</w:t>
            </w:r>
          </w:p>
        </w:tc>
        <w:tc>
          <w:tcPr>
            <w:tcW w:w="791" w:type="pct"/>
            <w:vMerge w:val="restart"/>
            <w:noWrap w:val="0"/>
            <w:vAlign w:val="center"/>
          </w:tcPr>
          <w:p>
            <w:pPr>
              <w:spacing w:line="360" w:lineRule="exact"/>
              <w:rPr>
                <w:rFonts w:cs="仿宋_GB2312"/>
                <w:color w:val="auto"/>
                <w:highlight w:val="none"/>
              </w:rPr>
            </w:pPr>
            <w:r>
              <w:rPr>
                <w:rFonts w:hint="eastAsia" w:cs="仿宋_GB2312"/>
                <w:color w:val="auto"/>
                <w:highlight w:val="none"/>
              </w:rPr>
              <w:t>2.1</w:t>
            </w:r>
            <w:r>
              <w:rPr>
                <w:rFonts w:hint="eastAsia" w:cs="仿宋_GB2312"/>
                <w:color w:val="auto"/>
                <w:spacing w:val="-52"/>
                <w:highlight w:val="none"/>
              </w:rPr>
              <w:t xml:space="preserve"> </w:t>
            </w:r>
            <w:r>
              <w:rPr>
                <w:rFonts w:hint="eastAsia" w:cs="仿宋_GB2312"/>
                <w:color w:val="auto"/>
                <w:highlight w:val="none"/>
              </w:rPr>
              <w:t>合</w:t>
            </w:r>
            <w:r>
              <w:rPr>
                <w:rFonts w:hint="eastAsia" w:cs="仿宋_GB2312"/>
                <w:color w:val="auto"/>
                <w:spacing w:val="-7"/>
                <w:highlight w:val="none"/>
              </w:rPr>
              <w:t>同完成</w:t>
            </w:r>
            <w:r>
              <w:rPr>
                <w:rFonts w:hint="eastAsia" w:cs="仿宋_GB2312"/>
                <w:color w:val="auto"/>
                <w:highlight w:val="none"/>
              </w:rPr>
              <w:t>情况</w:t>
            </w:r>
          </w:p>
        </w:tc>
        <w:tc>
          <w:tcPr>
            <w:tcW w:w="950" w:type="pct"/>
            <w:noWrap w:val="0"/>
            <w:vAlign w:val="center"/>
          </w:tcPr>
          <w:p>
            <w:pPr>
              <w:spacing w:line="360" w:lineRule="exact"/>
              <w:rPr>
                <w:rFonts w:cs="仿宋_GB2312"/>
                <w:color w:val="auto"/>
                <w:highlight w:val="none"/>
              </w:rPr>
            </w:pPr>
            <w:r>
              <w:rPr>
                <w:rFonts w:cs="仿宋_GB2312"/>
                <w:color w:val="auto"/>
                <w:highlight w:val="none"/>
              </w:rPr>
              <w:t>2</w:t>
            </w:r>
            <w:r>
              <w:rPr>
                <w:rFonts w:hint="eastAsia" w:cs="仿宋_GB2312"/>
                <w:color w:val="auto"/>
                <w:highlight w:val="none"/>
              </w:rPr>
              <w:t>.1.1</w:t>
            </w:r>
            <w:r>
              <w:rPr>
                <w:rFonts w:cs="仿宋_GB2312"/>
                <w:color w:val="auto"/>
                <w:spacing w:val="-63"/>
                <w:highlight w:val="none"/>
              </w:rPr>
              <w:t xml:space="preserve"> </w:t>
            </w:r>
            <w:r>
              <w:rPr>
                <w:rFonts w:hint="eastAsia" w:cs="仿宋_GB2312"/>
                <w:color w:val="auto"/>
                <w:spacing w:val="-12"/>
                <w:highlight w:val="none"/>
              </w:rPr>
              <w:t>合同</w:t>
            </w:r>
            <w:r>
              <w:rPr>
                <w:rFonts w:hint="eastAsia" w:cs="仿宋_GB2312"/>
                <w:color w:val="auto"/>
                <w:spacing w:val="-1"/>
                <w:highlight w:val="none"/>
              </w:rPr>
              <w:t>服务指标完成情况</w:t>
            </w:r>
          </w:p>
        </w:tc>
        <w:tc>
          <w:tcPr>
            <w:tcW w:w="1447" w:type="pct"/>
            <w:noWrap w:val="0"/>
            <w:vAlign w:val="center"/>
          </w:tcPr>
          <w:p>
            <w:pPr>
              <w:spacing w:line="360" w:lineRule="exact"/>
              <w:rPr>
                <w:rFonts w:cs="仿宋_GB2312"/>
                <w:color w:val="auto"/>
                <w:highlight w:val="none"/>
              </w:rPr>
            </w:pPr>
            <w:r>
              <w:rPr>
                <w:rFonts w:hint="eastAsia" w:cs="仿宋_GB2312"/>
                <w:color w:val="auto"/>
                <w:highlight w:val="none"/>
              </w:rPr>
              <w:t>对中标人完成合同规定服务指标的情况进行评价。</w:t>
            </w:r>
          </w:p>
        </w:tc>
        <w:tc>
          <w:tcPr>
            <w:tcW w:w="323" w:type="pct"/>
            <w:noWrap w:val="0"/>
            <w:vAlign w:val="center"/>
          </w:tcPr>
          <w:p>
            <w:pPr>
              <w:spacing w:line="360" w:lineRule="exact"/>
              <w:jc w:val="center"/>
              <w:rPr>
                <w:rFonts w:cs="仿宋_GB2312"/>
                <w:color w:val="auto"/>
                <w:highlight w:val="none"/>
              </w:rPr>
            </w:pPr>
            <w:r>
              <w:rPr>
                <w:rFonts w:cs="仿宋_GB2312"/>
                <w:color w:val="auto"/>
                <w:highlight w:val="none"/>
              </w:rPr>
              <w:t>25</w:t>
            </w:r>
          </w:p>
        </w:tc>
        <w:tc>
          <w:tcPr>
            <w:tcW w:w="869" w:type="pct"/>
            <w:noWrap w:val="0"/>
            <w:vAlign w:val="center"/>
          </w:tcPr>
          <w:p>
            <w:pPr>
              <w:spacing w:line="360" w:lineRule="exact"/>
              <w:jc w:val="center"/>
              <w:rPr>
                <w:rFonts w:cs="仿宋_GB2312"/>
                <w:color w:val="auto"/>
                <w:highlight w:val="none"/>
              </w:rPr>
            </w:pPr>
            <w:r>
              <w:rPr>
                <w:rFonts w:hint="eastAsia" w:cs="仿宋_GB2312"/>
                <w:color w:val="auto"/>
                <w:highlight w:val="none"/>
              </w:rPr>
              <w:t>服务单位100%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20" w:type="pct"/>
            <w:vMerge w:val="continue"/>
            <w:noWrap w:val="0"/>
            <w:vAlign w:val="center"/>
          </w:tcPr>
          <w:p>
            <w:pPr>
              <w:spacing w:line="360" w:lineRule="exact"/>
              <w:rPr>
                <w:rFonts w:cs="仿宋_GB2312"/>
                <w:color w:val="auto"/>
                <w:highlight w:val="none"/>
              </w:rPr>
            </w:pPr>
          </w:p>
        </w:tc>
        <w:tc>
          <w:tcPr>
            <w:tcW w:w="791" w:type="pct"/>
            <w:vMerge w:val="continue"/>
            <w:tcBorders>
              <w:top w:val="nil"/>
            </w:tcBorders>
            <w:noWrap w:val="0"/>
            <w:vAlign w:val="center"/>
          </w:tcPr>
          <w:p>
            <w:pPr>
              <w:spacing w:line="360" w:lineRule="exact"/>
              <w:rPr>
                <w:rFonts w:cs="仿宋_GB2312"/>
                <w:color w:val="auto"/>
                <w:highlight w:val="none"/>
              </w:rPr>
            </w:pPr>
          </w:p>
        </w:tc>
        <w:tc>
          <w:tcPr>
            <w:tcW w:w="950" w:type="pct"/>
            <w:noWrap w:val="0"/>
            <w:vAlign w:val="center"/>
          </w:tcPr>
          <w:p>
            <w:pPr>
              <w:spacing w:line="360" w:lineRule="exact"/>
              <w:rPr>
                <w:rFonts w:cs="仿宋_GB2312"/>
                <w:color w:val="auto"/>
                <w:highlight w:val="none"/>
              </w:rPr>
            </w:pPr>
            <w:r>
              <w:rPr>
                <w:rFonts w:cs="仿宋_GB2312"/>
                <w:color w:val="auto"/>
                <w:highlight w:val="none"/>
              </w:rPr>
              <w:t>2</w:t>
            </w:r>
            <w:r>
              <w:rPr>
                <w:rFonts w:hint="eastAsia" w:cs="仿宋_GB2312"/>
                <w:color w:val="auto"/>
                <w:highlight w:val="none"/>
              </w:rPr>
              <w:t>.1.2</w:t>
            </w:r>
            <w:r>
              <w:rPr>
                <w:rFonts w:cs="仿宋_GB2312"/>
                <w:color w:val="auto"/>
                <w:spacing w:val="-63"/>
                <w:highlight w:val="none"/>
              </w:rPr>
              <w:t xml:space="preserve"> </w:t>
            </w:r>
            <w:r>
              <w:rPr>
                <w:rFonts w:hint="eastAsia" w:cs="仿宋_GB2312"/>
                <w:color w:val="auto"/>
                <w:spacing w:val="-12"/>
                <w:highlight w:val="none"/>
              </w:rPr>
              <w:t>合同</w:t>
            </w:r>
            <w:r>
              <w:rPr>
                <w:rFonts w:hint="eastAsia" w:cs="仿宋_GB2312"/>
                <w:color w:val="auto"/>
                <w:spacing w:val="-1"/>
                <w:highlight w:val="none"/>
              </w:rPr>
              <w:t>服务内容实现情况</w:t>
            </w:r>
          </w:p>
        </w:tc>
        <w:tc>
          <w:tcPr>
            <w:tcW w:w="1447" w:type="pct"/>
            <w:noWrap w:val="0"/>
            <w:vAlign w:val="center"/>
          </w:tcPr>
          <w:p>
            <w:pPr>
              <w:spacing w:line="360" w:lineRule="exact"/>
              <w:rPr>
                <w:rFonts w:cs="仿宋_GB2312"/>
                <w:color w:val="auto"/>
                <w:highlight w:val="none"/>
              </w:rPr>
            </w:pPr>
            <w:r>
              <w:rPr>
                <w:rFonts w:hint="eastAsia" w:cs="仿宋_GB2312"/>
                <w:color w:val="auto"/>
                <w:highlight w:val="none"/>
              </w:rPr>
              <w:t>对中标人的实际工作情况进行评价。</w:t>
            </w:r>
          </w:p>
        </w:tc>
        <w:tc>
          <w:tcPr>
            <w:tcW w:w="323" w:type="pct"/>
            <w:noWrap w:val="0"/>
            <w:vAlign w:val="center"/>
          </w:tcPr>
          <w:p>
            <w:pPr>
              <w:spacing w:line="360" w:lineRule="exact"/>
              <w:jc w:val="center"/>
              <w:rPr>
                <w:rFonts w:cs="仿宋_GB2312"/>
                <w:color w:val="auto"/>
                <w:highlight w:val="none"/>
              </w:rPr>
            </w:pPr>
            <w:r>
              <w:rPr>
                <w:rFonts w:cs="仿宋_GB2312"/>
                <w:color w:val="auto"/>
                <w:highlight w:val="none"/>
              </w:rPr>
              <w:t>2</w:t>
            </w:r>
            <w:r>
              <w:rPr>
                <w:rFonts w:hint="eastAsia" w:cs="仿宋_GB2312"/>
                <w:color w:val="auto"/>
                <w:highlight w:val="none"/>
              </w:rPr>
              <w:t>0</w:t>
            </w:r>
          </w:p>
        </w:tc>
        <w:tc>
          <w:tcPr>
            <w:tcW w:w="869" w:type="pct"/>
            <w:noWrap w:val="0"/>
            <w:vAlign w:val="center"/>
          </w:tcPr>
          <w:p>
            <w:pPr>
              <w:spacing w:line="360" w:lineRule="exact"/>
              <w:jc w:val="center"/>
              <w:rPr>
                <w:rFonts w:cs="仿宋_GB2312"/>
                <w:color w:val="auto"/>
                <w:highlight w:val="none"/>
              </w:rPr>
            </w:pPr>
            <w:r>
              <w:rPr>
                <w:rFonts w:hint="eastAsia" w:cs="仿宋_GB2312"/>
                <w:color w:val="auto"/>
                <w:highlight w:val="none"/>
              </w:rPr>
              <w:t>服务单位100%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20" w:type="pct"/>
            <w:vMerge w:val="continue"/>
            <w:noWrap w:val="0"/>
            <w:vAlign w:val="center"/>
          </w:tcPr>
          <w:p>
            <w:pPr>
              <w:spacing w:line="360" w:lineRule="exact"/>
              <w:rPr>
                <w:rFonts w:cs="仿宋_GB2312"/>
                <w:color w:val="auto"/>
                <w:highlight w:val="none"/>
              </w:rPr>
            </w:pPr>
          </w:p>
        </w:tc>
        <w:tc>
          <w:tcPr>
            <w:tcW w:w="791" w:type="pct"/>
            <w:noWrap w:val="0"/>
            <w:vAlign w:val="center"/>
          </w:tcPr>
          <w:p>
            <w:pPr>
              <w:spacing w:line="360" w:lineRule="exact"/>
              <w:rPr>
                <w:rFonts w:cs="仿宋_GB2312"/>
                <w:color w:val="auto"/>
                <w:highlight w:val="none"/>
              </w:rPr>
            </w:pPr>
            <w:r>
              <w:rPr>
                <w:rFonts w:cs="仿宋_GB2312"/>
                <w:color w:val="auto"/>
                <w:highlight w:val="none"/>
              </w:rPr>
              <w:t>2</w:t>
            </w:r>
            <w:r>
              <w:rPr>
                <w:rFonts w:hint="eastAsia" w:cs="仿宋_GB2312"/>
                <w:color w:val="auto"/>
                <w:highlight w:val="none"/>
              </w:rPr>
              <w:t>.2</w:t>
            </w:r>
            <w:r>
              <w:rPr>
                <w:rFonts w:hint="eastAsia" w:cs="仿宋_GB2312"/>
                <w:color w:val="auto"/>
                <w:spacing w:val="-52"/>
                <w:highlight w:val="none"/>
              </w:rPr>
              <w:t xml:space="preserve"> </w:t>
            </w:r>
            <w:r>
              <w:rPr>
                <w:rFonts w:hint="eastAsia" w:cs="仿宋_GB2312"/>
                <w:color w:val="auto"/>
                <w:highlight w:val="none"/>
              </w:rPr>
              <w:t>服</w:t>
            </w:r>
            <w:r>
              <w:rPr>
                <w:rFonts w:hint="eastAsia" w:cs="仿宋_GB2312"/>
                <w:color w:val="auto"/>
                <w:spacing w:val="-7"/>
                <w:highlight w:val="none"/>
              </w:rPr>
              <w:t>务总结</w:t>
            </w:r>
            <w:r>
              <w:rPr>
                <w:rFonts w:hint="eastAsia" w:cs="仿宋_GB2312"/>
                <w:color w:val="auto"/>
                <w:highlight w:val="none"/>
              </w:rPr>
              <w:t>与反思</w:t>
            </w:r>
          </w:p>
        </w:tc>
        <w:tc>
          <w:tcPr>
            <w:tcW w:w="950" w:type="pct"/>
            <w:noWrap w:val="0"/>
            <w:vAlign w:val="center"/>
          </w:tcPr>
          <w:p>
            <w:pPr>
              <w:spacing w:line="360" w:lineRule="exact"/>
              <w:rPr>
                <w:rFonts w:cs="仿宋_GB2312"/>
                <w:color w:val="auto"/>
                <w:highlight w:val="none"/>
              </w:rPr>
            </w:pPr>
            <w:r>
              <w:rPr>
                <w:rFonts w:cs="仿宋_GB2312"/>
                <w:color w:val="auto"/>
                <w:highlight w:val="none"/>
              </w:rPr>
              <w:t>2</w:t>
            </w:r>
            <w:r>
              <w:rPr>
                <w:rFonts w:hint="eastAsia" w:cs="仿宋_GB2312"/>
                <w:color w:val="auto"/>
                <w:highlight w:val="none"/>
              </w:rPr>
              <w:t>.2.1</w:t>
            </w:r>
            <w:r>
              <w:rPr>
                <w:rFonts w:cs="仿宋_GB2312"/>
                <w:color w:val="auto"/>
                <w:spacing w:val="-63"/>
                <w:highlight w:val="none"/>
              </w:rPr>
              <w:t xml:space="preserve"> </w:t>
            </w:r>
            <w:r>
              <w:rPr>
                <w:rFonts w:hint="eastAsia" w:cs="仿宋_GB2312"/>
                <w:color w:val="auto"/>
                <w:spacing w:val="-12"/>
                <w:highlight w:val="none"/>
              </w:rPr>
              <w:t>服务</w:t>
            </w:r>
            <w:r>
              <w:rPr>
                <w:rFonts w:hint="eastAsia" w:cs="仿宋_GB2312"/>
                <w:color w:val="auto"/>
                <w:spacing w:val="-1"/>
                <w:highlight w:val="none"/>
              </w:rPr>
              <w:t>总结与反</w:t>
            </w:r>
            <w:r>
              <w:rPr>
                <w:rFonts w:hint="eastAsia" w:cs="仿宋_GB2312"/>
                <w:color w:val="auto"/>
                <w:highlight w:val="none"/>
              </w:rPr>
              <w:t>思</w:t>
            </w:r>
          </w:p>
        </w:tc>
        <w:tc>
          <w:tcPr>
            <w:tcW w:w="1447" w:type="pct"/>
            <w:noWrap w:val="0"/>
            <w:vAlign w:val="center"/>
          </w:tcPr>
          <w:p>
            <w:pPr>
              <w:spacing w:line="360" w:lineRule="exact"/>
              <w:rPr>
                <w:rFonts w:cs="仿宋_GB2312"/>
                <w:color w:val="auto"/>
                <w:highlight w:val="none"/>
              </w:rPr>
            </w:pPr>
            <w:r>
              <w:rPr>
                <w:rFonts w:hint="eastAsia" w:cs="仿宋_GB2312"/>
                <w:color w:val="auto"/>
                <w:highlight w:val="none"/>
              </w:rPr>
              <w:t>中标人需定期对项目服务开展情况进行总结与反思，并按时提交总结。</w:t>
            </w:r>
          </w:p>
        </w:tc>
        <w:tc>
          <w:tcPr>
            <w:tcW w:w="323" w:type="pct"/>
            <w:noWrap w:val="0"/>
            <w:vAlign w:val="center"/>
          </w:tcPr>
          <w:p>
            <w:pPr>
              <w:spacing w:line="360" w:lineRule="exact"/>
              <w:jc w:val="center"/>
              <w:rPr>
                <w:rFonts w:cs="仿宋_GB2312"/>
                <w:color w:val="auto"/>
                <w:highlight w:val="none"/>
              </w:rPr>
            </w:pPr>
            <w:r>
              <w:rPr>
                <w:rFonts w:cs="仿宋_GB2312"/>
                <w:color w:val="auto"/>
                <w:highlight w:val="none"/>
              </w:rPr>
              <w:t>1</w:t>
            </w:r>
            <w:r>
              <w:rPr>
                <w:rFonts w:hint="eastAsia" w:cs="仿宋_GB2312"/>
                <w:color w:val="auto"/>
                <w:highlight w:val="none"/>
              </w:rPr>
              <w:t>0</w:t>
            </w:r>
          </w:p>
        </w:tc>
        <w:tc>
          <w:tcPr>
            <w:tcW w:w="869" w:type="pct"/>
            <w:noWrap w:val="0"/>
            <w:vAlign w:val="center"/>
          </w:tcPr>
          <w:p>
            <w:pPr>
              <w:spacing w:line="360" w:lineRule="exact"/>
              <w:jc w:val="center"/>
              <w:rPr>
                <w:rFonts w:cs="仿宋_GB2312"/>
                <w:color w:val="auto"/>
                <w:highlight w:val="none"/>
              </w:rPr>
            </w:pPr>
            <w:r>
              <w:rPr>
                <w:rFonts w:hint="eastAsia" w:cs="仿宋_GB2312"/>
                <w:color w:val="auto"/>
                <w:highlight w:val="none"/>
              </w:rPr>
              <w:t>服务单位100%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20" w:type="pct"/>
            <w:vMerge w:val="restart"/>
            <w:noWrap w:val="0"/>
            <w:vAlign w:val="center"/>
          </w:tcPr>
          <w:p>
            <w:pPr>
              <w:spacing w:line="360" w:lineRule="exact"/>
              <w:ind w:left="110" w:hanging="105" w:hangingChars="50"/>
              <w:rPr>
                <w:rFonts w:hint="eastAsia" w:cs="仿宋_GB2312"/>
                <w:color w:val="auto"/>
                <w:highlight w:val="none"/>
              </w:rPr>
            </w:pPr>
            <w:r>
              <w:rPr>
                <w:rFonts w:cs="仿宋_GB2312"/>
                <w:color w:val="auto"/>
                <w:highlight w:val="none"/>
              </w:rPr>
              <w:t>3</w:t>
            </w:r>
            <w:r>
              <w:rPr>
                <w:rFonts w:hint="eastAsia" w:cs="仿宋_GB2312"/>
                <w:color w:val="auto"/>
                <w:highlight w:val="none"/>
              </w:rPr>
              <w:t>.服务</w:t>
            </w:r>
            <w:r>
              <w:rPr>
                <w:rFonts w:cs="仿宋_GB2312"/>
                <w:color w:val="auto"/>
                <w:highlight w:val="none"/>
              </w:rPr>
              <w:t>整改</w:t>
            </w:r>
            <w:r>
              <w:rPr>
                <w:rFonts w:hint="eastAsia" w:cs="仿宋_GB2312"/>
                <w:color w:val="auto"/>
                <w:highlight w:val="none"/>
              </w:rPr>
              <w:t>（</w:t>
            </w:r>
            <w:r>
              <w:rPr>
                <w:rFonts w:cs="仿宋_GB2312"/>
                <w:color w:val="auto"/>
                <w:highlight w:val="none"/>
              </w:rPr>
              <w:t>2</w:t>
            </w:r>
            <w:r>
              <w:rPr>
                <w:rFonts w:hint="eastAsia" w:cs="仿宋_GB2312"/>
                <w:color w:val="auto"/>
                <w:highlight w:val="none"/>
              </w:rPr>
              <w:t>5</w:t>
            </w:r>
            <w:r>
              <w:rPr>
                <w:rFonts w:hint="eastAsia" w:cs="仿宋_GB2312"/>
                <w:color w:val="auto"/>
                <w:spacing w:val="-52"/>
                <w:highlight w:val="none"/>
              </w:rPr>
              <w:t xml:space="preserve"> </w:t>
            </w:r>
            <w:r>
              <w:rPr>
                <w:rFonts w:hint="eastAsia" w:cs="仿宋_GB2312"/>
                <w:color w:val="auto"/>
                <w:highlight w:val="none"/>
              </w:rPr>
              <w:t>分）</w:t>
            </w:r>
          </w:p>
        </w:tc>
        <w:tc>
          <w:tcPr>
            <w:tcW w:w="791" w:type="pct"/>
            <w:vMerge w:val="restart"/>
            <w:noWrap w:val="0"/>
            <w:vAlign w:val="center"/>
          </w:tcPr>
          <w:p>
            <w:pPr>
              <w:spacing w:line="360" w:lineRule="exact"/>
              <w:rPr>
                <w:rFonts w:hint="eastAsia" w:cs="仿宋_GB2312"/>
                <w:color w:val="auto"/>
                <w:highlight w:val="none"/>
              </w:rPr>
            </w:pPr>
            <w:r>
              <w:rPr>
                <w:rFonts w:cs="仿宋_GB2312"/>
                <w:color w:val="auto"/>
                <w:highlight w:val="none"/>
              </w:rPr>
              <w:t>3</w:t>
            </w:r>
            <w:r>
              <w:rPr>
                <w:rFonts w:hint="eastAsia" w:cs="仿宋_GB2312"/>
                <w:color w:val="auto"/>
                <w:highlight w:val="none"/>
              </w:rPr>
              <w:t>.1</w:t>
            </w:r>
            <w:r>
              <w:rPr>
                <w:rFonts w:cs="仿宋_GB2312"/>
                <w:color w:val="auto"/>
                <w:highlight w:val="none"/>
              </w:rPr>
              <w:t xml:space="preserve"> </w:t>
            </w:r>
            <w:r>
              <w:rPr>
                <w:rFonts w:hint="eastAsia" w:cs="仿宋_GB2312"/>
                <w:color w:val="auto"/>
                <w:highlight w:val="none"/>
              </w:rPr>
              <w:t>服务</w:t>
            </w:r>
            <w:r>
              <w:rPr>
                <w:rFonts w:cs="仿宋_GB2312"/>
                <w:color w:val="auto"/>
                <w:highlight w:val="none"/>
              </w:rPr>
              <w:t>整改</w:t>
            </w:r>
          </w:p>
        </w:tc>
        <w:tc>
          <w:tcPr>
            <w:tcW w:w="950" w:type="pct"/>
            <w:noWrap w:val="0"/>
            <w:vAlign w:val="center"/>
          </w:tcPr>
          <w:p>
            <w:pPr>
              <w:spacing w:line="360" w:lineRule="exact"/>
              <w:rPr>
                <w:rFonts w:hint="eastAsia" w:cs="仿宋_GB2312"/>
                <w:color w:val="auto"/>
                <w:highlight w:val="none"/>
              </w:rPr>
            </w:pPr>
            <w:r>
              <w:rPr>
                <w:rFonts w:cs="仿宋_GB2312"/>
                <w:color w:val="auto"/>
                <w:highlight w:val="none"/>
              </w:rPr>
              <w:t>3</w:t>
            </w:r>
            <w:r>
              <w:rPr>
                <w:rFonts w:hint="eastAsia" w:cs="仿宋_GB2312"/>
                <w:color w:val="auto"/>
                <w:highlight w:val="none"/>
              </w:rPr>
              <w:t>.1.1</w:t>
            </w:r>
            <w:r>
              <w:rPr>
                <w:rFonts w:cs="仿宋_GB2312"/>
                <w:color w:val="auto"/>
                <w:highlight w:val="none"/>
              </w:rPr>
              <w:t xml:space="preserve"> </w:t>
            </w:r>
            <w:r>
              <w:rPr>
                <w:rFonts w:hint="eastAsia" w:cs="仿宋_GB2312"/>
                <w:color w:val="auto"/>
                <w:highlight w:val="none"/>
              </w:rPr>
              <w:t>响应</w:t>
            </w:r>
            <w:r>
              <w:rPr>
                <w:rFonts w:cs="仿宋_GB2312"/>
                <w:color w:val="auto"/>
                <w:highlight w:val="none"/>
              </w:rPr>
              <w:t>速度</w:t>
            </w:r>
          </w:p>
        </w:tc>
        <w:tc>
          <w:tcPr>
            <w:tcW w:w="1447" w:type="pct"/>
            <w:noWrap w:val="0"/>
            <w:vAlign w:val="center"/>
          </w:tcPr>
          <w:p>
            <w:pPr>
              <w:spacing w:line="360" w:lineRule="exact"/>
              <w:rPr>
                <w:rFonts w:hint="eastAsia" w:cs="仿宋_GB2312"/>
                <w:color w:val="auto"/>
                <w:highlight w:val="none"/>
              </w:rPr>
            </w:pPr>
            <w:r>
              <w:rPr>
                <w:rFonts w:hint="eastAsia" w:cs="仿宋_GB2312"/>
                <w:color w:val="auto"/>
                <w:highlight w:val="none"/>
              </w:rPr>
              <w:t>中标人</w:t>
            </w:r>
            <w:r>
              <w:rPr>
                <w:rFonts w:cs="仿宋_GB2312"/>
                <w:color w:val="auto"/>
                <w:highlight w:val="none"/>
              </w:rPr>
              <w:t>对服务单位提出的整改要求能在</w:t>
            </w:r>
            <w:r>
              <w:rPr>
                <w:rFonts w:hint="eastAsia" w:cs="仿宋_GB2312"/>
                <w:color w:val="auto"/>
                <w:highlight w:val="none"/>
              </w:rPr>
              <w:t>1小时内</w:t>
            </w:r>
            <w:r>
              <w:rPr>
                <w:rFonts w:cs="仿宋_GB2312"/>
                <w:color w:val="auto"/>
                <w:highlight w:val="none"/>
              </w:rPr>
              <w:t>响应，</w:t>
            </w:r>
            <w:r>
              <w:rPr>
                <w:rFonts w:hint="eastAsia" w:cs="仿宋_GB2312"/>
                <w:color w:val="auto"/>
                <w:highlight w:val="none"/>
              </w:rPr>
              <w:t>1个</w:t>
            </w:r>
            <w:r>
              <w:rPr>
                <w:rFonts w:cs="仿宋_GB2312"/>
                <w:color w:val="auto"/>
                <w:highlight w:val="none"/>
              </w:rPr>
              <w:t>工作日内出具</w:t>
            </w:r>
            <w:r>
              <w:rPr>
                <w:rFonts w:hint="eastAsia" w:cs="仿宋_GB2312"/>
                <w:color w:val="auto"/>
                <w:highlight w:val="none"/>
              </w:rPr>
              <w:t>整改</w:t>
            </w:r>
            <w:r>
              <w:rPr>
                <w:rFonts w:cs="仿宋_GB2312"/>
                <w:color w:val="auto"/>
                <w:highlight w:val="none"/>
              </w:rPr>
              <w:t>方案。</w:t>
            </w:r>
          </w:p>
        </w:tc>
        <w:tc>
          <w:tcPr>
            <w:tcW w:w="323" w:type="pct"/>
            <w:noWrap w:val="0"/>
            <w:vAlign w:val="center"/>
          </w:tcPr>
          <w:p>
            <w:pPr>
              <w:spacing w:line="360" w:lineRule="exact"/>
              <w:jc w:val="center"/>
              <w:rPr>
                <w:rFonts w:hint="eastAsia" w:cs="仿宋_GB2312"/>
                <w:color w:val="auto"/>
                <w:highlight w:val="none"/>
              </w:rPr>
            </w:pPr>
            <w:r>
              <w:rPr>
                <w:rFonts w:hint="eastAsia" w:cs="仿宋_GB2312"/>
                <w:color w:val="auto"/>
                <w:highlight w:val="none"/>
              </w:rPr>
              <w:t>5</w:t>
            </w:r>
          </w:p>
        </w:tc>
        <w:tc>
          <w:tcPr>
            <w:tcW w:w="869" w:type="pct"/>
            <w:noWrap w:val="0"/>
            <w:vAlign w:val="center"/>
          </w:tcPr>
          <w:p>
            <w:pPr>
              <w:jc w:val="center"/>
              <w:rPr>
                <w:color w:val="auto"/>
                <w:highlight w:val="none"/>
              </w:rPr>
            </w:pPr>
            <w:r>
              <w:rPr>
                <w:rFonts w:hint="eastAsia" w:cs="仿宋_GB2312"/>
                <w:color w:val="auto"/>
                <w:highlight w:val="none"/>
              </w:rPr>
              <w:t>服务单位100%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20" w:type="pct"/>
            <w:vMerge w:val="continue"/>
            <w:noWrap w:val="0"/>
            <w:vAlign w:val="center"/>
          </w:tcPr>
          <w:p>
            <w:pPr>
              <w:spacing w:line="360" w:lineRule="exact"/>
              <w:rPr>
                <w:rFonts w:hint="eastAsia" w:cs="仿宋_GB2312"/>
                <w:color w:val="auto"/>
                <w:highlight w:val="none"/>
              </w:rPr>
            </w:pPr>
          </w:p>
        </w:tc>
        <w:tc>
          <w:tcPr>
            <w:tcW w:w="791" w:type="pct"/>
            <w:vMerge w:val="continue"/>
            <w:noWrap w:val="0"/>
            <w:vAlign w:val="center"/>
          </w:tcPr>
          <w:p>
            <w:pPr>
              <w:spacing w:line="360" w:lineRule="exact"/>
              <w:rPr>
                <w:rFonts w:hint="eastAsia" w:cs="仿宋_GB2312"/>
                <w:color w:val="auto"/>
                <w:highlight w:val="none"/>
              </w:rPr>
            </w:pPr>
          </w:p>
        </w:tc>
        <w:tc>
          <w:tcPr>
            <w:tcW w:w="950" w:type="pct"/>
            <w:noWrap w:val="0"/>
            <w:vAlign w:val="center"/>
          </w:tcPr>
          <w:p>
            <w:pPr>
              <w:spacing w:line="360" w:lineRule="exact"/>
              <w:rPr>
                <w:rFonts w:hint="eastAsia" w:cs="仿宋_GB2312"/>
                <w:color w:val="auto"/>
                <w:highlight w:val="none"/>
              </w:rPr>
            </w:pPr>
            <w:r>
              <w:rPr>
                <w:rFonts w:cs="仿宋_GB2312"/>
                <w:color w:val="auto"/>
                <w:highlight w:val="none"/>
              </w:rPr>
              <w:t>3</w:t>
            </w:r>
            <w:r>
              <w:rPr>
                <w:rFonts w:hint="eastAsia" w:cs="仿宋_GB2312"/>
                <w:color w:val="auto"/>
                <w:highlight w:val="none"/>
              </w:rPr>
              <w:t>.1.2 整改</w:t>
            </w:r>
            <w:r>
              <w:rPr>
                <w:rFonts w:cs="仿宋_GB2312"/>
                <w:color w:val="auto"/>
                <w:highlight w:val="none"/>
              </w:rPr>
              <w:t>措施</w:t>
            </w:r>
          </w:p>
        </w:tc>
        <w:tc>
          <w:tcPr>
            <w:tcW w:w="1447" w:type="pct"/>
            <w:noWrap w:val="0"/>
            <w:vAlign w:val="center"/>
          </w:tcPr>
          <w:p>
            <w:pPr>
              <w:spacing w:line="360" w:lineRule="exact"/>
              <w:rPr>
                <w:rFonts w:hint="eastAsia" w:cs="仿宋_GB2312"/>
                <w:color w:val="auto"/>
                <w:highlight w:val="none"/>
              </w:rPr>
            </w:pPr>
            <w:r>
              <w:rPr>
                <w:rFonts w:hint="eastAsia" w:cs="仿宋_GB2312"/>
                <w:color w:val="auto"/>
                <w:highlight w:val="none"/>
              </w:rPr>
              <w:t>整改</w:t>
            </w:r>
            <w:r>
              <w:rPr>
                <w:rFonts w:cs="仿宋_GB2312"/>
                <w:color w:val="auto"/>
                <w:highlight w:val="none"/>
              </w:rPr>
              <w:t>方案提出的整改</w:t>
            </w:r>
            <w:r>
              <w:rPr>
                <w:rFonts w:hint="eastAsia" w:cs="仿宋_GB2312"/>
                <w:color w:val="auto"/>
                <w:highlight w:val="none"/>
              </w:rPr>
              <w:t>措施清晰</w:t>
            </w:r>
            <w:r>
              <w:rPr>
                <w:rFonts w:cs="仿宋_GB2312"/>
                <w:color w:val="auto"/>
                <w:highlight w:val="none"/>
              </w:rPr>
              <w:t>明确，针对性强，且</w:t>
            </w:r>
            <w:r>
              <w:rPr>
                <w:rFonts w:hint="eastAsia" w:cs="仿宋_GB2312"/>
                <w:color w:val="auto"/>
                <w:highlight w:val="none"/>
              </w:rPr>
              <w:t>能</w:t>
            </w:r>
            <w:r>
              <w:rPr>
                <w:rFonts w:cs="仿宋_GB2312"/>
                <w:color w:val="auto"/>
                <w:highlight w:val="none"/>
              </w:rPr>
              <w:t>付诸实施。</w:t>
            </w:r>
          </w:p>
        </w:tc>
        <w:tc>
          <w:tcPr>
            <w:tcW w:w="323" w:type="pct"/>
            <w:noWrap w:val="0"/>
            <w:vAlign w:val="center"/>
          </w:tcPr>
          <w:p>
            <w:pPr>
              <w:spacing w:line="360" w:lineRule="exact"/>
              <w:jc w:val="center"/>
              <w:rPr>
                <w:rFonts w:hint="eastAsia" w:cs="仿宋_GB2312"/>
                <w:color w:val="auto"/>
                <w:highlight w:val="none"/>
              </w:rPr>
            </w:pPr>
            <w:r>
              <w:rPr>
                <w:rFonts w:cs="仿宋_GB2312"/>
                <w:color w:val="auto"/>
                <w:highlight w:val="none"/>
              </w:rPr>
              <w:t>10</w:t>
            </w:r>
          </w:p>
        </w:tc>
        <w:tc>
          <w:tcPr>
            <w:tcW w:w="869" w:type="pct"/>
            <w:noWrap w:val="0"/>
            <w:vAlign w:val="center"/>
          </w:tcPr>
          <w:p>
            <w:pPr>
              <w:jc w:val="center"/>
              <w:rPr>
                <w:color w:val="auto"/>
                <w:highlight w:val="none"/>
              </w:rPr>
            </w:pPr>
            <w:r>
              <w:rPr>
                <w:rFonts w:hint="eastAsia" w:cs="仿宋_GB2312"/>
                <w:color w:val="auto"/>
                <w:highlight w:val="none"/>
              </w:rPr>
              <w:t>服务单位100%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20" w:type="pct"/>
            <w:vMerge w:val="continue"/>
            <w:noWrap w:val="0"/>
            <w:vAlign w:val="center"/>
          </w:tcPr>
          <w:p>
            <w:pPr>
              <w:spacing w:line="360" w:lineRule="exact"/>
              <w:rPr>
                <w:rFonts w:hint="eastAsia" w:cs="仿宋_GB2312"/>
                <w:color w:val="auto"/>
                <w:highlight w:val="none"/>
              </w:rPr>
            </w:pPr>
          </w:p>
        </w:tc>
        <w:tc>
          <w:tcPr>
            <w:tcW w:w="791" w:type="pct"/>
            <w:vMerge w:val="continue"/>
            <w:noWrap w:val="0"/>
            <w:vAlign w:val="center"/>
          </w:tcPr>
          <w:p>
            <w:pPr>
              <w:spacing w:line="360" w:lineRule="exact"/>
              <w:rPr>
                <w:rFonts w:hint="eastAsia" w:cs="仿宋_GB2312"/>
                <w:color w:val="auto"/>
                <w:highlight w:val="none"/>
              </w:rPr>
            </w:pPr>
          </w:p>
        </w:tc>
        <w:tc>
          <w:tcPr>
            <w:tcW w:w="950" w:type="pct"/>
            <w:noWrap w:val="0"/>
            <w:vAlign w:val="center"/>
          </w:tcPr>
          <w:p>
            <w:pPr>
              <w:spacing w:line="360" w:lineRule="exact"/>
              <w:rPr>
                <w:rFonts w:hint="eastAsia" w:cs="仿宋_GB2312"/>
                <w:color w:val="auto"/>
                <w:highlight w:val="none"/>
              </w:rPr>
            </w:pPr>
            <w:r>
              <w:rPr>
                <w:rFonts w:cs="仿宋_GB2312"/>
                <w:color w:val="auto"/>
                <w:highlight w:val="none"/>
              </w:rPr>
              <w:t>3</w:t>
            </w:r>
            <w:r>
              <w:rPr>
                <w:rFonts w:hint="eastAsia" w:cs="仿宋_GB2312"/>
                <w:color w:val="auto"/>
                <w:highlight w:val="none"/>
              </w:rPr>
              <w:t>.1.3 整改</w:t>
            </w:r>
            <w:r>
              <w:rPr>
                <w:rFonts w:cs="仿宋_GB2312"/>
                <w:color w:val="auto"/>
                <w:highlight w:val="none"/>
              </w:rPr>
              <w:t>效果</w:t>
            </w:r>
          </w:p>
        </w:tc>
        <w:tc>
          <w:tcPr>
            <w:tcW w:w="1447" w:type="pct"/>
            <w:noWrap w:val="0"/>
            <w:vAlign w:val="center"/>
          </w:tcPr>
          <w:p>
            <w:pPr>
              <w:spacing w:line="360" w:lineRule="exact"/>
              <w:rPr>
                <w:rFonts w:hint="eastAsia" w:cs="仿宋_GB2312"/>
                <w:color w:val="auto"/>
                <w:highlight w:val="none"/>
              </w:rPr>
            </w:pPr>
            <w:r>
              <w:rPr>
                <w:rFonts w:hint="eastAsia" w:cs="仿宋_GB2312"/>
                <w:color w:val="auto"/>
                <w:highlight w:val="none"/>
              </w:rPr>
              <w:t>中标人</w:t>
            </w:r>
            <w:r>
              <w:rPr>
                <w:rFonts w:cs="仿宋_GB2312"/>
                <w:color w:val="auto"/>
                <w:highlight w:val="none"/>
              </w:rPr>
              <w:t>按整改方案落实措施，且成效明显，</w:t>
            </w:r>
            <w:r>
              <w:rPr>
                <w:rFonts w:hint="eastAsia" w:cs="仿宋_GB2312"/>
                <w:color w:val="auto"/>
                <w:highlight w:val="none"/>
              </w:rPr>
              <w:t>让服务</w:t>
            </w:r>
            <w:r>
              <w:rPr>
                <w:rFonts w:cs="仿宋_GB2312"/>
                <w:color w:val="auto"/>
                <w:highlight w:val="none"/>
              </w:rPr>
              <w:t>单位满意。</w:t>
            </w:r>
          </w:p>
        </w:tc>
        <w:tc>
          <w:tcPr>
            <w:tcW w:w="323" w:type="pct"/>
            <w:noWrap w:val="0"/>
            <w:vAlign w:val="center"/>
          </w:tcPr>
          <w:p>
            <w:pPr>
              <w:spacing w:line="360" w:lineRule="exact"/>
              <w:jc w:val="center"/>
              <w:rPr>
                <w:rFonts w:hint="eastAsia" w:cs="仿宋_GB2312"/>
                <w:color w:val="auto"/>
                <w:highlight w:val="none"/>
              </w:rPr>
            </w:pPr>
            <w:r>
              <w:rPr>
                <w:rFonts w:hint="eastAsia" w:cs="仿宋_GB2312"/>
                <w:color w:val="auto"/>
                <w:highlight w:val="none"/>
              </w:rPr>
              <w:t>10</w:t>
            </w:r>
          </w:p>
        </w:tc>
        <w:tc>
          <w:tcPr>
            <w:tcW w:w="869" w:type="pct"/>
            <w:noWrap w:val="0"/>
            <w:vAlign w:val="center"/>
          </w:tcPr>
          <w:p>
            <w:pPr>
              <w:jc w:val="center"/>
              <w:rPr>
                <w:color w:val="auto"/>
                <w:highlight w:val="none"/>
              </w:rPr>
            </w:pPr>
            <w:r>
              <w:rPr>
                <w:rFonts w:hint="eastAsia" w:cs="仿宋_GB2312"/>
                <w:color w:val="auto"/>
                <w:highlight w:val="none"/>
              </w:rPr>
              <w:t>服务单位100%</w:t>
            </w:r>
          </w:p>
        </w:tc>
      </w:tr>
    </w:tbl>
    <w:p>
      <w:pPr>
        <w:rPr>
          <w:rFonts w:hint="eastAsia"/>
          <w:b/>
          <w:color w:val="auto"/>
          <w:sz w:val="28"/>
          <w:highlight w:val="none"/>
          <w:lang w:eastAsia="zh-CN"/>
        </w:rPr>
      </w:pPr>
    </w:p>
    <w:p>
      <w:pPr>
        <w:rPr>
          <w:color w:val="auto"/>
          <w:highlight w:val="none"/>
        </w:rPr>
      </w:pPr>
    </w:p>
    <w:p>
      <w:pPr>
        <w:rPr>
          <w:color w:val="auto"/>
          <w:highlight w:val="none"/>
        </w:rPr>
      </w:pPr>
      <w:r>
        <w:rPr>
          <w:color w:val="auto"/>
          <w:highlight w:val="none"/>
        </w:rPr>
        <w:t>采购包1：</w:t>
      </w:r>
    </w:p>
    <w:p>
      <w:pPr>
        <w:rPr>
          <w:color w:val="auto"/>
          <w:highlight w:val="none"/>
        </w:rPr>
      </w:pPr>
      <w:r>
        <w:rPr>
          <w:b/>
          <w:color w:val="auto"/>
          <w:sz w:val="24"/>
          <w:highlight w:val="none"/>
        </w:rPr>
        <w:t>1.主要商务要求</w:t>
      </w:r>
    </w:p>
    <w:tbl>
      <w:tblPr>
        <w:tblStyle w:val="14"/>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85"/>
        <w:gridCol w:w="60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85" w:type="dxa"/>
          </w:tcPr>
          <w:p>
            <w:pPr>
              <w:rPr>
                <w:color w:val="auto"/>
                <w:highlight w:val="none"/>
              </w:rPr>
            </w:pPr>
            <w:r>
              <w:rPr>
                <w:color w:val="auto"/>
                <w:highlight w:val="none"/>
              </w:rPr>
              <w:t>标的提供的时间</w:t>
            </w:r>
          </w:p>
        </w:tc>
        <w:tc>
          <w:tcPr>
            <w:tcW w:w="6095" w:type="dxa"/>
          </w:tcPr>
          <w:p>
            <w:pP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自合同签订之日起计算，服务期为1年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85" w:type="dxa"/>
          </w:tcPr>
          <w:p>
            <w:pPr>
              <w:rPr>
                <w:color w:val="auto"/>
                <w:highlight w:val="none"/>
              </w:rPr>
            </w:pPr>
            <w:r>
              <w:rPr>
                <w:color w:val="auto"/>
                <w:highlight w:val="none"/>
              </w:rPr>
              <w:t>标的提供的地点</w:t>
            </w:r>
          </w:p>
        </w:tc>
        <w:tc>
          <w:tcPr>
            <w:tcW w:w="6095" w:type="dxa"/>
          </w:tcPr>
          <w:p>
            <w:pP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采购人指定的地点。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85" w:type="dxa"/>
          </w:tcPr>
          <w:p>
            <w:pPr>
              <w:rPr>
                <w:color w:val="auto"/>
                <w:highlight w:val="none"/>
              </w:rPr>
            </w:pPr>
            <w:r>
              <w:rPr>
                <w:color w:val="auto"/>
                <w:highlight w:val="none"/>
              </w:rPr>
              <w:t>投标有效期</w:t>
            </w:r>
          </w:p>
        </w:tc>
        <w:tc>
          <w:tcPr>
            <w:tcW w:w="6095" w:type="dxa"/>
          </w:tcPr>
          <w:p>
            <w:pP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kern w:val="0"/>
                <w:sz w:val="24"/>
                <w:szCs w:val="24"/>
                <w:highlight w:val="none"/>
                <w:lang w:val="en-US" w:eastAsia="en-US" w:bidi="ar-SA"/>
              </w:rP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85" w:type="dxa"/>
          </w:tcPr>
          <w:p>
            <w:pPr>
              <w:rPr>
                <w:color w:val="auto"/>
                <w:highlight w:val="none"/>
              </w:rPr>
            </w:pPr>
            <w:r>
              <w:rPr>
                <w:color w:val="auto"/>
                <w:highlight w:val="none"/>
              </w:rPr>
              <w:t>付款方式</w:t>
            </w:r>
          </w:p>
        </w:tc>
        <w:tc>
          <w:tcPr>
            <w:tcW w:w="6095" w:type="dxa"/>
          </w:tcPr>
          <w:p>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en-US" w:bidi="ar-SA"/>
              </w:rPr>
              <w:t>分四期支付，按季度支付，每期支付比例不多于25%，实际支付比例根据考核验收结果而定。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85" w:type="dxa"/>
          </w:tcPr>
          <w:p>
            <w:pPr>
              <w:rPr>
                <w:color w:val="auto"/>
                <w:highlight w:val="none"/>
              </w:rPr>
            </w:pPr>
            <w:r>
              <w:rPr>
                <w:color w:val="auto"/>
                <w:highlight w:val="none"/>
              </w:rPr>
              <w:t>验收要求</w:t>
            </w:r>
          </w:p>
        </w:tc>
        <w:tc>
          <w:tcPr>
            <w:tcW w:w="6095" w:type="dxa"/>
          </w:tcPr>
          <w:p>
            <w:pPr>
              <w:pStyle w:val="22"/>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每季度对中标人提供的社工服务进行考核验收，过程考核和结果考核均采用百分制，设置优秀、良好、合格、不合格4个等次，90分及以上为优秀、76-89分为良好、60-75分为合格、60分以下为不合格。经费支付与考核评估挂钩。考核结果为良好或以上的，当季度服务经费全额支付；评估结果为合格的，当季度服务经费80%支付，评估结果为不合格的，当季度服务经费50%支付，并且采购人有权终止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85" w:type="dxa"/>
          </w:tcPr>
          <w:p>
            <w:pPr>
              <w:rPr>
                <w:color w:val="auto"/>
                <w:highlight w:val="none"/>
              </w:rPr>
            </w:pPr>
            <w:r>
              <w:rPr>
                <w:color w:val="auto"/>
                <w:highlight w:val="none"/>
              </w:rPr>
              <w:t>履约保证金</w:t>
            </w:r>
          </w:p>
        </w:tc>
        <w:tc>
          <w:tcPr>
            <w:tcW w:w="6095" w:type="dxa"/>
          </w:tcPr>
          <w:p>
            <w:pPr>
              <w:rPr>
                <w:color w:val="auto"/>
                <w:highlight w:val="none"/>
              </w:rPr>
            </w:pPr>
            <w:r>
              <w:rPr>
                <w:color w:val="auto"/>
                <w:highlight w:val="none"/>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85" w:type="dxa"/>
          </w:tcPr>
          <w:p>
            <w:pPr>
              <w:rPr>
                <w:color w:val="auto"/>
                <w:highlight w:val="none"/>
              </w:rPr>
            </w:pPr>
            <w:r>
              <w:rPr>
                <w:color w:val="auto"/>
                <w:highlight w:val="none"/>
              </w:rPr>
              <w:t>其他</w:t>
            </w:r>
          </w:p>
        </w:tc>
        <w:tc>
          <w:tcPr>
            <w:tcW w:w="6095"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本项目以人民币为结算单位，实行合同总价包干方式，投标人须对完成本项目的全部内容进行报价；</w:t>
            </w:r>
          </w:p>
          <w:p>
            <w:pPr>
              <w:pStyle w:val="22"/>
              <w:spacing w:line="360" w:lineRule="auto"/>
              <w:rPr>
                <w:color w:val="auto"/>
                <w:sz w:val="21"/>
                <w:szCs w:val="21"/>
                <w:highlight w:val="none"/>
                <w:lang w:eastAsia="zh-CN"/>
              </w:rPr>
            </w:pPr>
            <w:r>
              <w:rPr>
                <w:rFonts w:hint="eastAsia" w:ascii="仿宋" w:hAnsi="仿宋" w:eastAsia="仿宋" w:cs="仿宋"/>
                <w:color w:val="auto"/>
                <w:sz w:val="24"/>
                <w:szCs w:val="24"/>
                <w:highlight w:val="none"/>
              </w:rPr>
              <w:t>投标报价应包含完成本次招标的全部费用，包括但不限于社工人员人力成本、服务活动成本、管理成本等所有费用。中标人不得以任何理由追加货物费、辅材费或其他费用。</w:t>
            </w:r>
          </w:p>
        </w:tc>
      </w:tr>
    </w:tbl>
    <w:p>
      <w:pPr>
        <w:rPr>
          <w:b/>
          <w:color w:val="auto"/>
          <w:sz w:val="24"/>
          <w:highlight w:val="none"/>
        </w:rPr>
      </w:pPr>
    </w:p>
    <w:p>
      <w:pPr>
        <w:rPr>
          <w:color w:val="auto"/>
          <w:highlight w:val="none"/>
        </w:rPr>
      </w:pPr>
      <w:r>
        <w:rPr>
          <w:b/>
          <w:color w:val="auto"/>
          <w:sz w:val="24"/>
          <w:highlight w:val="none"/>
        </w:rPr>
        <w:t>2.</w:t>
      </w:r>
      <w:r>
        <w:rPr>
          <w:color w:val="auto"/>
          <w:highlight w:val="none"/>
        </w:rPr>
        <w:t xml:space="preserve"> </w:t>
      </w:r>
      <w:r>
        <w:rPr>
          <w:rFonts w:hint="eastAsia"/>
          <w:color w:val="auto"/>
          <w:highlight w:val="none"/>
        </w:rPr>
        <w:t>实质性条款要求</w:t>
      </w:r>
    </w:p>
    <w:tbl>
      <w:tblPr>
        <w:tblStyle w:val="14"/>
        <w:tblW w:w="91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851"/>
        <w:gridCol w:w="69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jc w:val="center"/>
              <w:rPr>
                <w:rFonts w:ascii="黑体" w:hAnsi="黑体" w:eastAsia="黑体"/>
                <w:color w:val="auto"/>
                <w:sz w:val="24"/>
                <w:highlight w:val="none"/>
              </w:rPr>
            </w:pPr>
            <w:r>
              <w:rPr>
                <w:rFonts w:ascii="黑体" w:hAnsi="黑体" w:eastAsia="黑体"/>
                <w:color w:val="auto"/>
                <w:sz w:val="24"/>
                <w:highlight w:val="none"/>
              </w:rPr>
              <w:t>参数性质</w:t>
            </w:r>
          </w:p>
        </w:tc>
        <w:tc>
          <w:tcPr>
            <w:tcW w:w="851" w:type="dxa"/>
          </w:tcPr>
          <w:p>
            <w:pPr>
              <w:jc w:val="center"/>
              <w:rPr>
                <w:rFonts w:ascii="黑体" w:hAnsi="黑体" w:eastAsia="黑体"/>
                <w:color w:val="auto"/>
                <w:sz w:val="24"/>
                <w:highlight w:val="none"/>
              </w:rPr>
            </w:pPr>
            <w:r>
              <w:rPr>
                <w:rFonts w:ascii="黑体" w:hAnsi="黑体" w:eastAsia="黑体"/>
                <w:color w:val="auto"/>
                <w:sz w:val="24"/>
                <w:highlight w:val="none"/>
              </w:rPr>
              <w:t>序号</w:t>
            </w:r>
          </w:p>
        </w:tc>
        <w:tc>
          <w:tcPr>
            <w:tcW w:w="6945" w:type="dxa"/>
          </w:tcPr>
          <w:p>
            <w:pPr>
              <w:jc w:val="center"/>
              <w:rPr>
                <w:rFonts w:ascii="黑体" w:hAnsi="黑体" w:eastAsia="黑体"/>
                <w:color w:val="auto"/>
                <w:sz w:val="24"/>
                <w:highlight w:val="none"/>
              </w:rPr>
            </w:pPr>
            <w:r>
              <w:rPr>
                <w:rFonts w:ascii="黑体" w:hAnsi="黑体" w:eastAsia="黑体"/>
                <w:color w:val="auto"/>
                <w:sz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pPr>
              <w:pStyle w:val="22"/>
              <w:spacing w:before="1"/>
              <w:ind w:left="114"/>
              <w:rPr>
                <w:rFonts w:asciiTheme="minorHAnsi" w:hAnsiTheme="minorHAnsi" w:eastAsiaTheme="minorEastAsia" w:cstheme="minorBidi"/>
                <w:color w:val="auto"/>
                <w:kern w:val="2"/>
                <w:sz w:val="21"/>
                <w:szCs w:val="24"/>
                <w:highlight w:val="none"/>
                <w:lang w:val="en-US" w:eastAsia="zh-CN" w:bidi="ar-SA"/>
              </w:rPr>
            </w:pPr>
            <w:r>
              <w:rPr>
                <w:rFonts w:hint="eastAsia"/>
                <w:b w:val="0"/>
                <w:bCs w:val="0"/>
                <w:color w:val="auto"/>
                <w:sz w:val="22"/>
                <w:szCs w:val="22"/>
                <w:highlight w:val="none"/>
              </w:rPr>
              <w:t>★</w:t>
            </w:r>
          </w:p>
        </w:tc>
        <w:tc>
          <w:tcPr>
            <w:tcW w:w="851" w:type="dxa"/>
            <w:vAlign w:val="center"/>
          </w:tcPr>
          <w:p>
            <w:pPr>
              <w:pStyle w:val="22"/>
              <w:spacing w:before="1"/>
              <w:ind w:left="114"/>
              <w:rPr>
                <w:rFonts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1</w:t>
            </w:r>
          </w:p>
        </w:tc>
        <w:tc>
          <w:tcPr>
            <w:tcW w:w="6945" w:type="dxa"/>
          </w:tcPr>
          <w:p>
            <w:pPr>
              <w:pStyle w:val="8"/>
              <w:ind w:firstLine="220" w:firstLineChars="100"/>
              <w:rPr>
                <w:rFonts w:asciiTheme="minorHAnsi" w:hAnsiTheme="minorHAnsi" w:eastAsiaTheme="minorEastAsia" w:cstheme="minorBidi"/>
                <w:color w:val="auto"/>
                <w:kern w:val="2"/>
                <w:sz w:val="21"/>
                <w:szCs w:val="24"/>
                <w:highlight w:val="none"/>
                <w:lang w:val="en-US" w:eastAsia="zh-CN" w:bidi="ar-SA"/>
              </w:rPr>
            </w:pPr>
            <w:r>
              <w:rPr>
                <w:b w:val="0"/>
                <w:bCs w:val="0"/>
                <w:color w:val="auto"/>
                <w:sz w:val="22"/>
                <w:szCs w:val="22"/>
                <w:highlight w:val="none"/>
              </w:rPr>
              <w:t>采购</w:t>
            </w:r>
            <w:r>
              <w:rPr>
                <w:rFonts w:hint="eastAsia"/>
                <w:b w:val="0"/>
                <w:bCs w:val="0"/>
                <w:color w:val="auto"/>
                <w:sz w:val="22"/>
                <w:szCs w:val="22"/>
                <w:highlight w:val="none"/>
              </w:rPr>
              <w:t>人</w:t>
            </w:r>
            <w:r>
              <w:rPr>
                <w:b w:val="0"/>
                <w:bCs w:val="0"/>
                <w:color w:val="auto"/>
                <w:sz w:val="22"/>
                <w:szCs w:val="22"/>
                <w:highlight w:val="none"/>
              </w:rPr>
              <w:t>每</w:t>
            </w:r>
            <w:r>
              <w:rPr>
                <w:rFonts w:hint="eastAsia"/>
                <w:b w:val="0"/>
                <w:bCs w:val="0"/>
                <w:color w:val="auto"/>
                <w:sz w:val="22"/>
                <w:szCs w:val="22"/>
                <w:highlight w:val="none"/>
              </w:rPr>
              <w:t>季度</w:t>
            </w:r>
            <w:r>
              <w:rPr>
                <w:b w:val="0"/>
                <w:bCs w:val="0"/>
                <w:color w:val="auto"/>
                <w:sz w:val="22"/>
                <w:szCs w:val="22"/>
                <w:highlight w:val="none"/>
              </w:rPr>
              <w:t>对中标人提供的</w:t>
            </w:r>
            <w:r>
              <w:rPr>
                <w:rFonts w:hint="eastAsia"/>
                <w:b w:val="0"/>
                <w:bCs w:val="0"/>
                <w:color w:val="auto"/>
                <w:sz w:val="22"/>
                <w:szCs w:val="22"/>
                <w:highlight w:val="none"/>
              </w:rPr>
              <w:t>具体</w:t>
            </w:r>
            <w:r>
              <w:rPr>
                <w:b w:val="0"/>
                <w:bCs w:val="0"/>
                <w:color w:val="auto"/>
                <w:sz w:val="22"/>
                <w:szCs w:val="22"/>
                <w:highlight w:val="none"/>
              </w:rPr>
              <w:t>服务进行</w:t>
            </w:r>
            <w:r>
              <w:rPr>
                <w:rFonts w:hint="eastAsia"/>
                <w:b w:val="0"/>
                <w:bCs w:val="0"/>
                <w:color w:val="auto"/>
                <w:sz w:val="22"/>
                <w:szCs w:val="22"/>
                <w:highlight w:val="none"/>
              </w:rPr>
              <w:t>考核，过程考核和结果考核均采用百分制，设置优秀、良好、合格、不合格</w:t>
            </w:r>
            <w:r>
              <w:rPr>
                <w:b w:val="0"/>
                <w:bCs w:val="0"/>
                <w:color w:val="auto"/>
                <w:sz w:val="22"/>
                <w:szCs w:val="22"/>
                <w:highlight w:val="none"/>
              </w:rPr>
              <w:t>4个等次，90分及以上为优秀、76-89分为良</w:t>
            </w:r>
            <w:r>
              <w:rPr>
                <w:rFonts w:hint="eastAsia"/>
                <w:b w:val="0"/>
                <w:bCs w:val="0"/>
                <w:color w:val="auto"/>
                <w:sz w:val="22"/>
                <w:szCs w:val="22"/>
                <w:highlight w:val="none"/>
              </w:rPr>
              <w:t>好、</w:t>
            </w:r>
            <w:r>
              <w:rPr>
                <w:b w:val="0"/>
                <w:bCs w:val="0"/>
                <w:color w:val="auto"/>
                <w:sz w:val="22"/>
                <w:szCs w:val="22"/>
                <w:highlight w:val="none"/>
              </w:rPr>
              <w:t>60-75分为合格、60分以下为不合格。经费支付与考核评估</w:t>
            </w:r>
            <w:r>
              <w:rPr>
                <w:rFonts w:hint="eastAsia"/>
                <w:b w:val="0"/>
                <w:bCs w:val="0"/>
                <w:color w:val="auto"/>
                <w:sz w:val="22"/>
                <w:szCs w:val="22"/>
                <w:highlight w:val="none"/>
              </w:rPr>
              <w:t>挂钩。考核</w:t>
            </w:r>
            <w:r>
              <w:rPr>
                <w:b w:val="0"/>
                <w:bCs w:val="0"/>
                <w:color w:val="auto"/>
                <w:sz w:val="22"/>
                <w:szCs w:val="22"/>
                <w:highlight w:val="none"/>
              </w:rPr>
              <w:t>结果为</w:t>
            </w:r>
            <w:r>
              <w:rPr>
                <w:rFonts w:hint="eastAsia"/>
                <w:b w:val="0"/>
                <w:bCs w:val="0"/>
                <w:color w:val="auto"/>
                <w:sz w:val="22"/>
                <w:szCs w:val="22"/>
                <w:highlight w:val="none"/>
              </w:rPr>
              <w:t>良好或以上的，当季度服务经费</w:t>
            </w:r>
            <w:r>
              <w:rPr>
                <w:b w:val="0"/>
                <w:bCs w:val="0"/>
                <w:color w:val="auto"/>
                <w:sz w:val="22"/>
                <w:szCs w:val="22"/>
                <w:highlight w:val="none"/>
              </w:rPr>
              <w:t>全额支付；评估结果为合格的，</w:t>
            </w:r>
            <w:r>
              <w:rPr>
                <w:rFonts w:hint="eastAsia"/>
                <w:b w:val="0"/>
                <w:bCs w:val="0"/>
                <w:color w:val="auto"/>
                <w:sz w:val="22"/>
                <w:szCs w:val="22"/>
                <w:highlight w:val="none"/>
              </w:rPr>
              <w:t>当季度服务经费80%</w:t>
            </w:r>
            <w:r>
              <w:rPr>
                <w:b w:val="0"/>
                <w:bCs w:val="0"/>
                <w:color w:val="auto"/>
                <w:sz w:val="22"/>
                <w:szCs w:val="22"/>
                <w:highlight w:val="none"/>
              </w:rPr>
              <w:t>支付</w:t>
            </w:r>
            <w:r>
              <w:rPr>
                <w:rFonts w:hint="eastAsia"/>
                <w:b w:val="0"/>
                <w:bCs w:val="0"/>
                <w:color w:val="auto"/>
                <w:sz w:val="22"/>
                <w:szCs w:val="22"/>
                <w:highlight w:val="none"/>
              </w:rPr>
              <w:t>，</w:t>
            </w:r>
            <w:r>
              <w:rPr>
                <w:b w:val="0"/>
                <w:bCs w:val="0"/>
                <w:color w:val="auto"/>
                <w:sz w:val="22"/>
                <w:szCs w:val="22"/>
                <w:highlight w:val="none"/>
              </w:rPr>
              <w:t>评估结果为</w:t>
            </w:r>
            <w:r>
              <w:rPr>
                <w:rFonts w:hint="eastAsia"/>
                <w:b w:val="0"/>
                <w:bCs w:val="0"/>
                <w:color w:val="auto"/>
                <w:sz w:val="22"/>
                <w:szCs w:val="22"/>
                <w:highlight w:val="none"/>
              </w:rPr>
              <w:t>不</w:t>
            </w:r>
            <w:r>
              <w:rPr>
                <w:b w:val="0"/>
                <w:bCs w:val="0"/>
                <w:color w:val="auto"/>
                <w:sz w:val="22"/>
                <w:szCs w:val="22"/>
                <w:highlight w:val="none"/>
              </w:rPr>
              <w:t>合格的，</w:t>
            </w:r>
            <w:r>
              <w:rPr>
                <w:rFonts w:hint="eastAsia"/>
                <w:b w:val="0"/>
                <w:bCs w:val="0"/>
                <w:color w:val="auto"/>
                <w:sz w:val="22"/>
                <w:szCs w:val="22"/>
                <w:highlight w:val="none"/>
              </w:rPr>
              <w:t>当季度服务经费50%</w:t>
            </w:r>
            <w:r>
              <w:rPr>
                <w:b w:val="0"/>
                <w:bCs w:val="0"/>
                <w:color w:val="auto"/>
                <w:sz w:val="22"/>
                <w:szCs w:val="22"/>
                <w:highlight w:val="none"/>
              </w:rPr>
              <w:t>支付</w:t>
            </w:r>
            <w:r>
              <w:rPr>
                <w:rFonts w:hint="eastAsia"/>
                <w:b w:val="0"/>
                <w:bCs w:val="0"/>
                <w:color w:val="auto"/>
                <w:sz w:val="22"/>
                <w:szCs w:val="22"/>
                <w:highlight w:val="none"/>
              </w:rPr>
              <w:t>，并且采购人有权终止合同</w:t>
            </w:r>
            <w:r>
              <w:rPr>
                <w:b w:val="0"/>
                <w:bCs w:val="0"/>
                <w:color w:val="auto"/>
                <w:sz w:val="22"/>
                <w:szCs w:val="22"/>
                <w:highlight w:val="none"/>
              </w:rPr>
              <w:t>。</w:t>
            </w:r>
            <w:r>
              <w:rPr>
                <w:rFonts w:hint="eastAsia"/>
                <w:b w:val="0"/>
                <w:bCs w:val="0"/>
                <w:color w:val="auto"/>
                <w:sz w:val="22"/>
                <w:szCs w:val="22"/>
                <w:highlight w:val="none"/>
              </w:rPr>
              <w:t>（考核标准附件一。）</w:t>
            </w:r>
            <w:r>
              <w:rPr>
                <w:rFonts w:hint="eastAsia"/>
                <w:b w:val="0"/>
                <w:bCs w:val="0"/>
                <w:color w:val="auto"/>
                <w:sz w:val="22"/>
                <w:szCs w:val="22"/>
                <w:highlight w:val="none"/>
                <w:lang w:eastAsia="zh-CN"/>
              </w:rPr>
              <w:t>（投标人须在投标文件中提供单独书面承诺函，承诺函格式自定）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pPr>
              <w:pStyle w:val="22"/>
              <w:spacing w:before="1"/>
              <w:ind w:left="114"/>
              <w:rPr>
                <w:rFonts w:asciiTheme="minorHAnsi" w:hAnsiTheme="minorHAnsi" w:eastAsiaTheme="minorEastAsia" w:cstheme="minorBidi"/>
                <w:color w:val="auto"/>
                <w:kern w:val="2"/>
                <w:sz w:val="21"/>
                <w:szCs w:val="24"/>
                <w:highlight w:val="none"/>
                <w:lang w:val="en-US" w:eastAsia="zh-CN" w:bidi="ar-SA"/>
              </w:rPr>
            </w:pPr>
            <w:r>
              <w:rPr>
                <w:rFonts w:hint="eastAsia"/>
                <w:b w:val="0"/>
                <w:bCs w:val="0"/>
                <w:color w:val="auto"/>
                <w:sz w:val="22"/>
                <w:szCs w:val="22"/>
                <w:highlight w:val="none"/>
              </w:rPr>
              <w:t>★</w:t>
            </w:r>
          </w:p>
        </w:tc>
        <w:tc>
          <w:tcPr>
            <w:tcW w:w="851" w:type="dxa"/>
            <w:vAlign w:val="center"/>
          </w:tcPr>
          <w:p>
            <w:pPr>
              <w:pStyle w:val="22"/>
              <w:spacing w:before="1"/>
              <w:ind w:left="114"/>
              <w:rPr>
                <w:rFonts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2</w:t>
            </w:r>
          </w:p>
        </w:tc>
        <w:tc>
          <w:tcPr>
            <w:tcW w:w="6945" w:type="dxa"/>
          </w:tcPr>
          <w:p>
            <w:pPr>
              <w:pStyle w:val="22"/>
              <w:spacing w:before="1"/>
              <w:ind w:left="114"/>
              <w:rPr>
                <w:rFonts w:asciiTheme="minorHAnsi" w:hAnsiTheme="minorHAnsi" w:eastAsiaTheme="minorEastAsia" w:cstheme="minorBidi"/>
                <w:color w:val="auto"/>
                <w:kern w:val="2"/>
                <w:sz w:val="21"/>
                <w:szCs w:val="24"/>
                <w:highlight w:val="none"/>
                <w:lang w:val="en-US" w:eastAsia="zh-CN" w:bidi="ar-SA"/>
              </w:rPr>
            </w:pPr>
            <w:r>
              <w:rPr>
                <w:rFonts w:hint="eastAsia"/>
                <w:b w:val="0"/>
                <w:bCs w:val="0"/>
                <w:color w:val="auto"/>
                <w:sz w:val="22"/>
                <w:szCs w:val="22"/>
                <w:highlight w:val="none"/>
              </w:rPr>
              <w:t>中标通知书</w:t>
            </w:r>
            <w:r>
              <w:rPr>
                <w:b w:val="0"/>
                <w:bCs w:val="0"/>
                <w:color w:val="auto"/>
                <w:sz w:val="22"/>
                <w:szCs w:val="22"/>
                <w:highlight w:val="none"/>
              </w:rPr>
              <w:t>生效之日起</w:t>
            </w:r>
            <w:r>
              <w:rPr>
                <w:rFonts w:hint="eastAsia"/>
                <w:b w:val="0"/>
                <w:bCs w:val="0"/>
                <w:color w:val="auto"/>
                <w:sz w:val="22"/>
                <w:szCs w:val="22"/>
                <w:highlight w:val="none"/>
              </w:rPr>
              <w:t>3个</w:t>
            </w:r>
            <w:r>
              <w:rPr>
                <w:b w:val="0"/>
                <w:bCs w:val="0"/>
                <w:color w:val="auto"/>
                <w:sz w:val="22"/>
                <w:szCs w:val="22"/>
                <w:highlight w:val="none"/>
              </w:rPr>
              <w:t>工作日内</w:t>
            </w:r>
            <w:r>
              <w:rPr>
                <w:rFonts w:hint="eastAsia"/>
                <w:b w:val="0"/>
                <w:bCs w:val="0"/>
                <w:color w:val="auto"/>
                <w:sz w:val="22"/>
                <w:szCs w:val="22"/>
                <w:highlight w:val="none"/>
              </w:rPr>
              <w:t>，项目75%的人员到岗，否则合同采购人有权申请中标</w:t>
            </w:r>
            <w:r>
              <w:rPr>
                <w:b w:val="0"/>
                <w:bCs w:val="0"/>
                <w:color w:val="auto"/>
                <w:sz w:val="22"/>
                <w:szCs w:val="22"/>
                <w:highlight w:val="none"/>
              </w:rPr>
              <w:t>结果无效</w:t>
            </w:r>
            <w:r>
              <w:rPr>
                <w:rFonts w:hint="eastAsia"/>
                <w:b w:val="0"/>
                <w:bCs w:val="0"/>
                <w:color w:val="auto"/>
                <w:sz w:val="22"/>
                <w:szCs w:val="22"/>
                <w:highlight w:val="none"/>
              </w:rPr>
              <w:t>，</w:t>
            </w:r>
            <w:r>
              <w:rPr>
                <w:b w:val="0"/>
                <w:bCs w:val="0"/>
                <w:color w:val="auto"/>
                <w:sz w:val="22"/>
                <w:szCs w:val="22"/>
                <w:highlight w:val="none"/>
              </w:rPr>
              <w:t>重新采购</w:t>
            </w:r>
            <w:r>
              <w:rPr>
                <w:rFonts w:hint="eastAsia"/>
                <w:b w:val="0"/>
                <w:bCs w:val="0"/>
                <w:color w:val="auto"/>
                <w:sz w:val="22"/>
                <w:szCs w:val="22"/>
                <w:highlight w:val="none"/>
              </w:rPr>
              <w:t>。合同签定并生效之日起3个</w:t>
            </w:r>
            <w:r>
              <w:rPr>
                <w:b w:val="0"/>
                <w:bCs w:val="0"/>
                <w:color w:val="auto"/>
                <w:sz w:val="22"/>
                <w:szCs w:val="22"/>
                <w:highlight w:val="none"/>
              </w:rPr>
              <w:t>工作日内</w:t>
            </w:r>
            <w:r>
              <w:rPr>
                <w:rFonts w:hint="eastAsia"/>
                <w:b w:val="0"/>
                <w:bCs w:val="0"/>
                <w:color w:val="auto"/>
                <w:sz w:val="22"/>
                <w:szCs w:val="22"/>
                <w:highlight w:val="none"/>
              </w:rPr>
              <w:t>，项目100%的人员到岗，否则合同采购人有权解除合同。</w:t>
            </w:r>
            <w:r>
              <w:rPr>
                <w:rFonts w:hint="eastAsia"/>
                <w:b w:val="0"/>
                <w:bCs w:val="0"/>
                <w:color w:val="auto"/>
                <w:sz w:val="22"/>
                <w:szCs w:val="22"/>
                <w:highlight w:val="none"/>
                <w:lang w:eastAsia="zh-CN"/>
              </w:rPr>
              <w:t>（投标人须在投标文件中提供单独书面承诺函，承诺函格式自定）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color w:val="auto"/>
                <w:highlight w:val="none"/>
              </w:rPr>
            </w:pPr>
            <w:r>
              <w:rPr>
                <w:color w:val="auto"/>
                <w:highlight w:val="none"/>
              </w:rPr>
              <w:t>说明</w:t>
            </w:r>
          </w:p>
        </w:tc>
        <w:tc>
          <w:tcPr>
            <w:tcW w:w="7796" w:type="dxa"/>
            <w:gridSpan w:val="2"/>
          </w:tcPr>
          <w:p>
            <w:pPr>
              <w:jc w:val="left"/>
              <w:rPr>
                <w:color w:val="auto"/>
                <w:highlight w:val="none"/>
              </w:rPr>
            </w:pPr>
            <w:r>
              <w:rPr>
                <w:color w:val="auto"/>
                <w:highlight w:val="none"/>
              </w:rPr>
              <w:t>打“★”号条款为实质性条款，若有任何一条负偏离或不满足则导致投标（响应）无效。</w:t>
            </w:r>
            <w:r>
              <w:rPr>
                <w:color w:val="auto"/>
                <w:highlight w:val="none"/>
              </w:rPr>
              <w:br w:type="textWrapping"/>
            </w:r>
            <w:r>
              <w:rPr>
                <w:color w:val="auto"/>
                <w:highlight w:val="none"/>
              </w:rPr>
              <w:t>打“▲”号条款为重要技术参数（如有），若有部分“▲”条款未响应或不满足，将根据评审要求影响其得分，但不作为无效投标（响应）条款。</w:t>
            </w:r>
          </w:p>
        </w:tc>
      </w:tr>
    </w:tbl>
    <w:p>
      <w:pPr>
        <w:rPr>
          <w:color w:val="auto"/>
          <w:highlight w:val="none"/>
        </w:rPr>
      </w:pPr>
    </w:p>
    <w:p>
      <w:pPr>
        <w:rPr>
          <w:color w:val="auto"/>
          <w:highlight w:val="none"/>
        </w:rPr>
      </w:pPr>
    </w:p>
    <w:p>
      <w:pPr>
        <w:rPr>
          <w:color w:val="auto"/>
          <w:highlight w:val="none"/>
        </w:rPr>
      </w:pPr>
    </w:p>
    <w:p>
      <w:pPr>
        <w:widowControl/>
        <w:outlineLvl w:val="0"/>
        <w:rPr>
          <w:b/>
          <w:color w:val="auto"/>
          <w:sz w:val="28"/>
          <w:highlight w:val="none"/>
        </w:rPr>
      </w:pPr>
    </w:p>
    <w:p>
      <w:pPr>
        <w:jc w:val="center"/>
        <w:rPr>
          <w:color w:val="auto"/>
          <w:highlight w:val="none"/>
        </w:rPr>
      </w:pPr>
      <w:r>
        <w:rPr>
          <w:b/>
          <w:color w:val="auto"/>
          <w:sz w:val="36"/>
          <w:highlight w:val="none"/>
        </w:rPr>
        <w:t>第三章 投标人须知</w:t>
      </w:r>
    </w:p>
    <w:p>
      <w:pPr>
        <w:ind w:firstLine="480"/>
        <w:rPr>
          <w:color w:val="auto"/>
          <w:highlight w:val="none"/>
        </w:rPr>
      </w:pPr>
      <w:r>
        <w:rPr>
          <w:color w:val="auto"/>
          <w:highlight w:val="none"/>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rPr>
          <w:color w:val="auto"/>
          <w:highlight w:val="none"/>
        </w:rPr>
      </w:pPr>
      <w:r>
        <w:rPr>
          <w:b/>
          <w:color w:val="auto"/>
          <w:sz w:val="24"/>
          <w:highlight w:val="none"/>
        </w:rPr>
        <w:t>一、名词解释</w:t>
      </w:r>
    </w:p>
    <w:p>
      <w:pPr>
        <w:ind w:firstLine="480"/>
        <w:rPr>
          <w:color w:val="auto"/>
          <w:highlight w:val="none"/>
        </w:rPr>
      </w:pPr>
      <w:r>
        <w:rPr>
          <w:color w:val="auto"/>
          <w:highlight w:val="none"/>
        </w:rPr>
        <w:t>1.采购代理机构：本项目是指东莞市万江招投标服务所，负责整个采购活动的组织，依法负责编制和发布招标文件，对招标文件拥有最终的解释权，不以任何身份出任评标委员会成员。</w:t>
      </w:r>
    </w:p>
    <w:p>
      <w:pPr>
        <w:ind w:firstLine="480"/>
        <w:rPr>
          <w:color w:val="auto"/>
          <w:highlight w:val="none"/>
        </w:rPr>
      </w:pPr>
      <w:r>
        <w:rPr>
          <w:color w:val="auto"/>
          <w:highlight w:val="none"/>
        </w:rPr>
        <w:t>2.采购人：本项目是指</w:t>
      </w:r>
      <w:r>
        <w:rPr>
          <w:rFonts w:hint="eastAsia"/>
          <w:color w:val="auto"/>
          <w:highlight w:val="none"/>
          <w:lang w:eastAsia="zh-CN"/>
        </w:rPr>
        <w:t>东莞市司法局万江分局</w:t>
      </w:r>
      <w:r>
        <w:rPr>
          <w:color w:val="auto"/>
          <w:highlight w:val="none"/>
        </w:rPr>
        <w:t>，是采购活动当事人之一，负责项目的整体规划、技术方案可行性设计论证与实施，作为合同采购方（用户）的主体承担质疑回复、履行合同、验收与评价等义务。</w:t>
      </w:r>
    </w:p>
    <w:p>
      <w:pPr>
        <w:ind w:firstLine="480"/>
        <w:rPr>
          <w:color w:val="auto"/>
          <w:highlight w:val="none"/>
        </w:rPr>
      </w:pPr>
      <w:r>
        <w:rPr>
          <w:color w:val="auto"/>
          <w:highlight w:val="none"/>
        </w:rPr>
        <w:t>3.投标人：是指完成本项目投标登记并提交投标文件的供应商。</w:t>
      </w:r>
    </w:p>
    <w:p>
      <w:pPr>
        <w:ind w:firstLine="480"/>
        <w:rPr>
          <w:color w:val="auto"/>
          <w:highlight w:val="none"/>
        </w:rPr>
      </w:pPr>
      <w:r>
        <w:rPr>
          <w:color w:val="auto"/>
          <w:highlight w:val="none"/>
        </w:rPr>
        <w:t>4.“评标委员会”是指根据《中华人民共和国政府采购法》等法律法规规定，由采购人代表和有关专家组成以确定中标供应商或者推荐中标候选人的临时组织。</w:t>
      </w:r>
    </w:p>
    <w:p>
      <w:pPr>
        <w:ind w:firstLine="480"/>
        <w:rPr>
          <w:color w:val="auto"/>
          <w:highlight w:val="none"/>
        </w:rPr>
      </w:pPr>
      <w:r>
        <w:rPr>
          <w:color w:val="auto"/>
          <w:highlight w:val="none"/>
        </w:rPr>
        <w:t>5.“中标供应商”是指经评标委员会评审确定的对招标文件做出实质性响应，经采购人按照规定在评标委员会推荐的中标候选人中确定的或评标委员会受采购人委托直接确认的投标人。</w:t>
      </w:r>
    </w:p>
    <w:p>
      <w:pPr>
        <w:ind w:firstLine="480"/>
        <w:rPr>
          <w:color w:val="auto"/>
          <w:highlight w:val="none"/>
        </w:rPr>
      </w:pPr>
      <w:r>
        <w:rPr>
          <w:color w:val="auto"/>
          <w:highlight w:val="none"/>
        </w:rPr>
        <w:t>6.招标文件：是指包括招标公告和招标文件及其补充、变更和澄清等一系列文件。</w:t>
      </w:r>
    </w:p>
    <w:p>
      <w:pPr>
        <w:ind w:firstLine="480"/>
        <w:rPr>
          <w:rFonts w:hint="eastAsia"/>
          <w:color w:val="auto"/>
          <w:highlight w:val="none"/>
          <w:lang w:eastAsia="zh-CN"/>
        </w:rPr>
      </w:pPr>
      <w:r>
        <w:rPr>
          <w:rFonts w:hint="eastAsia"/>
          <w:color w:val="auto"/>
          <w:highlight w:val="none"/>
          <w:lang w:val="en-US" w:eastAsia="zh-CN"/>
        </w:rPr>
        <w:t>7</w:t>
      </w:r>
      <w:r>
        <w:rPr>
          <w:color w:val="auto"/>
          <w:highlight w:val="none"/>
        </w:rPr>
        <w:t>.“投标人代表签字”及“授权代表”：在投标（响应）文件及相关的其他资料中，涉及“投标人代表签字”或“授权代表”应在纸质投标（响应）文件上进行手写签名</w:t>
      </w:r>
      <w:r>
        <w:rPr>
          <w:rFonts w:hint="eastAsia"/>
          <w:color w:val="auto"/>
          <w:highlight w:val="none"/>
          <w:lang w:eastAsia="zh-CN"/>
        </w:rPr>
        <w:t>。</w:t>
      </w:r>
    </w:p>
    <w:p>
      <w:pPr>
        <w:ind w:firstLine="480"/>
        <w:rPr>
          <w:color w:val="auto"/>
          <w:highlight w:val="none"/>
        </w:rPr>
      </w:pPr>
      <w:r>
        <w:rPr>
          <w:rFonts w:hint="eastAsia"/>
          <w:color w:val="auto"/>
          <w:highlight w:val="none"/>
          <w:lang w:val="en-US" w:eastAsia="zh-CN"/>
        </w:rPr>
        <w:t>8.</w:t>
      </w:r>
      <w:r>
        <w:rPr>
          <w:color w:val="auto"/>
          <w:highlight w:val="none"/>
        </w:rPr>
        <w:t>“法定代表人”：在投标（响应）文件及相关的其他资料中，涉及“法定代表人”应在纸质投标（响应）文件上进行手写签名。</w:t>
      </w:r>
    </w:p>
    <w:p>
      <w:pPr>
        <w:ind w:firstLine="480"/>
        <w:rPr>
          <w:color w:val="auto"/>
          <w:highlight w:val="none"/>
        </w:rPr>
      </w:pPr>
      <w:r>
        <w:rPr>
          <w:rFonts w:hint="eastAsia"/>
          <w:color w:val="auto"/>
          <w:highlight w:val="none"/>
          <w:lang w:val="en-US" w:eastAsia="zh-CN"/>
        </w:rPr>
        <w:t>9</w:t>
      </w:r>
      <w:r>
        <w:rPr>
          <w:color w:val="auto"/>
          <w:highlight w:val="none"/>
        </w:rPr>
        <w:t>.日期、天数、时间：未有特别说明时，均为公历日（天）及北京时间。</w:t>
      </w:r>
    </w:p>
    <w:p>
      <w:pPr>
        <w:ind w:firstLine="480"/>
        <w:rPr>
          <w:color w:val="auto"/>
          <w:highlight w:val="none"/>
        </w:rPr>
      </w:pPr>
    </w:p>
    <w:p>
      <w:pPr>
        <w:rPr>
          <w:color w:val="auto"/>
          <w:highlight w:val="none"/>
        </w:rPr>
      </w:pPr>
      <w:r>
        <w:rPr>
          <w:b/>
          <w:color w:val="auto"/>
          <w:sz w:val="28"/>
          <w:highlight w:val="none"/>
        </w:rPr>
        <w:t>二、须知前附表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rPr>
                <w:color w:val="auto"/>
                <w:highlight w:val="none"/>
              </w:rPr>
            </w:pPr>
            <w:r>
              <w:rPr>
                <w:color w:val="auto"/>
                <w:highlight w:val="none"/>
              </w:rP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序号</w:t>
            </w:r>
          </w:p>
        </w:tc>
        <w:tc>
          <w:tcPr>
            <w:tcW w:w="2252" w:type="dxa"/>
          </w:tcPr>
          <w:p>
            <w:pPr>
              <w:rPr>
                <w:color w:val="auto"/>
                <w:highlight w:val="none"/>
              </w:rPr>
            </w:pPr>
            <w:r>
              <w:rPr>
                <w:color w:val="auto"/>
                <w:highlight w:val="none"/>
              </w:rPr>
              <w:t>条款名称</w:t>
            </w:r>
          </w:p>
        </w:tc>
        <w:tc>
          <w:tcPr>
            <w:tcW w:w="5004" w:type="dxa"/>
          </w:tcPr>
          <w:p>
            <w:pPr>
              <w:rPr>
                <w:color w:val="auto"/>
                <w:highlight w:val="none"/>
              </w:rPr>
            </w:pPr>
            <w:r>
              <w:rPr>
                <w:color w:val="auto"/>
                <w:highlight w:val="none"/>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1</w:t>
            </w:r>
          </w:p>
        </w:tc>
        <w:tc>
          <w:tcPr>
            <w:tcW w:w="2252" w:type="dxa"/>
          </w:tcPr>
          <w:p>
            <w:pPr>
              <w:rPr>
                <w:color w:val="auto"/>
                <w:highlight w:val="none"/>
              </w:rPr>
            </w:pPr>
            <w:r>
              <w:rPr>
                <w:color w:val="auto"/>
                <w:highlight w:val="none"/>
              </w:rPr>
              <w:t>采购包情况</w:t>
            </w:r>
          </w:p>
        </w:tc>
        <w:tc>
          <w:tcPr>
            <w:tcW w:w="5004" w:type="dxa"/>
          </w:tcPr>
          <w:p>
            <w:pPr>
              <w:rPr>
                <w:color w:val="auto"/>
                <w:highlight w:val="none"/>
              </w:rPr>
            </w:pPr>
            <w:r>
              <w:rPr>
                <w:color w:val="auto"/>
                <w:highlight w:val="none"/>
              </w:rPr>
              <w:t>本项目共</w:t>
            </w:r>
            <w:r>
              <w:rPr>
                <w:rFonts w:hint="eastAsia"/>
                <w:color w:val="auto"/>
                <w:highlight w:val="none"/>
                <w:lang w:eastAsia="zh-CN"/>
              </w:rPr>
              <w:t>1</w:t>
            </w:r>
            <w:r>
              <w:rPr>
                <w:color w:val="auto"/>
                <w:highlight w:val="none"/>
              </w:rPr>
              <w:t>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2</w:t>
            </w:r>
          </w:p>
        </w:tc>
        <w:tc>
          <w:tcPr>
            <w:tcW w:w="2252" w:type="dxa"/>
          </w:tcPr>
          <w:p>
            <w:pPr>
              <w:rPr>
                <w:color w:val="auto"/>
                <w:highlight w:val="none"/>
              </w:rPr>
            </w:pPr>
            <w:r>
              <w:rPr>
                <w:color w:val="auto"/>
                <w:highlight w:val="none"/>
              </w:rPr>
              <w:t>开标方式</w:t>
            </w:r>
          </w:p>
        </w:tc>
        <w:tc>
          <w:tcPr>
            <w:tcW w:w="5004" w:type="dxa"/>
          </w:tcPr>
          <w:p>
            <w:pPr>
              <w:rPr>
                <w:color w:val="auto"/>
                <w:highlight w:val="none"/>
              </w:rPr>
            </w:pPr>
            <w:r>
              <w:rPr>
                <w:color w:val="auto"/>
                <w:highlight w:val="none"/>
              </w:rPr>
              <w:t>现场</w:t>
            </w:r>
            <w:r>
              <w:rPr>
                <w:rFonts w:hint="eastAsia"/>
                <w:color w:val="auto"/>
                <w:highlight w:val="none"/>
                <w:lang w:eastAsia="zh-CN"/>
              </w:rPr>
              <w:t>纸质</w:t>
            </w:r>
            <w:r>
              <w:rPr>
                <w:color w:val="auto"/>
                <w:highlight w:val="none"/>
              </w:rPr>
              <w:t>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3</w:t>
            </w:r>
          </w:p>
        </w:tc>
        <w:tc>
          <w:tcPr>
            <w:tcW w:w="2252" w:type="dxa"/>
          </w:tcPr>
          <w:p>
            <w:pPr>
              <w:rPr>
                <w:color w:val="auto"/>
                <w:highlight w:val="none"/>
              </w:rPr>
            </w:pPr>
            <w:r>
              <w:rPr>
                <w:color w:val="auto"/>
                <w:highlight w:val="none"/>
              </w:rPr>
              <w:t>评标方式</w:t>
            </w:r>
          </w:p>
        </w:tc>
        <w:tc>
          <w:tcPr>
            <w:tcW w:w="5004" w:type="dxa"/>
          </w:tcPr>
          <w:p>
            <w:pPr>
              <w:rPr>
                <w:color w:val="auto"/>
                <w:highlight w:val="none"/>
              </w:rPr>
            </w:pPr>
            <w:r>
              <w:rPr>
                <w:color w:val="auto"/>
                <w:highlight w:val="none"/>
              </w:rPr>
              <w:t>现场</w:t>
            </w:r>
            <w:r>
              <w:rPr>
                <w:rFonts w:hint="eastAsia"/>
                <w:color w:val="auto"/>
                <w:highlight w:val="none"/>
                <w:lang w:eastAsia="zh-CN"/>
              </w:rPr>
              <w:t>纸质</w:t>
            </w:r>
            <w:r>
              <w:rPr>
                <w:color w:val="auto"/>
                <w:highlight w:val="none"/>
              </w:rPr>
              <w:t>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4</w:t>
            </w:r>
          </w:p>
        </w:tc>
        <w:tc>
          <w:tcPr>
            <w:tcW w:w="2252" w:type="dxa"/>
          </w:tcPr>
          <w:p>
            <w:pPr>
              <w:rPr>
                <w:color w:val="auto"/>
                <w:highlight w:val="none"/>
              </w:rPr>
            </w:pPr>
            <w:r>
              <w:rPr>
                <w:color w:val="auto"/>
                <w:highlight w:val="none"/>
              </w:rPr>
              <w:t>评标办法</w:t>
            </w:r>
          </w:p>
        </w:tc>
        <w:tc>
          <w:tcPr>
            <w:tcW w:w="5004" w:type="dxa"/>
          </w:tcPr>
          <w:p>
            <w:pPr>
              <w:rPr>
                <w:color w:val="auto"/>
                <w:highlight w:val="none"/>
              </w:rPr>
            </w:pPr>
            <w:r>
              <w:rPr>
                <w:color w:val="auto"/>
                <w:highlight w:val="none"/>
              </w:rP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5</w:t>
            </w:r>
          </w:p>
        </w:tc>
        <w:tc>
          <w:tcPr>
            <w:tcW w:w="2252" w:type="dxa"/>
          </w:tcPr>
          <w:p>
            <w:pPr>
              <w:rPr>
                <w:color w:val="auto"/>
                <w:highlight w:val="none"/>
              </w:rPr>
            </w:pPr>
            <w:r>
              <w:rPr>
                <w:color w:val="auto"/>
                <w:highlight w:val="none"/>
              </w:rPr>
              <w:t>报价形式</w:t>
            </w:r>
          </w:p>
        </w:tc>
        <w:tc>
          <w:tcPr>
            <w:tcW w:w="5004" w:type="dxa"/>
          </w:tcPr>
          <w:p>
            <w:pPr>
              <w:rPr>
                <w:rFonts w:hint="eastAsia" w:eastAsiaTheme="minorEastAsia"/>
                <w:color w:val="auto"/>
                <w:highlight w:val="none"/>
                <w:lang w:eastAsia="zh-CN"/>
              </w:rPr>
            </w:pPr>
            <w:r>
              <w:rPr>
                <w:color w:val="auto"/>
                <w:highlight w:val="none"/>
              </w:rPr>
              <w:t>采购包1：</w:t>
            </w:r>
            <w:r>
              <w:rPr>
                <w:rFonts w:hint="eastAsia"/>
                <w:color w:val="auto"/>
                <w:highlight w:val="none"/>
                <w:lang w:eastAsia="zh-CN"/>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6</w:t>
            </w:r>
          </w:p>
        </w:tc>
        <w:tc>
          <w:tcPr>
            <w:tcW w:w="2252" w:type="dxa"/>
          </w:tcPr>
          <w:p>
            <w:pPr>
              <w:rPr>
                <w:color w:val="auto"/>
                <w:highlight w:val="none"/>
              </w:rPr>
            </w:pPr>
            <w:r>
              <w:rPr>
                <w:color w:val="auto"/>
                <w:highlight w:val="none"/>
              </w:rPr>
              <w:t>报价要求</w:t>
            </w:r>
          </w:p>
        </w:tc>
        <w:tc>
          <w:tcPr>
            <w:tcW w:w="5004" w:type="dxa"/>
          </w:tcPr>
          <w:p>
            <w:pPr>
              <w:rPr>
                <w:color w:val="auto"/>
                <w:highlight w:val="none"/>
              </w:rPr>
            </w:pPr>
            <w:r>
              <w:rPr>
                <w:color w:val="auto"/>
                <w:highlight w:val="none"/>
              </w:rP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7</w:t>
            </w:r>
          </w:p>
        </w:tc>
        <w:tc>
          <w:tcPr>
            <w:tcW w:w="2252" w:type="dxa"/>
          </w:tcPr>
          <w:p>
            <w:pPr>
              <w:rPr>
                <w:color w:val="auto"/>
                <w:highlight w:val="none"/>
              </w:rPr>
            </w:pPr>
            <w:r>
              <w:rPr>
                <w:color w:val="auto"/>
                <w:highlight w:val="none"/>
              </w:rPr>
              <w:t>现场踏勘</w:t>
            </w:r>
          </w:p>
        </w:tc>
        <w:tc>
          <w:tcPr>
            <w:tcW w:w="5004" w:type="dxa"/>
          </w:tcPr>
          <w:p>
            <w:pPr>
              <w:rPr>
                <w:color w:val="auto"/>
                <w:highlight w:val="none"/>
              </w:rPr>
            </w:pPr>
            <w:r>
              <w:rPr>
                <w:color w:val="auto"/>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8</w:t>
            </w:r>
          </w:p>
        </w:tc>
        <w:tc>
          <w:tcPr>
            <w:tcW w:w="2252" w:type="dxa"/>
          </w:tcPr>
          <w:p>
            <w:pPr>
              <w:rPr>
                <w:color w:val="auto"/>
                <w:highlight w:val="none"/>
              </w:rPr>
            </w:pPr>
            <w:r>
              <w:rPr>
                <w:color w:val="auto"/>
                <w:highlight w:val="none"/>
              </w:rPr>
              <w:t>投标有效期</w:t>
            </w:r>
          </w:p>
        </w:tc>
        <w:tc>
          <w:tcPr>
            <w:tcW w:w="5004" w:type="dxa"/>
          </w:tcPr>
          <w:p>
            <w:pPr>
              <w:rPr>
                <w:color w:val="auto"/>
                <w:highlight w:val="none"/>
              </w:rPr>
            </w:pPr>
            <w:r>
              <w:rPr>
                <w:color w:val="auto"/>
                <w:highlight w:val="none"/>
              </w:rP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9</w:t>
            </w:r>
          </w:p>
        </w:tc>
        <w:tc>
          <w:tcPr>
            <w:tcW w:w="2252" w:type="dxa"/>
          </w:tcPr>
          <w:p>
            <w:pPr>
              <w:rPr>
                <w:color w:val="auto"/>
                <w:highlight w:val="none"/>
              </w:rPr>
            </w:pPr>
            <w:r>
              <w:rPr>
                <w:color w:val="auto"/>
                <w:highlight w:val="none"/>
              </w:rPr>
              <w:t>投标保证金</w:t>
            </w:r>
          </w:p>
        </w:tc>
        <w:tc>
          <w:tcPr>
            <w:tcW w:w="5004" w:type="dxa"/>
          </w:tcPr>
          <w:p>
            <w:pPr>
              <w:rPr>
                <w:color w:val="auto"/>
                <w:highlight w:val="none"/>
              </w:rPr>
            </w:pPr>
            <w:r>
              <w:rPr>
                <w:color w:val="auto"/>
                <w:highlight w:val="none"/>
              </w:rPr>
              <w:t>采购包1：</w:t>
            </w:r>
            <w:r>
              <w:rPr>
                <w:rFonts w:hint="eastAsia"/>
                <w:color w:val="auto"/>
                <w:highlight w:val="none"/>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10</w:t>
            </w:r>
          </w:p>
        </w:tc>
        <w:tc>
          <w:tcPr>
            <w:tcW w:w="2252" w:type="dxa"/>
          </w:tcPr>
          <w:p>
            <w:pPr>
              <w:rPr>
                <w:color w:val="auto"/>
                <w:highlight w:val="none"/>
              </w:rPr>
            </w:pPr>
            <w:r>
              <w:rPr>
                <w:color w:val="auto"/>
                <w:highlight w:val="none"/>
              </w:rPr>
              <w:t>投标文件要求</w:t>
            </w:r>
          </w:p>
        </w:tc>
        <w:tc>
          <w:tcPr>
            <w:tcW w:w="5004" w:type="dxa"/>
          </w:tcPr>
          <w:p>
            <w:pPr>
              <w:rPr>
                <w:color w:val="auto"/>
                <w:highlight w:val="none"/>
              </w:rPr>
            </w:pPr>
            <w:r>
              <w:rPr>
                <w:color w:val="auto"/>
                <w:highlight w:val="none"/>
              </w:rPr>
              <w:t>纸质投标文件正本1份，纸质投标文件副本</w:t>
            </w:r>
            <w:r>
              <w:rPr>
                <w:rFonts w:hint="eastAsia"/>
                <w:color w:val="auto"/>
                <w:highlight w:val="none"/>
                <w:lang w:eastAsia="zh-CN"/>
              </w:rPr>
              <w:t>5</w:t>
            </w:r>
            <w:r>
              <w:rPr>
                <w:color w:val="auto"/>
                <w:highlight w:val="none"/>
              </w:rPr>
              <w:t>份。</w:t>
            </w:r>
          </w:p>
          <w:p>
            <w:pPr>
              <w:rPr>
                <w:color w:val="auto"/>
                <w:highlight w:val="none"/>
              </w:rPr>
            </w:pPr>
            <w:r>
              <w:rPr>
                <w:color w:val="auto"/>
                <w:highlight w:val="none"/>
              </w:rPr>
              <w:t>请保证纸质投标文件</w:t>
            </w:r>
            <w:r>
              <w:rPr>
                <w:rFonts w:hint="eastAsia"/>
                <w:color w:val="auto"/>
                <w:highlight w:val="none"/>
                <w:lang w:eastAsia="zh-CN"/>
              </w:rPr>
              <w:t>正副本</w:t>
            </w:r>
            <w:r>
              <w:rPr>
                <w:color w:val="auto"/>
                <w:highlight w:val="none"/>
              </w:rPr>
              <w:t>一致，如不一致时以投标文件</w:t>
            </w:r>
            <w:r>
              <w:rPr>
                <w:rFonts w:hint="eastAsia"/>
                <w:color w:val="auto"/>
                <w:highlight w:val="none"/>
                <w:lang w:eastAsia="zh-CN"/>
              </w:rPr>
              <w:t>正本</w:t>
            </w:r>
            <w:r>
              <w:rPr>
                <w:color w:val="auto"/>
                <w:highlight w:val="none"/>
              </w:rPr>
              <w:t>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11</w:t>
            </w:r>
          </w:p>
        </w:tc>
        <w:tc>
          <w:tcPr>
            <w:tcW w:w="2252" w:type="dxa"/>
          </w:tcPr>
          <w:p>
            <w:pPr>
              <w:rPr>
                <w:color w:val="auto"/>
                <w:highlight w:val="none"/>
              </w:rPr>
            </w:pPr>
            <w:r>
              <w:rPr>
                <w:color w:val="auto"/>
                <w:highlight w:val="none"/>
              </w:rPr>
              <w:t>中标候选供应商推荐家数</w:t>
            </w:r>
          </w:p>
        </w:tc>
        <w:tc>
          <w:tcPr>
            <w:tcW w:w="5004" w:type="dxa"/>
          </w:tcPr>
          <w:p>
            <w:pPr>
              <w:rPr>
                <w:rFonts w:hint="eastAsia" w:eastAsiaTheme="minorEastAsia"/>
                <w:color w:val="auto"/>
                <w:highlight w:val="none"/>
                <w:lang w:eastAsia="zh-CN"/>
              </w:rPr>
            </w:pPr>
            <w:r>
              <w:rPr>
                <w:color w:val="auto"/>
                <w:highlight w:val="none"/>
              </w:rPr>
              <w:t>采购包1：</w:t>
            </w:r>
            <w:r>
              <w:rPr>
                <w:rFonts w:hint="eastAsia"/>
                <w:color w:val="auto"/>
                <w:highlight w:val="none"/>
                <w:lang w:eastAsia="zh-CN"/>
              </w:rPr>
              <w:t>3</w:t>
            </w:r>
            <w:r>
              <w:rPr>
                <w:color w:val="auto"/>
                <w:highlight w:val="none"/>
              </w:rPr>
              <w:t>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1" w:hRule="atLeast"/>
        </w:trPr>
        <w:tc>
          <w:tcPr>
            <w:tcW w:w="1051" w:type="dxa"/>
          </w:tcPr>
          <w:p>
            <w:pPr>
              <w:rPr>
                <w:color w:val="auto"/>
                <w:highlight w:val="none"/>
              </w:rPr>
            </w:pPr>
            <w:r>
              <w:rPr>
                <w:color w:val="auto"/>
                <w:highlight w:val="none"/>
              </w:rPr>
              <w:t>12</w:t>
            </w:r>
          </w:p>
        </w:tc>
        <w:tc>
          <w:tcPr>
            <w:tcW w:w="2252" w:type="dxa"/>
          </w:tcPr>
          <w:p>
            <w:pPr>
              <w:rPr>
                <w:color w:val="auto"/>
                <w:highlight w:val="none"/>
              </w:rPr>
            </w:pPr>
            <w:r>
              <w:rPr>
                <w:color w:val="auto"/>
                <w:highlight w:val="none"/>
              </w:rPr>
              <w:t>中标供应商数量</w:t>
            </w:r>
          </w:p>
        </w:tc>
        <w:tc>
          <w:tcPr>
            <w:tcW w:w="5004" w:type="dxa"/>
          </w:tcPr>
          <w:p>
            <w:pPr>
              <w:rPr>
                <w:color w:val="auto"/>
                <w:highlight w:val="none"/>
              </w:rPr>
            </w:pPr>
            <w:r>
              <w:rPr>
                <w:color w:val="auto"/>
                <w:highlight w:val="none"/>
              </w:rPr>
              <w:t>采购包1：1家</w:t>
            </w:r>
          </w:p>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13</w:t>
            </w:r>
          </w:p>
        </w:tc>
        <w:tc>
          <w:tcPr>
            <w:tcW w:w="2252" w:type="dxa"/>
          </w:tcPr>
          <w:p>
            <w:pPr>
              <w:rPr>
                <w:color w:val="auto"/>
                <w:highlight w:val="none"/>
              </w:rPr>
            </w:pPr>
            <w:r>
              <w:rPr>
                <w:color w:val="auto"/>
                <w:highlight w:val="none"/>
              </w:rPr>
              <w:t>有效供应商家数</w:t>
            </w:r>
          </w:p>
        </w:tc>
        <w:tc>
          <w:tcPr>
            <w:tcW w:w="5004" w:type="dxa"/>
          </w:tcPr>
          <w:p>
            <w:pPr>
              <w:rPr>
                <w:color w:val="auto"/>
                <w:highlight w:val="none"/>
              </w:rPr>
            </w:pPr>
            <w:r>
              <w:rPr>
                <w:color w:val="auto"/>
                <w:highlight w:val="none"/>
              </w:rPr>
              <w:t>采购包1：3家</w:t>
            </w:r>
          </w:p>
          <w:p>
            <w:pPr>
              <w:rPr>
                <w:color w:val="auto"/>
                <w:highlight w:val="none"/>
              </w:rPr>
            </w:pPr>
            <w:r>
              <w:rPr>
                <w:color w:val="auto"/>
                <w:highlight w:val="none"/>
              </w:rP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14</w:t>
            </w:r>
          </w:p>
        </w:tc>
        <w:tc>
          <w:tcPr>
            <w:tcW w:w="2252" w:type="dxa"/>
          </w:tcPr>
          <w:p>
            <w:pPr>
              <w:rPr>
                <w:color w:val="auto"/>
                <w:highlight w:val="none"/>
              </w:rPr>
            </w:pPr>
            <w:r>
              <w:rPr>
                <w:color w:val="auto"/>
                <w:highlight w:val="none"/>
              </w:rPr>
              <w:t>项目兼投兼中（兼投不兼中）规则</w:t>
            </w:r>
          </w:p>
        </w:tc>
        <w:tc>
          <w:tcPr>
            <w:tcW w:w="5004" w:type="dxa"/>
          </w:tcPr>
          <w:p>
            <w:pPr>
              <w:rPr>
                <w:rFonts w:hint="eastAsia" w:eastAsiaTheme="minorEastAsia"/>
                <w:color w:val="auto"/>
                <w:highlight w:val="none"/>
                <w:lang w:eastAsia="zh-CN"/>
              </w:rPr>
            </w:pPr>
            <w:r>
              <w:rPr>
                <w:rFonts w:hint="eastAsia"/>
                <w:color w:val="auto"/>
                <w:highlight w:val="none"/>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15</w:t>
            </w:r>
          </w:p>
        </w:tc>
        <w:tc>
          <w:tcPr>
            <w:tcW w:w="2252" w:type="dxa"/>
          </w:tcPr>
          <w:p>
            <w:pPr>
              <w:rPr>
                <w:color w:val="auto"/>
                <w:highlight w:val="none"/>
              </w:rPr>
            </w:pPr>
            <w:r>
              <w:rPr>
                <w:color w:val="auto"/>
                <w:highlight w:val="none"/>
              </w:rPr>
              <w:t>中标供应商确定方式</w:t>
            </w:r>
          </w:p>
        </w:tc>
        <w:tc>
          <w:tcPr>
            <w:tcW w:w="5004" w:type="dxa"/>
          </w:tcPr>
          <w:p>
            <w:pPr>
              <w:rPr>
                <w:color w:val="auto"/>
                <w:highlight w:val="none"/>
              </w:rPr>
            </w:pPr>
            <w:r>
              <w:rPr>
                <w:color w:val="auto"/>
                <w:highlight w:val="none"/>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16</w:t>
            </w:r>
          </w:p>
        </w:tc>
        <w:tc>
          <w:tcPr>
            <w:tcW w:w="2252" w:type="dxa"/>
          </w:tcPr>
          <w:p>
            <w:pPr>
              <w:rPr>
                <w:color w:val="auto"/>
                <w:highlight w:val="none"/>
              </w:rPr>
            </w:pPr>
            <w:r>
              <w:rPr>
                <w:color w:val="auto"/>
                <w:highlight w:val="none"/>
              </w:rPr>
              <w:t>代理服务费</w:t>
            </w:r>
          </w:p>
        </w:tc>
        <w:tc>
          <w:tcPr>
            <w:tcW w:w="5004" w:type="dxa"/>
          </w:tcPr>
          <w:p>
            <w:pPr>
              <w:rPr>
                <w:color w:val="auto"/>
                <w:highlight w:val="none"/>
              </w:rPr>
            </w:pPr>
            <w:r>
              <w:rPr>
                <w:color w:val="auto"/>
                <w:highlight w:val="none"/>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17</w:t>
            </w:r>
          </w:p>
        </w:tc>
        <w:tc>
          <w:tcPr>
            <w:tcW w:w="2252" w:type="dxa"/>
          </w:tcPr>
          <w:p>
            <w:pPr>
              <w:rPr>
                <w:color w:val="auto"/>
                <w:highlight w:val="none"/>
              </w:rPr>
            </w:pPr>
            <w:r>
              <w:rPr>
                <w:color w:val="auto"/>
                <w:highlight w:val="none"/>
              </w:rPr>
              <w:t>代理服务费收取方式</w:t>
            </w:r>
          </w:p>
        </w:tc>
        <w:tc>
          <w:tcPr>
            <w:tcW w:w="5004" w:type="dxa"/>
          </w:tcPr>
          <w:p>
            <w:pPr>
              <w:rPr>
                <w:color w:val="auto"/>
                <w:highlight w:val="none"/>
              </w:rPr>
            </w:pPr>
            <w:r>
              <w:rPr>
                <w:color w:val="auto"/>
                <w:highlight w:val="none"/>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18</w:t>
            </w:r>
          </w:p>
        </w:tc>
        <w:tc>
          <w:tcPr>
            <w:tcW w:w="2252" w:type="dxa"/>
          </w:tcPr>
          <w:p>
            <w:pPr>
              <w:rPr>
                <w:color w:val="auto"/>
                <w:highlight w:val="none"/>
              </w:rPr>
            </w:pPr>
            <w:r>
              <w:rPr>
                <w:color w:val="auto"/>
                <w:highlight w:val="none"/>
              </w:rPr>
              <w:t>其他</w:t>
            </w:r>
          </w:p>
        </w:tc>
        <w:tc>
          <w:tcPr>
            <w:tcW w:w="5004" w:type="dxa"/>
          </w:tcPr>
          <w:p>
            <w:pPr>
              <w:jc w:val="left"/>
              <w:rPr>
                <w:rFonts w:hint="eastAsia" w:eastAsiaTheme="minorEastAsia"/>
                <w:color w:val="auto"/>
                <w:highlight w:val="none"/>
                <w:lang w:eastAsia="zh-CN"/>
              </w:rPr>
            </w:pPr>
            <w:r>
              <w:rPr>
                <w:color w:val="auto"/>
                <w:highlight w:val="none"/>
              </w:rPr>
              <w:t>供应商须知，一、本项目不接受分公司；二、中标人不得分包或转包</w:t>
            </w:r>
            <w:r>
              <w:rPr>
                <w:rFonts w:hint="eastAsia"/>
                <w:color w:val="auto"/>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rPr>
                <w:color w:val="auto"/>
                <w:highlight w:val="none"/>
              </w:rPr>
            </w:pPr>
            <w:r>
              <w:rPr>
                <w:color w:val="auto"/>
                <w:highlight w:val="none"/>
              </w:rPr>
              <w:t>20</w:t>
            </w:r>
          </w:p>
        </w:tc>
        <w:tc>
          <w:tcPr>
            <w:tcW w:w="2252" w:type="dxa"/>
          </w:tcPr>
          <w:p>
            <w:pPr>
              <w:rPr>
                <w:color w:val="auto"/>
                <w:highlight w:val="none"/>
              </w:rPr>
            </w:pPr>
            <w:r>
              <w:rPr>
                <w:color w:val="auto"/>
                <w:highlight w:val="none"/>
              </w:rPr>
              <w:t>专门面向中小企业采购</w:t>
            </w:r>
          </w:p>
        </w:tc>
        <w:tc>
          <w:tcPr>
            <w:tcW w:w="5004" w:type="dxa"/>
          </w:tcPr>
          <w:p>
            <w:pPr>
              <w:jc w:val="left"/>
              <w:rPr>
                <w:color w:val="auto"/>
                <w:highlight w:val="none"/>
              </w:rPr>
            </w:pPr>
            <w:r>
              <w:rPr>
                <w:color w:val="auto"/>
                <w:highlight w:val="none"/>
              </w:rPr>
              <w:t>采购包1：非专门面向中小企业</w:t>
            </w:r>
          </w:p>
        </w:tc>
      </w:tr>
    </w:tbl>
    <w:p>
      <w:pPr>
        <w:rPr>
          <w:color w:val="auto"/>
          <w:highlight w:val="none"/>
        </w:rPr>
      </w:pPr>
      <w:r>
        <w:rPr>
          <w:b/>
          <w:color w:val="auto"/>
          <w:sz w:val="28"/>
          <w:highlight w:val="none"/>
        </w:rPr>
        <w:t>三、说明</w:t>
      </w:r>
    </w:p>
    <w:p>
      <w:pPr>
        <w:widowControl/>
        <w:outlineLvl w:val="0"/>
        <w:rPr>
          <w:rFonts w:ascii="宋体" w:hAnsi="宋体" w:eastAsia="宋体" w:cs="仿宋"/>
          <w:bCs/>
          <w:color w:val="auto"/>
          <w:szCs w:val="21"/>
          <w:highlight w:val="none"/>
        </w:rPr>
      </w:pPr>
      <w:r>
        <w:rPr>
          <w:rFonts w:hint="eastAsia" w:ascii="宋体" w:hAnsi="宋体" w:eastAsia="宋体" w:cs="仿宋"/>
          <w:b/>
          <w:color w:val="auto"/>
          <w:szCs w:val="21"/>
          <w:highlight w:val="none"/>
        </w:rPr>
        <w:t>一 、 总 则</w:t>
      </w:r>
    </w:p>
    <w:p>
      <w:pPr>
        <w:numPr>
          <w:ilvl w:val="0"/>
          <w:numId w:val="2"/>
        </w:numPr>
        <w:spacing w:line="480" w:lineRule="exact"/>
        <w:ind w:firstLine="422" w:firstLineChars="200"/>
        <w:outlineLvl w:val="2"/>
        <w:rPr>
          <w:rFonts w:ascii="宋体" w:hAnsi="宋体" w:eastAsia="宋体" w:cs="仿宋"/>
          <w:bCs/>
          <w:color w:val="auto"/>
          <w:szCs w:val="21"/>
          <w:highlight w:val="none"/>
        </w:rPr>
      </w:pPr>
      <w:bookmarkStart w:id="0" w:name="_Toc520356144"/>
      <w:bookmarkStart w:id="1" w:name="_Toc515647758"/>
      <w:bookmarkStart w:id="2" w:name="_Toc2265"/>
      <w:bookmarkStart w:id="3" w:name="_Toc31953"/>
      <w:bookmarkStart w:id="4" w:name="_Toc22741"/>
      <w:bookmarkStart w:id="5" w:name="_Toc21240"/>
      <w:bookmarkStart w:id="6" w:name="_Toc2721"/>
      <w:bookmarkStart w:id="7" w:name="_Toc3751653"/>
      <w:bookmarkStart w:id="8" w:name="_Toc527622567"/>
      <w:bookmarkStart w:id="9" w:name="_Toc15274"/>
      <w:bookmarkStart w:id="10" w:name="_Toc32623"/>
      <w:bookmarkStart w:id="11" w:name="_Toc27820"/>
      <w:bookmarkStart w:id="12" w:name="_Toc32189"/>
      <w:r>
        <w:rPr>
          <w:rFonts w:hint="eastAsia" w:ascii="宋体" w:hAnsi="宋体" w:eastAsia="宋体" w:cs="仿宋"/>
          <w:b/>
          <w:bCs/>
          <w:color w:val="auto"/>
          <w:szCs w:val="21"/>
          <w:highlight w:val="none"/>
        </w:rPr>
        <w:t>采购人、采购代理机构及</w:t>
      </w:r>
      <w:bookmarkEnd w:id="0"/>
      <w:r>
        <w:rPr>
          <w:rFonts w:hint="eastAsia" w:ascii="宋体" w:hAnsi="宋体" w:eastAsia="宋体" w:cs="仿宋"/>
          <w:b/>
          <w:bCs/>
          <w:color w:val="auto"/>
          <w:szCs w:val="21"/>
          <w:highlight w:val="none"/>
        </w:rPr>
        <w:t>供应商</w:t>
      </w:r>
      <w:bookmarkEnd w:id="1"/>
      <w:bookmarkEnd w:id="2"/>
      <w:bookmarkEnd w:id="3"/>
      <w:bookmarkEnd w:id="4"/>
      <w:bookmarkEnd w:id="5"/>
      <w:bookmarkEnd w:id="6"/>
      <w:bookmarkEnd w:id="7"/>
      <w:bookmarkEnd w:id="8"/>
      <w:bookmarkEnd w:id="9"/>
      <w:bookmarkEnd w:id="10"/>
      <w:bookmarkEnd w:id="11"/>
      <w:bookmarkEnd w:id="12"/>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1.1 采购人：是指依法开展政府采购活动的国家机关、事业单位、团体组织。本项目的采购人见</w:t>
      </w:r>
      <w:r>
        <w:rPr>
          <w:rFonts w:hint="eastAsia" w:ascii="宋体" w:hAnsi="宋体" w:eastAsia="宋体" w:cs="仿宋"/>
          <w:color w:val="auto"/>
          <w:szCs w:val="21"/>
          <w:highlight w:val="none"/>
          <w:u w:val="single"/>
        </w:rPr>
        <w:t>供应商须知资料表</w:t>
      </w:r>
      <w:r>
        <w:rPr>
          <w:rFonts w:hint="eastAsia" w:ascii="宋体" w:hAnsi="宋体" w:eastAsia="宋体" w:cs="仿宋"/>
          <w:color w:val="auto"/>
          <w:szCs w:val="21"/>
          <w:highlight w:val="none"/>
        </w:rPr>
        <w:t>。</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1.2 采购代理机构：是指在集中采购机构或从事采购代理业务的社会中介机构。本项目的采购代理机构见</w:t>
      </w:r>
      <w:r>
        <w:rPr>
          <w:rFonts w:hint="eastAsia" w:ascii="宋体" w:hAnsi="宋体" w:eastAsia="宋体" w:cs="仿宋"/>
          <w:color w:val="auto"/>
          <w:szCs w:val="21"/>
          <w:highlight w:val="none"/>
          <w:u w:val="single"/>
        </w:rPr>
        <w:t>供应商须知资料表</w:t>
      </w:r>
      <w:r>
        <w:rPr>
          <w:rFonts w:hint="eastAsia" w:ascii="宋体" w:hAnsi="宋体" w:eastAsia="宋体" w:cs="仿宋"/>
          <w:color w:val="auto"/>
          <w:szCs w:val="21"/>
          <w:highlight w:val="none"/>
        </w:rPr>
        <w:t>。</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1.3 供应商：是指向采购人提供货物、工程或者服务的法人、非法人组织或者自然人。</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1.4 若</w:t>
      </w:r>
      <w:r>
        <w:rPr>
          <w:rFonts w:hint="eastAsia" w:ascii="宋体" w:hAnsi="宋体" w:eastAsia="宋体" w:cs="仿宋"/>
          <w:color w:val="auto"/>
          <w:szCs w:val="21"/>
          <w:highlight w:val="none"/>
          <w:u w:val="single"/>
        </w:rPr>
        <w:t>供应商须知资料表</w:t>
      </w:r>
      <w:r>
        <w:rPr>
          <w:rFonts w:hint="eastAsia" w:ascii="宋体" w:hAnsi="宋体" w:eastAsia="宋体" w:cs="仿宋"/>
          <w:color w:val="auto"/>
          <w:szCs w:val="21"/>
          <w:highlight w:val="none"/>
        </w:rPr>
        <w:t>中写明允许采购进口产品，供应商应保证所投产品可履行合法报通关手续进入中国关境内。</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1.5 若</w:t>
      </w:r>
      <w:r>
        <w:rPr>
          <w:rFonts w:hint="eastAsia" w:ascii="宋体" w:hAnsi="宋体" w:eastAsia="宋体" w:cs="仿宋"/>
          <w:color w:val="auto"/>
          <w:szCs w:val="21"/>
          <w:highlight w:val="none"/>
          <w:u w:val="single"/>
        </w:rPr>
        <w:t>供应商须知资料表</w:t>
      </w:r>
      <w:r>
        <w:rPr>
          <w:rFonts w:hint="eastAsia" w:ascii="宋体" w:hAnsi="宋体" w:eastAsia="宋体" w:cs="仿宋"/>
          <w:color w:val="auto"/>
          <w:szCs w:val="21"/>
          <w:highlight w:val="none"/>
        </w:rPr>
        <w:t>中未写明允许采购进口产品，如供应商所投产品为进口产品，其投标将被认定为</w:t>
      </w:r>
      <w:r>
        <w:rPr>
          <w:rFonts w:hint="eastAsia" w:ascii="宋体" w:hAnsi="宋体" w:eastAsia="宋体" w:cs="仿宋"/>
          <w:b/>
          <w:bCs/>
          <w:color w:val="auto"/>
          <w:szCs w:val="21"/>
          <w:highlight w:val="none"/>
          <w:u w:val="single"/>
        </w:rPr>
        <w:t>投标无效。</w:t>
      </w:r>
    </w:p>
    <w:p>
      <w:pPr>
        <w:spacing w:line="480" w:lineRule="exact"/>
        <w:ind w:firstLine="420" w:firstLineChars="200"/>
        <w:jc w:val="left"/>
        <w:rPr>
          <w:rFonts w:hint="eastAsia" w:ascii="宋体" w:hAnsi="宋体" w:eastAsia="宋体" w:cs="仿宋"/>
          <w:b/>
          <w:bCs/>
          <w:color w:val="auto"/>
          <w:szCs w:val="21"/>
          <w:highlight w:val="none"/>
          <w:u w:val="single"/>
        </w:rPr>
      </w:pPr>
      <w:r>
        <w:rPr>
          <w:rFonts w:hint="eastAsia" w:ascii="宋体" w:hAnsi="宋体" w:eastAsia="宋体" w:cs="仿宋"/>
          <w:color w:val="auto"/>
          <w:szCs w:val="21"/>
          <w:highlight w:val="none"/>
        </w:rPr>
        <w:t>1.6 若</w:t>
      </w:r>
      <w:r>
        <w:rPr>
          <w:rFonts w:hint="eastAsia" w:ascii="宋体" w:hAnsi="宋体" w:eastAsia="宋体" w:cs="仿宋"/>
          <w:color w:val="auto"/>
          <w:szCs w:val="21"/>
          <w:highlight w:val="none"/>
          <w:u w:val="single"/>
        </w:rPr>
        <w:t>供应商须知资料表</w:t>
      </w:r>
      <w:r>
        <w:rPr>
          <w:rFonts w:hint="eastAsia" w:ascii="宋体" w:hAnsi="宋体" w:eastAsia="宋体" w:cs="仿宋"/>
          <w:color w:val="auto"/>
          <w:szCs w:val="21"/>
          <w:highlight w:val="none"/>
        </w:rPr>
        <w:t>中写明专门面向中小企业采购的，如供应商为非中小企业且所投产品为非中小企业产品，其投标将被认定为</w:t>
      </w:r>
      <w:r>
        <w:rPr>
          <w:rFonts w:hint="eastAsia" w:ascii="宋体" w:hAnsi="宋体" w:eastAsia="宋体" w:cs="仿宋"/>
          <w:b/>
          <w:bCs/>
          <w:color w:val="auto"/>
          <w:szCs w:val="21"/>
          <w:highlight w:val="none"/>
          <w:u w:val="single"/>
        </w:rPr>
        <w:t>投标无效。</w:t>
      </w:r>
    </w:p>
    <w:p>
      <w:pPr>
        <w:spacing w:line="480" w:lineRule="exact"/>
        <w:ind w:firstLine="420" w:firstLineChars="200"/>
        <w:jc w:val="left"/>
        <w:rPr>
          <w:rFonts w:hint="eastAsia" w:ascii="宋体" w:hAnsi="宋体" w:eastAsia="宋体" w:cs="仿宋"/>
          <w:color w:val="auto"/>
          <w:szCs w:val="21"/>
          <w:highlight w:val="none"/>
        </w:rPr>
      </w:pPr>
      <w:r>
        <w:rPr>
          <w:rFonts w:hint="eastAsia" w:ascii="宋体" w:hAnsi="宋体" w:eastAsia="宋体" w:cs="仿宋"/>
          <w:color w:val="auto"/>
          <w:szCs w:val="21"/>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spacing w:line="480" w:lineRule="exact"/>
        <w:ind w:firstLine="420" w:firstLineChars="200"/>
        <w:jc w:val="left"/>
        <w:rPr>
          <w:rFonts w:hint="eastAsia" w:ascii="宋体" w:hAnsi="宋体" w:eastAsia="宋体" w:cs="仿宋"/>
          <w:color w:val="auto"/>
          <w:szCs w:val="21"/>
          <w:highlight w:val="none"/>
        </w:rPr>
      </w:pPr>
      <w:r>
        <w:rPr>
          <w:rFonts w:hint="eastAsia" w:ascii="宋体" w:hAnsi="宋体" w:eastAsia="宋体" w:cs="仿宋"/>
          <w:color w:val="auto"/>
          <w:szCs w:val="21"/>
          <w:highlight w:val="none"/>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spacing w:line="480" w:lineRule="exact"/>
        <w:ind w:firstLine="420" w:firstLineChars="200"/>
        <w:jc w:val="left"/>
        <w:rPr>
          <w:rFonts w:hint="eastAsia" w:ascii="宋体" w:hAnsi="宋体" w:eastAsia="宋体" w:cs="仿宋"/>
          <w:color w:val="auto"/>
          <w:szCs w:val="21"/>
          <w:highlight w:val="none"/>
        </w:rPr>
      </w:pPr>
      <w:r>
        <w:rPr>
          <w:rFonts w:hint="eastAsia" w:ascii="宋体" w:hAnsi="宋体" w:eastAsia="宋体" w:cs="仿宋"/>
          <w:color w:val="auto"/>
          <w:szCs w:val="21"/>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宋体" w:hAnsi="宋体" w:eastAsia="宋体" w:cs="仿宋"/>
          <w:color w:val="auto"/>
          <w:szCs w:val="21"/>
          <w:highlight w:val="none"/>
        </w:rPr>
        <w:tab/>
      </w:r>
      <w:r>
        <w:rPr>
          <w:rFonts w:hint="eastAsia" w:ascii="宋体" w:hAnsi="宋体" w:eastAsia="宋体" w:cs="仿宋"/>
          <w:color w:val="auto"/>
          <w:szCs w:val="21"/>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1.7 如</w:t>
      </w:r>
      <w:r>
        <w:rPr>
          <w:rFonts w:hint="eastAsia" w:ascii="宋体" w:hAnsi="宋体" w:eastAsia="宋体" w:cs="仿宋"/>
          <w:color w:val="auto"/>
          <w:szCs w:val="21"/>
          <w:highlight w:val="none"/>
          <w:u w:val="single"/>
        </w:rPr>
        <w:t>供应商须知资料表</w:t>
      </w:r>
      <w:r>
        <w:rPr>
          <w:rFonts w:hint="eastAsia" w:ascii="宋体" w:hAnsi="宋体" w:eastAsia="宋体" w:cs="仿宋"/>
          <w:color w:val="auto"/>
          <w:szCs w:val="21"/>
          <w:highlight w:val="none"/>
        </w:rPr>
        <w:t>中允许联合体投标，对联合体规定如下：</w:t>
      </w:r>
    </w:p>
    <w:p>
      <w:pPr>
        <w:spacing w:line="480" w:lineRule="exact"/>
        <w:ind w:firstLine="420" w:firstLineChars="200"/>
        <w:jc w:val="left"/>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rPr>
        <w:t>1.7.1 两个以上供应商可以组成一个投标联合体，以一个供应商的身份投标。联合体应以联合协议中确定的牵头方名义进行项目投标，投标文件中联合体各方应盖公章联投确认，联合体名称需与共同投标协议书签署方一致。对于需交投标保证金的，以牵头方名义缴纳</w:t>
      </w:r>
      <w:r>
        <w:rPr>
          <w:rFonts w:hint="eastAsia" w:ascii="宋体" w:hAnsi="宋体" w:eastAsia="宋体" w:cs="仿宋"/>
          <w:color w:val="auto"/>
          <w:szCs w:val="21"/>
          <w:highlight w:val="none"/>
          <w:lang w:eastAsia="zh-CN"/>
        </w:rPr>
        <w:t>。</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1.7.2 联合体各方均应符合《中华人民共和国政府采购法》第二十二条规定的条件。</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1.7.3 采购人根据采购项目对供应商的特殊要求，联合体中至少应当有一方符合相关规定。</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1.7.4 联合体各方应签订共同投标协议，明确约定联合体各方承担的工作和相应的责任，并将共同投标协议连同作为投标文件的内容提交。</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1.7.5 大中型企业、其他自然人、法人或者非法人组织与小型、微型企业组成联合体共同参加投标，共同投标协议中应写明小型、微型企业的协议合同金额占到共同投标协议投标总金额的比例。</w:t>
      </w:r>
    </w:p>
    <w:p>
      <w:pPr>
        <w:spacing w:line="480" w:lineRule="exact"/>
        <w:ind w:firstLine="420" w:firstLineChars="200"/>
        <w:jc w:val="left"/>
        <w:rPr>
          <w:rFonts w:hint="default" w:ascii="宋体" w:hAnsi="宋体" w:eastAsia="宋体" w:cs="仿宋"/>
          <w:color w:val="auto"/>
          <w:szCs w:val="21"/>
          <w:highlight w:val="none"/>
          <w:lang w:val="en-US" w:eastAsia="zh-CN"/>
        </w:rPr>
      </w:pPr>
      <w:r>
        <w:rPr>
          <w:rFonts w:hint="eastAsia" w:ascii="宋体" w:hAnsi="宋体" w:eastAsia="宋体" w:cs="仿宋"/>
          <w:color w:val="auto"/>
          <w:szCs w:val="21"/>
          <w:highlight w:val="none"/>
        </w:rPr>
        <w:t>1.7.6 联合体中有同类资质的供应商按照联合体分工承担相同工作的，按照较低的资质等级确定联合体的资质等级。</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1.7.7 以联合体形式参加政府采购活动的，联合体各方不得再单独参加或者与其他供应商另外组成联合体参加本项目投标，否则相关投标将被认定为</w:t>
      </w:r>
      <w:r>
        <w:rPr>
          <w:rFonts w:hint="eastAsia" w:ascii="宋体" w:hAnsi="宋体" w:eastAsia="宋体" w:cs="仿宋"/>
          <w:b/>
          <w:bCs/>
          <w:color w:val="auto"/>
          <w:szCs w:val="21"/>
          <w:highlight w:val="none"/>
          <w:u w:val="single"/>
        </w:rPr>
        <w:t>投标无效</w:t>
      </w:r>
      <w:r>
        <w:rPr>
          <w:rFonts w:hint="eastAsia" w:ascii="宋体" w:hAnsi="宋体" w:eastAsia="宋体" w:cs="仿宋"/>
          <w:color w:val="auto"/>
          <w:szCs w:val="21"/>
          <w:highlight w:val="none"/>
        </w:rPr>
        <w:t>。</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1.7.8 对5.4联合体成员存在不良信用记录的，视同联合体存在不良信用记录。</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1.8 对可接受分公司投标的项目，分公司投标的，需提供具有法人资格的总公司的营业执照原件扫描件及授权书，授权书须加盖总公司公章。总公司可就本项目在一定范围或时间内出具授权书。已由总公司授权的，总公司取得的相关资质证书对分公司有效，法律法规或者行业另有规定的除外。</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1.9 为本项目提供过整体设计、规范编制或者项目管理、监理、检测等服务的供应商，不得再参加本项目上述服务以外的其他采购活动。否则其投标将被认定为</w:t>
      </w:r>
      <w:r>
        <w:rPr>
          <w:rFonts w:hint="eastAsia" w:ascii="宋体" w:hAnsi="宋体" w:eastAsia="宋体" w:cs="仿宋"/>
          <w:b/>
          <w:bCs/>
          <w:color w:val="auto"/>
          <w:szCs w:val="21"/>
          <w:highlight w:val="none"/>
          <w:u w:val="single"/>
        </w:rPr>
        <w:t>投标无效</w:t>
      </w:r>
      <w:r>
        <w:rPr>
          <w:rFonts w:hint="eastAsia" w:ascii="宋体" w:hAnsi="宋体" w:eastAsia="宋体" w:cs="仿宋"/>
          <w:color w:val="auto"/>
          <w:szCs w:val="21"/>
          <w:highlight w:val="none"/>
        </w:rPr>
        <w:t>。</w:t>
      </w:r>
    </w:p>
    <w:p>
      <w:pPr>
        <w:spacing w:line="480" w:lineRule="exact"/>
        <w:ind w:firstLine="420" w:firstLineChars="200"/>
        <w:jc w:val="left"/>
        <w:rPr>
          <w:rFonts w:ascii="宋体" w:hAnsi="宋体" w:eastAsia="宋体" w:cs="仿宋"/>
          <w:b/>
          <w:bCs/>
          <w:color w:val="auto"/>
          <w:szCs w:val="21"/>
          <w:highlight w:val="none"/>
          <w:u w:val="single"/>
        </w:rPr>
      </w:pPr>
      <w:r>
        <w:rPr>
          <w:rFonts w:hint="eastAsia" w:ascii="宋体" w:hAnsi="宋体" w:eastAsia="宋体" w:cs="仿宋"/>
          <w:color w:val="auto"/>
          <w:szCs w:val="21"/>
          <w:highlight w:val="none"/>
        </w:rPr>
        <w:t>1.10  供应商在投标过程中不得向采购人提供、给予任何有价值的物品，影响其正常决策行为。一经发现，其将被认定为</w:t>
      </w:r>
      <w:r>
        <w:rPr>
          <w:rFonts w:hint="eastAsia" w:ascii="宋体" w:hAnsi="宋体" w:eastAsia="宋体" w:cs="仿宋"/>
          <w:b/>
          <w:bCs/>
          <w:color w:val="auto"/>
          <w:szCs w:val="21"/>
          <w:highlight w:val="none"/>
          <w:u w:val="single"/>
        </w:rPr>
        <w:t>投标无效。</w:t>
      </w:r>
    </w:p>
    <w:p>
      <w:pPr>
        <w:spacing w:line="480" w:lineRule="exact"/>
        <w:ind w:firstLine="422" w:firstLineChars="200"/>
        <w:outlineLvl w:val="2"/>
        <w:rPr>
          <w:rFonts w:ascii="宋体" w:hAnsi="宋体" w:eastAsia="宋体" w:cs="仿宋"/>
          <w:bCs/>
          <w:color w:val="auto"/>
          <w:szCs w:val="21"/>
          <w:highlight w:val="none"/>
        </w:rPr>
      </w:pPr>
      <w:bookmarkStart w:id="13" w:name="_Toc31425"/>
      <w:bookmarkStart w:id="14" w:name="_Toc15560"/>
      <w:bookmarkStart w:id="15" w:name="_Toc3751654"/>
      <w:bookmarkStart w:id="16" w:name="_Toc527622568"/>
      <w:bookmarkStart w:id="17" w:name="_Toc20536"/>
      <w:bookmarkStart w:id="18" w:name="_Toc3984"/>
      <w:bookmarkStart w:id="19" w:name="_Toc28248"/>
      <w:bookmarkStart w:id="20" w:name="_Toc19024"/>
      <w:bookmarkStart w:id="21" w:name="_Toc9535"/>
      <w:bookmarkStart w:id="22" w:name="_Toc12139"/>
      <w:bookmarkStart w:id="23" w:name="_Toc515647759"/>
      <w:bookmarkStart w:id="24" w:name="_Toc5286"/>
      <w:r>
        <w:rPr>
          <w:rFonts w:hint="eastAsia" w:ascii="宋体" w:hAnsi="宋体" w:eastAsia="宋体" w:cs="仿宋"/>
          <w:b/>
          <w:bCs/>
          <w:color w:val="auto"/>
          <w:szCs w:val="21"/>
          <w:highlight w:val="none"/>
        </w:rPr>
        <w:t>2. 资金来源</w:t>
      </w:r>
      <w:bookmarkEnd w:id="13"/>
      <w:bookmarkEnd w:id="14"/>
      <w:bookmarkEnd w:id="15"/>
      <w:bookmarkEnd w:id="16"/>
      <w:bookmarkEnd w:id="17"/>
      <w:bookmarkEnd w:id="18"/>
      <w:bookmarkEnd w:id="19"/>
      <w:bookmarkEnd w:id="20"/>
      <w:bookmarkEnd w:id="21"/>
      <w:bookmarkEnd w:id="22"/>
      <w:bookmarkEnd w:id="23"/>
      <w:bookmarkEnd w:id="24"/>
    </w:p>
    <w:p>
      <w:pPr>
        <w:spacing w:line="480" w:lineRule="exact"/>
        <w:ind w:firstLine="420" w:firstLineChars="200"/>
        <w:jc w:val="left"/>
        <w:rPr>
          <w:rFonts w:ascii="宋体" w:hAnsi="宋体" w:eastAsia="宋体" w:cs="仿宋"/>
          <w:color w:val="auto"/>
          <w:szCs w:val="21"/>
          <w:highlight w:val="none"/>
        </w:rPr>
      </w:pPr>
      <w:bookmarkStart w:id="25" w:name="_Toc515647760"/>
      <w:bookmarkStart w:id="26" w:name="_Toc527622569"/>
      <w:bookmarkStart w:id="27" w:name="_Toc520356145"/>
      <w:bookmarkStart w:id="28" w:name="_Toc15936"/>
      <w:bookmarkStart w:id="29" w:name="_Toc20526"/>
      <w:r>
        <w:rPr>
          <w:rFonts w:hint="eastAsia" w:ascii="宋体" w:hAnsi="宋体" w:eastAsia="宋体" w:cs="仿宋"/>
          <w:color w:val="auto"/>
          <w:szCs w:val="21"/>
          <w:highlight w:val="none"/>
        </w:rPr>
        <w:t>2.1本项目的采购人已获得足以支付本次招标后所签订的合同项下的资金（包括财政性资金和本项目采购中无法与财政性资金分割的非财政性资金）。</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2.2 项目预算金额和分项或分包最高限价见投标邀请。</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2.3 供应商报价超过招标文件规定的预算金额或者分项、分包最高限价的，其投标将被认定为</w:t>
      </w:r>
      <w:r>
        <w:rPr>
          <w:rFonts w:hint="eastAsia" w:ascii="宋体" w:hAnsi="宋体" w:eastAsia="宋体" w:cs="仿宋"/>
          <w:b/>
          <w:bCs/>
          <w:color w:val="auto"/>
          <w:szCs w:val="21"/>
          <w:highlight w:val="none"/>
          <w:u w:val="single"/>
        </w:rPr>
        <w:t>投标无效</w:t>
      </w:r>
      <w:r>
        <w:rPr>
          <w:rFonts w:hint="eastAsia" w:ascii="宋体" w:hAnsi="宋体" w:eastAsia="宋体" w:cs="仿宋"/>
          <w:color w:val="auto"/>
          <w:szCs w:val="21"/>
          <w:highlight w:val="none"/>
        </w:rPr>
        <w:t>。</w:t>
      </w:r>
    </w:p>
    <w:p>
      <w:pPr>
        <w:spacing w:line="480" w:lineRule="exact"/>
        <w:ind w:firstLine="422" w:firstLineChars="200"/>
        <w:jc w:val="left"/>
        <w:outlineLvl w:val="2"/>
        <w:rPr>
          <w:rFonts w:ascii="宋体" w:hAnsi="宋体" w:eastAsia="宋体" w:cs="仿宋"/>
          <w:b/>
          <w:bCs/>
          <w:color w:val="auto"/>
          <w:szCs w:val="21"/>
          <w:highlight w:val="none"/>
        </w:rPr>
      </w:pPr>
      <w:bookmarkStart w:id="30" w:name="_Toc3751655"/>
      <w:bookmarkStart w:id="31" w:name="_Toc1490"/>
      <w:bookmarkStart w:id="32" w:name="_Toc12088"/>
      <w:bookmarkStart w:id="33" w:name="_Toc14695"/>
      <w:bookmarkStart w:id="34" w:name="_Toc26731"/>
      <w:bookmarkStart w:id="35" w:name="_Toc25374"/>
      <w:bookmarkStart w:id="36" w:name="_Toc12000"/>
      <w:bookmarkStart w:id="37" w:name="_Toc29332"/>
      <w:r>
        <w:rPr>
          <w:rFonts w:hint="eastAsia" w:ascii="宋体" w:hAnsi="宋体" w:eastAsia="宋体" w:cs="仿宋"/>
          <w:b/>
          <w:bCs/>
          <w:color w:val="auto"/>
          <w:szCs w:val="21"/>
          <w:highlight w:val="none"/>
        </w:rPr>
        <w:t>3. 投标费用</w:t>
      </w:r>
      <w:bookmarkEnd w:id="25"/>
      <w:bookmarkEnd w:id="26"/>
      <w:bookmarkEnd w:id="27"/>
      <w:bookmarkEnd w:id="28"/>
      <w:bookmarkEnd w:id="29"/>
      <w:bookmarkEnd w:id="30"/>
      <w:bookmarkEnd w:id="31"/>
      <w:bookmarkEnd w:id="32"/>
      <w:bookmarkEnd w:id="33"/>
      <w:bookmarkEnd w:id="34"/>
      <w:bookmarkEnd w:id="35"/>
      <w:bookmarkEnd w:id="36"/>
      <w:bookmarkEnd w:id="37"/>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不论投标的结果如何，供应商应承担所有与参加投标有关的费用。</w:t>
      </w:r>
    </w:p>
    <w:p>
      <w:pPr>
        <w:spacing w:line="480" w:lineRule="exact"/>
        <w:ind w:firstLine="422" w:firstLineChars="200"/>
        <w:jc w:val="left"/>
        <w:outlineLvl w:val="2"/>
        <w:rPr>
          <w:rFonts w:ascii="宋体" w:hAnsi="宋体" w:eastAsia="宋体" w:cs="仿宋"/>
          <w:b/>
          <w:bCs/>
          <w:color w:val="auto"/>
          <w:szCs w:val="21"/>
          <w:highlight w:val="none"/>
        </w:rPr>
      </w:pPr>
      <w:bookmarkStart w:id="38" w:name="_Toc527622570"/>
      <w:bookmarkStart w:id="39" w:name="_Toc13454"/>
      <w:bookmarkStart w:id="40" w:name="_Toc8162"/>
      <w:bookmarkStart w:id="41" w:name="_Toc6116"/>
      <w:bookmarkStart w:id="42" w:name="_Toc4463"/>
      <w:bookmarkStart w:id="43" w:name="_Toc9188"/>
      <w:bookmarkStart w:id="44" w:name="_Toc22301"/>
      <w:bookmarkStart w:id="45" w:name="_Toc15198"/>
      <w:bookmarkStart w:id="46" w:name="_Toc22673"/>
      <w:bookmarkStart w:id="47" w:name="_Toc32070"/>
      <w:bookmarkStart w:id="48" w:name="_Toc3751656"/>
      <w:bookmarkStart w:id="49" w:name="_Toc515647761"/>
      <w:r>
        <w:rPr>
          <w:rFonts w:hint="eastAsia" w:ascii="宋体" w:hAnsi="宋体" w:eastAsia="宋体" w:cs="仿宋"/>
          <w:b/>
          <w:bCs/>
          <w:color w:val="auto"/>
          <w:szCs w:val="21"/>
          <w:highlight w:val="none"/>
        </w:rPr>
        <w:t>4.适用法律</w:t>
      </w:r>
      <w:bookmarkEnd w:id="38"/>
      <w:bookmarkEnd w:id="39"/>
      <w:bookmarkEnd w:id="40"/>
      <w:bookmarkEnd w:id="41"/>
      <w:bookmarkEnd w:id="42"/>
      <w:bookmarkEnd w:id="43"/>
      <w:bookmarkEnd w:id="44"/>
      <w:bookmarkEnd w:id="45"/>
      <w:bookmarkEnd w:id="46"/>
      <w:bookmarkEnd w:id="47"/>
      <w:bookmarkEnd w:id="48"/>
      <w:bookmarkEnd w:id="49"/>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spacing w:line="480" w:lineRule="exact"/>
        <w:ind w:firstLine="420" w:firstLineChars="200"/>
        <w:rPr>
          <w:rFonts w:ascii="宋体" w:hAnsi="宋体" w:eastAsia="宋体" w:cs="仿宋"/>
          <w:color w:val="auto"/>
          <w:szCs w:val="21"/>
          <w:highlight w:val="none"/>
        </w:rPr>
      </w:pPr>
    </w:p>
    <w:p>
      <w:pPr>
        <w:spacing w:line="480" w:lineRule="exact"/>
        <w:ind w:firstLine="422" w:firstLineChars="200"/>
        <w:outlineLvl w:val="1"/>
        <w:rPr>
          <w:rFonts w:ascii="宋体" w:hAnsi="宋体" w:eastAsia="宋体" w:cs="仿宋"/>
          <w:color w:val="auto"/>
          <w:szCs w:val="21"/>
          <w:highlight w:val="none"/>
        </w:rPr>
      </w:pPr>
      <w:bookmarkStart w:id="50" w:name="_Toc21566"/>
      <w:bookmarkStart w:id="51" w:name="_Toc6256"/>
      <w:bookmarkStart w:id="52" w:name="_Toc14606"/>
      <w:bookmarkStart w:id="53" w:name="_Toc4365"/>
      <w:bookmarkStart w:id="54" w:name="_Toc527622571"/>
      <w:bookmarkStart w:id="55" w:name="_Toc2450"/>
      <w:bookmarkStart w:id="56" w:name="_Toc515647762"/>
      <w:bookmarkStart w:id="57" w:name="_Toc3751657"/>
      <w:bookmarkStart w:id="58" w:name="_Toc520356146"/>
      <w:bookmarkStart w:id="59" w:name="_Toc19666"/>
      <w:bookmarkStart w:id="60" w:name="_Toc10499"/>
      <w:bookmarkStart w:id="61" w:name="_Toc32188"/>
      <w:bookmarkStart w:id="62" w:name="_Toc216582806"/>
      <w:bookmarkStart w:id="63" w:name="_Toc5672"/>
      <w:r>
        <w:rPr>
          <w:rFonts w:hint="eastAsia" w:ascii="宋体" w:hAnsi="宋体" w:eastAsia="宋体" w:cs="仿宋"/>
          <w:b/>
          <w:bCs/>
          <w:color w:val="auto"/>
          <w:szCs w:val="21"/>
          <w:highlight w:val="none"/>
        </w:rPr>
        <w:t>二 、招标文件</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spacing w:line="480" w:lineRule="exact"/>
        <w:ind w:firstLine="422" w:firstLineChars="200"/>
        <w:jc w:val="left"/>
        <w:outlineLvl w:val="2"/>
        <w:rPr>
          <w:rFonts w:ascii="宋体" w:hAnsi="宋体" w:eastAsia="宋体" w:cs="仿宋"/>
          <w:b/>
          <w:bCs/>
          <w:color w:val="auto"/>
          <w:szCs w:val="21"/>
          <w:highlight w:val="none"/>
        </w:rPr>
      </w:pPr>
      <w:bookmarkStart w:id="64" w:name="_Toc17388"/>
      <w:bookmarkStart w:id="65" w:name="_Toc6766"/>
      <w:bookmarkStart w:id="66" w:name="_Toc19763"/>
      <w:bookmarkStart w:id="67" w:name="_Toc27213"/>
      <w:bookmarkStart w:id="68" w:name="_Toc4734"/>
      <w:bookmarkStart w:id="69" w:name="_Toc29732"/>
      <w:bookmarkStart w:id="70" w:name="_Toc16540"/>
      <w:bookmarkStart w:id="71" w:name="_Toc14399"/>
      <w:bookmarkStart w:id="72" w:name="_Toc520356147"/>
      <w:bookmarkStart w:id="73" w:name="_Toc515647763"/>
      <w:bookmarkStart w:id="74" w:name="_Toc14084"/>
      <w:bookmarkStart w:id="75" w:name="_Toc25743"/>
      <w:bookmarkStart w:id="76" w:name="_Toc3751658"/>
      <w:bookmarkStart w:id="77" w:name="_Toc527622572"/>
      <w:r>
        <w:rPr>
          <w:rFonts w:hint="eastAsia" w:ascii="宋体" w:hAnsi="宋体" w:eastAsia="宋体" w:cs="仿宋"/>
          <w:b/>
          <w:bCs/>
          <w:color w:val="auto"/>
          <w:szCs w:val="21"/>
          <w:highlight w:val="none"/>
        </w:rPr>
        <w:t>5.招标文件构成</w:t>
      </w:r>
      <w:bookmarkEnd w:id="64"/>
      <w:bookmarkEnd w:id="65"/>
      <w:bookmarkEnd w:id="66"/>
      <w:bookmarkEnd w:id="67"/>
      <w:bookmarkEnd w:id="68"/>
      <w:bookmarkEnd w:id="69"/>
      <w:bookmarkEnd w:id="70"/>
      <w:bookmarkEnd w:id="71"/>
    </w:p>
    <w:bookmarkEnd w:id="72"/>
    <w:bookmarkEnd w:id="73"/>
    <w:bookmarkEnd w:id="74"/>
    <w:bookmarkEnd w:id="75"/>
    <w:bookmarkEnd w:id="76"/>
    <w:bookmarkEnd w:id="77"/>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5.1  招标文件分六章，内容如下：</w:t>
      </w:r>
    </w:p>
    <w:p>
      <w:pPr>
        <w:spacing w:line="480" w:lineRule="exact"/>
        <w:ind w:firstLine="840" w:firstLineChars="400"/>
        <w:rPr>
          <w:rFonts w:ascii="宋体" w:hAnsi="宋体" w:eastAsia="宋体" w:cs="仿宋"/>
          <w:color w:val="auto"/>
          <w:szCs w:val="21"/>
          <w:highlight w:val="none"/>
        </w:rPr>
      </w:pPr>
      <w:r>
        <w:rPr>
          <w:rFonts w:hint="eastAsia" w:ascii="宋体" w:hAnsi="宋体" w:eastAsia="宋体" w:cs="仿宋"/>
          <w:color w:val="auto"/>
          <w:szCs w:val="21"/>
          <w:highlight w:val="none"/>
        </w:rPr>
        <w:t>第一章  投标邀请</w:t>
      </w:r>
    </w:p>
    <w:p>
      <w:pPr>
        <w:spacing w:line="480" w:lineRule="exact"/>
        <w:ind w:firstLine="840" w:firstLineChars="400"/>
        <w:rPr>
          <w:rFonts w:ascii="宋体" w:hAnsi="宋体" w:eastAsia="宋体" w:cs="仿宋"/>
          <w:color w:val="auto"/>
          <w:szCs w:val="21"/>
          <w:highlight w:val="none"/>
        </w:rPr>
      </w:pPr>
      <w:r>
        <w:rPr>
          <w:rFonts w:hint="eastAsia" w:ascii="宋体" w:hAnsi="宋体" w:eastAsia="宋体" w:cs="仿宋"/>
          <w:color w:val="auto"/>
          <w:szCs w:val="21"/>
          <w:highlight w:val="none"/>
        </w:rPr>
        <w:t>第二章  采购需求</w:t>
      </w:r>
    </w:p>
    <w:p>
      <w:pPr>
        <w:spacing w:line="480" w:lineRule="exact"/>
        <w:ind w:firstLine="840" w:firstLineChars="400"/>
        <w:rPr>
          <w:rFonts w:ascii="宋体" w:hAnsi="宋体" w:eastAsia="宋体" w:cs="仿宋"/>
          <w:color w:val="auto"/>
          <w:szCs w:val="21"/>
          <w:highlight w:val="none"/>
        </w:rPr>
      </w:pPr>
      <w:r>
        <w:rPr>
          <w:rFonts w:hint="eastAsia" w:ascii="宋体" w:hAnsi="宋体" w:eastAsia="宋体" w:cs="仿宋"/>
          <w:color w:val="auto"/>
          <w:szCs w:val="21"/>
          <w:highlight w:val="none"/>
        </w:rPr>
        <w:t>第三章  投标人须知</w:t>
      </w:r>
    </w:p>
    <w:p>
      <w:pPr>
        <w:spacing w:line="480" w:lineRule="exact"/>
        <w:ind w:firstLine="840" w:firstLineChars="400"/>
        <w:rPr>
          <w:rFonts w:ascii="宋体" w:hAnsi="宋体" w:eastAsia="宋体" w:cs="仿宋"/>
          <w:color w:val="auto"/>
          <w:szCs w:val="21"/>
          <w:highlight w:val="none"/>
        </w:rPr>
      </w:pPr>
      <w:r>
        <w:rPr>
          <w:rFonts w:hint="eastAsia" w:ascii="宋体" w:hAnsi="宋体" w:eastAsia="宋体" w:cs="仿宋"/>
          <w:color w:val="auto"/>
          <w:szCs w:val="21"/>
          <w:highlight w:val="none"/>
        </w:rPr>
        <w:t>第四章  评标</w:t>
      </w:r>
    </w:p>
    <w:p>
      <w:pPr>
        <w:spacing w:line="480" w:lineRule="exact"/>
        <w:ind w:firstLine="840" w:firstLineChars="400"/>
        <w:rPr>
          <w:rFonts w:ascii="宋体" w:hAnsi="宋体" w:eastAsia="宋体" w:cs="仿宋"/>
          <w:color w:val="auto"/>
          <w:szCs w:val="21"/>
          <w:highlight w:val="none"/>
        </w:rPr>
      </w:pPr>
      <w:r>
        <w:rPr>
          <w:rFonts w:hint="eastAsia" w:ascii="宋体" w:hAnsi="宋体" w:eastAsia="宋体" w:cs="仿宋"/>
          <w:color w:val="auto"/>
          <w:szCs w:val="21"/>
          <w:highlight w:val="none"/>
        </w:rPr>
        <w:t>第五章  合同文本</w:t>
      </w:r>
    </w:p>
    <w:p>
      <w:pPr>
        <w:spacing w:line="480" w:lineRule="exact"/>
        <w:ind w:firstLine="840" w:firstLineChars="400"/>
        <w:rPr>
          <w:rFonts w:ascii="宋体" w:hAnsi="宋体" w:eastAsia="宋体" w:cs="仿宋"/>
          <w:color w:val="auto"/>
          <w:szCs w:val="21"/>
          <w:highlight w:val="none"/>
        </w:rPr>
      </w:pPr>
      <w:r>
        <w:rPr>
          <w:rFonts w:hint="eastAsia" w:ascii="宋体" w:hAnsi="宋体" w:eastAsia="宋体" w:cs="仿宋"/>
          <w:color w:val="auto"/>
          <w:szCs w:val="21"/>
          <w:highlight w:val="none"/>
        </w:rPr>
        <w:t>第六章  投标文件格式与要求</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5.2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宋体" w:hAnsi="宋体" w:eastAsia="宋体" w:cs="仿宋"/>
          <w:b/>
          <w:bCs/>
          <w:color w:val="auto"/>
          <w:szCs w:val="21"/>
          <w:highlight w:val="none"/>
          <w:u w:val="single"/>
        </w:rPr>
        <w:t>投标无效</w:t>
      </w:r>
      <w:r>
        <w:rPr>
          <w:rFonts w:hint="eastAsia" w:ascii="宋体" w:hAnsi="宋体" w:eastAsia="宋体" w:cs="仿宋"/>
          <w:color w:val="auto"/>
          <w:szCs w:val="21"/>
          <w:highlight w:val="none"/>
        </w:rPr>
        <w:t>。</w:t>
      </w:r>
    </w:p>
    <w:p>
      <w:pPr>
        <w:spacing w:line="480" w:lineRule="exact"/>
        <w:ind w:firstLine="422" w:firstLineChars="200"/>
        <w:outlineLvl w:val="2"/>
        <w:rPr>
          <w:rFonts w:ascii="宋体" w:hAnsi="宋体" w:eastAsia="宋体" w:cs="仿宋"/>
          <w:bCs/>
          <w:color w:val="auto"/>
          <w:szCs w:val="21"/>
          <w:highlight w:val="none"/>
        </w:rPr>
      </w:pPr>
      <w:bookmarkStart w:id="78" w:name="_Toc520356148"/>
      <w:bookmarkStart w:id="79" w:name="_Toc515904805"/>
      <w:bookmarkStart w:id="80" w:name="_Toc16630"/>
      <w:bookmarkStart w:id="81" w:name="_Toc30625"/>
      <w:bookmarkStart w:id="82" w:name="_Toc11331"/>
      <w:bookmarkStart w:id="83" w:name="_Toc527622573"/>
      <w:bookmarkStart w:id="84" w:name="_Toc26073"/>
      <w:bookmarkStart w:id="85" w:name="_Toc7676"/>
      <w:bookmarkStart w:id="86" w:name="_Toc9232"/>
      <w:bookmarkStart w:id="87" w:name="_Toc7008"/>
      <w:bookmarkStart w:id="88" w:name="_Toc3751659"/>
      <w:bookmarkStart w:id="89" w:name="_Toc26044"/>
      <w:bookmarkStart w:id="90" w:name="_Toc29188"/>
      <w:r>
        <w:rPr>
          <w:rFonts w:hint="eastAsia" w:ascii="宋体" w:hAnsi="宋体" w:eastAsia="宋体" w:cs="仿宋"/>
          <w:b/>
          <w:bCs/>
          <w:color w:val="auto"/>
          <w:szCs w:val="21"/>
          <w:highlight w:val="none"/>
        </w:rPr>
        <w:t>6. 招标文件的澄清</w:t>
      </w:r>
      <w:bookmarkEnd w:id="78"/>
      <w:bookmarkEnd w:id="79"/>
      <w:r>
        <w:rPr>
          <w:rFonts w:hint="eastAsia" w:ascii="宋体" w:hAnsi="宋体" w:eastAsia="宋体" w:cs="仿宋"/>
          <w:b/>
          <w:bCs/>
          <w:color w:val="auto"/>
          <w:szCs w:val="21"/>
          <w:highlight w:val="none"/>
        </w:rPr>
        <w:t>与修改</w:t>
      </w:r>
      <w:bookmarkEnd w:id="80"/>
      <w:bookmarkEnd w:id="81"/>
      <w:bookmarkEnd w:id="82"/>
      <w:bookmarkEnd w:id="83"/>
      <w:bookmarkEnd w:id="84"/>
      <w:bookmarkEnd w:id="85"/>
      <w:bookmarkEnd w:id="86"/>
      <w:bookmarkEnd w:id="87"/>
      <w:bookmarkEnd w:id="88"/>
      <w:bookmarkEnd w:id="89"/>
      <w:bookmarkEnd w:id="90"/>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6.1 为了保证对招标文件的澄清和修改满足法律的时限要求，任何要求对招标文件进行澄清的供应商，均应在投标截止期十五日前，以书面形式将澄清要求通知采购人或招投标所。</w:t>
      </w:r>
    </w:p>
    <w:p>
      <w:pPr>
        <w:spacing w:line="480" w:lineRule="exact"/>
        <w:ind w:firstLine="420" w:firstLineChars="200"/>
        <w:rPr>
          <w:rFonts w:ascii="宋体" w:hAnsi="宋体" w:eastAsia="宋体" w:cs="仿宋"/>
          <w:color w:val="auto"/>
          <w:szCs w:val="21"/>
          <w:highlight w:val="none"/>
        </w:rPr>
      </w:pPr>
      <w:bookmarkStart w:id="91" w:name="_Toc520356149"/>
      <w:bookmarkStart w:id="92" w:name="_Toc14569"/>
      <w:bookmarkStart w:id="93" w:name="_Toc25635"/>
      <w:bookmarkStart w:id="94" w:name="_Ref467378678"/>
      <w:bookmarkStart w:id="95" w:name="_Toc515904806"/>
      <w:r>
        <w:rPr>
          <w:rFonts w:hint="eastAsia" w:ascii="宋体" w:hAnsi="宋体" w:eastAsia="宋体" w:cs="仿宋"/>
          <w:color w:val="auto"/>
          <w:szCs w:val="21"/>
          <w:highlight w:val="none"/>
        </w:rPr>
        <w:t>6.2 采购人或招投标所对已发出的招标文件进行必要的澄清或者修改的，澄清或者修改的内容可能影响投标文件编制的，招投标所将在投标截止时间至少15日前，以书面形式通知所有获取招标文件的潜在投标人；不足15日的，招投标所将顺延提交投标文件的截止时间。同时在财政部门指定的政府采购信息发布媒体上发布变更公告。</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6.3 招标期间，供应商有义务上网查看，澄清公告一经上网发布，即视为送达。因供应商未及时上网查看而造成的所有后果，由供应商自行承担。</w:t>
      </w:r>
    </w:p>
    <w:bookmarkEnd w:id="91"/>
    <w:bookmarkEnd w:id="92"/>
    <w:bookmarkEnd w:id="93"/>
    <w:bookmarkEnd w:id="94"/>
    <w:bookmarkEnd w:id="95"/>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6.4 招标文件的澄清或者修改内容作为招标文件的组成部分，并对供应商具有约束力。当招标文件、招标文件的澄清或修改在同一内容的表述上不一致时，以最后发出的文件内容为准。</w:t>
      </w:r>
    </w:p>
    <w:p>
      <w:pPr>
        <w:spacing w:line="480" w:lineRule="exact"/>
        <w:ind w:firstLine="420" w:firstLineChars="200"/>
        <w:rPr>
          <w:rFonts w:ascii="宋体" w:hAnsi="宋体" w:eastAsia="宋体" w:cs="仿宋"/>
          <w:color w:val="auto"/>
          <w:szCs w:val="21"/>
          <w:highlight w:val="none"/>
        </w:rPr>
      </w:pPr>
    </w:p>
    <w:p>
      <w:pPr>
        <w:spacing w:line="480" w:lineRule="exact"/>
        <w:ind w:firstLine="422" w:firstLineChars="200"/>
        <w:outlineLvl w:val="1"/>
        <w:rPr>
          <w:rFonts w:ascii="宋体" w:hAnsi="宋体" w:eastAsia="宋体" w:cs="仿宋"/>
          <w:color w:val="auto"/>
          <w:szCs w:val="21"/>
          <w:highlight w:val="none"/>
        </w:rPr>
      </w:pPr>
      <w:bookmarkStart w:id="96" w:name="_Toc516367020"/>
      <w:bookmarkStart w:id="97" w:name="_Toc515647766"/>
      <w:bookmarkStart w:id="98" w:name="_Toc28158"/>
      <w:bookmarkStart w:id="99" w:name="_Toc3751660"/>
      <w:bookmarkStart w:id="100" w:name="_Toc30808"/>
      <w:bookmarkStart w:id="101" w:name="_Toc520356150"/>
      <w:bookmarkStart w:id="102" w:name="_Toc636"/>
      <w:bookmarkStart w:id="103" w:name="_Toc1386"/>
      <w:bookmarkStart w:id="104" w:name="_Toc527622574"/>
      <w:bookmarkStart w:id="105" w:name="_Toc779"/>
      <w:bookmarkStart w:id="106" w:name="_Toc216582807"/>
      <w:bookmarkStart w:id="107" w:name="_Toc23025"/>
      <w:bookmarkStart w:id="108" w:name="_Toc7636"/>
      <w:bookmarkStart w:id="109" w:name="_Toc6936"/>
      <w:bookmarkStart w:id="110" w:name="_Toc19492"/>
      <w:r>
        <w:rPr>
          <w:rFonts w:hint="eastAsia" w:ascii="宋体" w:hAnsi="宋体" w:eastAsia="宋体" w:cs="仿宋"/>
          <w:b/>
          <w:bCs/>
          <w:color w:val="auto"/>
          <w:szCs w:val="21"/>
          <w:highlight w:val="none"/>
        </w:rPr>
        <w:t>三 、投标文件</w:t>
      </w:r>
      <w:bookmarkEnd w:id="96"/>
      <w:r>
        <w:rPr>
          <w:rFonts w:hint="eastAsia" w:ascii="宋体" w:hAnsi="宋体" w:eastAsia="宋体" w:cs="仿宋"/>
          <w:b/>
          <w:bCs/>
          <w:color w:val="auto"/>
          <w:szCs w:val="21"/>
          <w:highlight w:val="none"/>
        </w:rPr>
        <w:t>的编制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480" w:lineRule="exact"/>
        <w:ind w:firstLine="422" w:firstLineChars="200"/>
        <w:outlineLvl w:val="2"/>
        <w:rPr>
          <w:rFonts w:ascii="宋体" w:hAnsi="宋体" w:eastAsia="宋体" w:cs="仿宋"/>
          <w:bCs/>
          <w:color w:val="auto"/>
          <w:szCs w:val="21"/>
          <w:highlight w:val="none"/>
        </w:rPr>
      </w:pPr>
      <w:bookmarkStart w:id="111" w:name="_Toc527363306"/>
      <w:bookmarkStart w:id="112" w:name="_Toc518923070"/>
      <w:bookmarkStart w:id="113" w:name="_Toc527622575"/>
      <w:bookmarkStart w:id="114" w:name="_Toc26254"/>
      <w:bookmarkStart w:id="115" w:name="_Toc3943"/>
      <w:bookmarkStart w:id="116" w:name="_Toc6782"/>
      <w:bookmarkStart w:id="117" w:name="_Toc3133"/>
      <w:bookmarkStart w:id="118" w:name="_Toc3742"/>
      <w:bookmarkStart w:id="119" w:name="_Toc3751661"/>
      <w:bookmarkStart w:id="120" w:name="_Toc11717"/>
      <w:bookmarkStart w:id="121" w:name="_Toc27088"/>
      <w:bookmarkStart w:id="122" w:name="_Toc515647768"/>
      <w:bookmarkStart w:id="123" w:name="_Toc10364"/>
      <w:bookmarkStart w:id="124" w:name="_Toc516367022"/>
      <w:bookmarkStart w:id="125" w:name="_Ref467306676"/>
      <w:bookmarkStart w:id="126" w:name="_Toc28307"/>
      <w:bookmarkStart w:id="127" w:name="_Toc520356152"/>
      <w:bookmarkStart w:id="128" w:name="_Ref467306195"/>
      <w:r>
        <w:rPr>
          <w:rFonts w:hint="eastAsia" w:ascii="宋体" w:hAnsi="宋体" w:eastAsia="宋体" w:cs="仿宋"/>
          <w:b/>
          <w:bCs/>
          <w:color w:val="auto"/>
          <w:szCs w:val="21"/>
          <w:highlight w:val="none"/>
        </w:rPr>
        <w:t>7. 投标范围及投标文件中标准和计量单位的使用</w:t>
      </w:r>
      <w:bookmarkEnd w:id="111"/>
      <w:bookmarkEnd w:id="112"/>
      <w:bookmarkEnd w:id="113"/>
      <w:bookmarkEnd w:id="114"/>
      <w:bookmarkEnd w:id="115"/>
      <w:bookmarkEnd w:id="116"/>
      <w:bookmarkEnd w:id="117"/>
      <w:bookmarkEnd w:id="118"/>
      <w:bookmarkEnd w:id="119"/>
      <w:bookmarkEnd w:id="120"/>
      <w:bookmarkEnd w:id="121"/>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7.1 项目有分包的，供应商可对招标文件其中一个或几个分包进行投标，除非在</w:t>
      </w:r>
      <w:r>
        <w:rPr>
          <w:rFonts w:hint="eastAsia" w:ascii="宋体" w:hAnsi="宋体" w:eastAsia="宋体" w:cs="仿宋"/>
          <w:color w:val="auto"/>
          <w:szCs w:val="21"/>
          <w:highlight w:val="none"/>
          <w:u w:val="single"/>
        </w:rPr>
        <w:t>供应商须知资料表</w:t>
      </w:r>
      <w:r>
        <w:rPr>
          <w:rFonts w:hint="eastAsia" w:ascii="宋体" w:hAnsi="宋体" w:eastAsia="宋体" w:cs="仿宋"/>
          <w:color w:val="auto"/>
          <w:szCs w:val="21"/>
          <w:highlight w:val="none"/>
        </w:rPr>
        <w:t>中另有规定。</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7.2 供应商应当对所投分包招标文件中“用户需求”所列的所有货物内容进行投标，如仅响应分包中的部分内容，其投标将被认定为</w:t>
      </w:r>
      <w:r>
        <w:rPr>
          <w:rFonts w:hint="eastAsia" w:ascii="宋体" w:hAnsi="宋体" w:eastAsia="宋体" w:cs="仿宋"/>
          <w:b/>
          <w:bCs/>
          <w:color w:val="auto"/>
          <w:szCs w:val="21"/>
          <w:highlight w:val="none"/>
          <w:u w:val="single"/>
        </w:rPr>
        <w:t>投标无效</w:t>
      </w:r>
      <w:r>
        <w:rPr>
          <w:rFonts w:hint="eastAsia" w:ascii="宋体" w:hAnsi="宋体" w:eastAsia="宋体" w:cs="仿宋"/>
          <w:color w:val="auto"/>
          <w:szCs w:val="21"/>
          <w:highlight w:val="none"/>
        </w:rPr>
        <w:t>。</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7.3 无论招标文件“用户需求”中是否要求，供应商所投货物均应符合国家强制性标准。</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7.4 除招标文件中有特殊要求外，投标文件中所使用的计量单位，应采用中华人民共和国法定计量单位。</w:t>
      </w:r>
    </w:p>
    <w:p>
      <w:pPr>
        <w:spacing w:line="480" w:lineRule="exact"/>
        <w:ind w:firstLine="422" w:firstLineChars="200"/>
        <w:outlineLvl w:val="2"/>
        <w:rPr>
          <w:rFonts w:ascii="宋体" w:hAnsi="宋体" w:eastAsia="宋体" w:cs="仿宋"/>
          <w:bCs/>
          <w:color w:val="auto"/>
          <w:szCs w:val="21"/>
          <w:highlight w:val="none"/>
        </w:rPr>
      </w:pPr>
      <w:bookmarkStart w:id="129" w:name="_Toc518923071"/>
      <w:bookmarkStart w:id="130" w:name="_Toc527363307"/>
      <w:bookmarkStart w:id="131" w:name="_Toc645"/>
      <w:bookmarkStart w:id="132" w:name="_Toc30844"/>
      <w:bookmarkStart w:id="133" w:name="_Toc15753"/>
      <w:bookmarkStart w:id="134" w:name="_Toc19766"/>
      <w:bookmarkStart w:id="135" w:name="_Toc24169"/>
      <w:bookmarkStart w:id="136" w:name="_Toc7828"/>
      <w:bookmarkStart w:id="137" w:name="_Toc6719"/>
      <w:bookmarkStart w:id="138" w:name="_Toc527622576"/>
      <w:bookmarkStart w:id="139" w:name="_Toc3751662"/>
      <w:r>
        <w:rPr>
          <w:rFonts w:hint="eastAsia" w:ascii="宋体" w:hAnsi="宋体" w:eastAsia="宋体" w:cs="仿宋"/>
          <w:b/>
          <w:bCs/>
          <w:color w:val="auto"/>
          <w:szCs w:val="21"/>
          <w:highlight w:val="none"/>
        </w:rPr>
        <w:t>8. 投标文件</w:t>
      </w:r>
      <w:bookmarkEnd w:id="129"/>
      <w:r>
        <w:rPr>
          <w:rFonts w:hint="eastAsia" w:ascii="宋体" w:hAnsi="宋体" w:eastAsia="宋体" w:cs="仿宋"/>
          <w:b/>
          <w:bCs/>
          <w:color w:val="auto"/>
          <w:szCs w:val="21"/>
          <w:highlight w:val="none"/>
        </w:rPr>
        <w:t>的组成</w:t>
      </w:r>
      <w:bookmarkEnd w:id="130"/>
      <w:bookmarkEnd w:id="131"/>
      <w:bookmarkEnd w:id="132"/>
      <w:bookmarkEnd w:id="133"/>
      <w:bookmarkEnd w:id="134"/>
      <w:bookmarkEnd w:id="135"/>
      <w:bookmarkEnd w:id="136"/>
      <w:bookmarkEnd w:id="137"/>
      <w:bookmarkEnd w:id="138"/>
      <w:bookmarkEnd w:id="139"/>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供应商提交的投标文件应包括价格文件、商务文件、技术文件和唱标信封。</w:t>
      </w:r>
    </w:p>
    <w:bookmarkEnd w:id="122"/>
    <w:bookmarkEnd w:id="123"/>
    <w:bookmarkEnd w:id="124"/>
    <w:bookmarkEnd w:id="125"/>
    <w:bookmarkEnd w:id="126"/>
    <w:bookmarkEnd w:id="127"/>
    <w:bookmarkEnd w:id="128"/>
    <w:p>
      <w:pPr>
        <w:spacing w:line="480" w:lineRule="exact"/>
        <w:ind w:firstLine="420" w:firstLineChars="200"/>
        <w:outlineLvl w:val="2"/>
        <w:rPr>
          <w:rFonts w:ascii="宋体" w:hAnsi="宋体" w:eastAsia="宋体" w:cs="仿宋"/>
          <w:bCs/>
          <w:color w:val="auto"/>
          <w:szCs w:val="21"/>
          <w:highlight w:val="none"/>
        </w:rPr>
      </w:pPr>
      <w:bookmarkStart w:id="140" w:name="_Toc527363308"/>
      <w:bookmarkStart w:id="141" w:name="_Toc13508"/>
      <w:bookmarkStart w:id="142" w:name="_Toc11054"/>
      <w:bookmarkStart w:id="143" w:name="_Toc3751663"/>
      <w:bookmarkStart w:id="144" w:name="_Toc23851"/>
      <w:bookmarkStart w:id="145" w:name="_Toc21535"/>
      <w:bookmarkStart w:id="146" w:name="_Toc25236"/>
      <w:bookmarkStart w:id="147" w:name="_Toc527622577"/>
      <w:bookmarkStart w:id="148" w:name="_Toc16128"/>
      <w:bookmarkStart w:id="149" w:name="_Toc25966"/>
      <w:bookmarkStart w:id="150" w:name="_Toc520356153"/>
      <w:bookmarkStart w:id="151" w:name="_Toc10379"/>
      <w:bookmarkStart w:id="152" w:name="_Toc515647769"/>
      <w:bookmarkStart w:id="153" w:name="_Toc516367023"/>
      <w:bookmarkStart w:id="154" w:name="_Toc4601"/>
      <w:r>
        <w:rPr>
          <w:rFonts w:hint="eastAsia" w:ascii="宋体" w:hAnsi="宋体" w:eastAsia="宋体" w:cs="仿宋"/>
          <w:color w:val="auto"/>
          <w:szCs w:val="21"/>
          <w:highlight w:val="none"/>
        </w:rPr>
        <w:t>9</w:t>
      </w:r>
      <w:r>
        <w:rPr>
          <w:rFonts w:hint="eastAsia" w:ascii="宋体" w:hAnsi="宋体" w:eastAsia="宋体" w:cs="仿宋"/>
          <w:b/>
          <w:bCs/>
          <w:color w:val="auto"/>
          <w:szCs w:val="21"/>
          <w:highlight w:val="none"/>
        </w:rPr>
        <w:t>. 投标文件的编制、盖章、签署</w:t>
      </w:r>
      <w:bookmarkEnd w:id="140"/>
      <w:r>
        <w:rPr>
          <w:rFonts w:hint="eastAsia" w:ascii="宋体" w:hAnsi="宋体" w:eastAsia="宋体" w:cs="仿宋"/>
          <w:b/>
          <w:bCs/>
          <w:color w:val="auto"/>
          <w:szCs w:val="21"/>
          <w:highlight w:val="none"/>
        </w:rPr>
        <w:t>、密封和标记</w:t>
      </w:r>
      <w:bookmarkEnd w:id="141"/>
      <w:bookmarkEnd w:id="142"/>
      <w:bookmarkEnd w:id="143"/>
      <w:bookmarkEnd w:id="144"/>
      <w:bookmarkEnd w:id="145"/>
      <w:bookmarkEnd w:id="146"/>
      <w:bookmarkEnd w:id="147"/>
      <w:bookmarkEnd w:id="148"/>
      <w:bookmarkEnd w:id="149"/>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9.1 供应商应按</w:t>
      </w:r>
      <w:r>
        <w:rPr>
          <w:rFonts w:hint="eastAsia" w:ascii="宋体" w:hAnsi="宋体" w:eastAsia="宋体" w:cs="仿宋"/>
          <w:color w:val="auto"/>
          <w:szCs w:val="21"/>
          <w:highlight w:val="none"/>
          <w:u w:val="single"/>
        </w:rPr>
        <w:t>供应商须知资料表</w:t>
      </w:r>
      <w:r>
        <w:rPr>
          <w:rFonts w:hint="eastAsia" w:ascii="宋体" w:hAnsi="宋体" w:eastAsia="宋体" w:cs="仿宋"/>
          <w:color w:val="auto"/>
          <w:szCs w:val="21"/>
          <w:highlight w:val="none"/>
        </w:rPr>
        <w:t xml:space="preserve">中的规定，准备和递交投标文件。  </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9.2 投标文件的正本需打印。招标文件第7章“投标文件格式”中要求盖公章、签名或盖私章的，供应商应按要求加盖公章、签字或加盖私章。投标文件的副本可采用正本的投标文件复印件，</w:t>
      </w:r>
      <w:r>
        <w:rPr>
          <w:rFonts w:hint="eastAsia" w:ascii="宋体" w:hAnsi="宋体" w:eastAsia="宋体" w:cs="仿宋"/>
          <w:b/>
          <w:bCs/>
          <w:color w:val="auto"/>
          <w:szCs w:val="21"/>
          <w:highlight w:val="none"/>
        </w:rPr>
        <w:t>每套投标文件应当标明“正本”、“副本”的字样。</w:t>
      </w:r>
      <w:r>
        <w:rPr>
          <w:rFonts w:hint="eastAsia" w:ascii="宋体" w:hAnsi="宋体" w:eastAsia="宋体" w:cs="仿宋"/>
          <w:color w:val="auto"/>
          <w:szCs w:val="21"/>
          <w:highlight w:val="none"/>
        </w:rPr>
        <w:t>副本与正本具有同等法律效力。若正本与副本不符，以正本为准。法定代表人若委托其他人员作为投标负责人的，委托代理人须持有书面的“法定代表人授权委托书”，并将其附在投标文件中。如对投标文件进行了修改，则应由供应商法定代表人或其委托代理人在每一修改处签字（或加盖私章）。</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9.3 如供应商对招标文件多个包组进行投标的，其投标文件可按每个包组的要求编制和提交；或者将所投包组的内容在同一套投标文件编制和提交，并在投标文件中明确各包组的投标内容。</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9.4 供应商必须对投标文件所提供的全部资料的真实性承担法律责任，并接受招投标所、采购人及政府采购监督管理部门等对其中任何资料进行核实的要求。</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9.5 供应商应将投标文件的正本、副本、唱标信封分开单独密封包装。在密封袋上标明“正本”、“副本”、“唱标信封”的字样，并在密封袋的封口处加盖供应商公章或法定代表人（或委托代理人）签字（或盖私章）。</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9.6 在投标文件密封袋上均应标明以下内容：</w:t>
      </w:r>
    </w:p>
    <w:p>
      <w:pPr>
        <w:spacing w:line="480" w:lineRule="exact"/>
        <w:ind w:firstLine="1890" w:firstLineChars="900"/>
        <w:rPr>
          <w:rFonts w:ascii="宋体" w:hAnsi="宋体" w:eastAsia="宋体" w:cs="仿宋"/>
          <w:color w:val="auto"/>
          <w:szCs w:val="21"/>
          <w:highlight w:val="none"/>
        </w:rPr>
      </w:pPr>
      <w:r>
        <w:rPr>
          <w:rFonts w:hint="eastAsia" w:ascii="宋体" w:hAnsi="宋体" w:eastAsia="宋体" w:cs="仿宋"/>
          <w:color w:val="auto"/>
          <w:szCs w:val="21"/>
          <w:highlight w:val="none"/>
        </w:rPr>
        <w:t>(1)  采购编号：               ；</w:t>
      </w:r>
    </w:p>
    <w:p>
      <w:pPr>
        <w:spacing w:line="480" w:lineRule="exact"/>
        <w:ind w:firstLine="1890" w:firstLineChars="900"/>
        <w:rPr>
          <w:rFonts w:ascii="宋体" w:hAnsi="宋体" w:eastAsia="宋体" w:cs="仿宋"/>
          <w:color w:val="auto"/>
          <w:szCs w:val="21"/>
          <w:highlight w:val="none"/>
        </w:rPr>
      </w:pPr>
      <w:r>
        <w:rPr>
          <w:rFonts w:hint="eastAsia" w:ascii="宋体" w:hAnsi="宋体" w:eastAsia="宋体" w:cs="仿宋"/>
          <w:color w:val="auto"/>
          <w:szCs w:val="21"/>
          <w:highlight w:val="none"/>
        </w:rPr>
        <w:t>(2)  项目名称：               ；</w:t>
      </w:r>
    </w:p>
    <w:p>
      <w:pPr>
        <w:spacing w:line="480" w:lineRule="exact"/>
        <w:ind w:firstLine="1890" w:firstLineChars="900"/>
        <w:rPr>
          <w:rFonts w:ascii="宋体" w:hAnsi="宋体" w:eastAsia="宋体" w:cs="仿宋"/>
          <w:color w:val="auto"/>
          <w:szCs w:val="21"/>
          <w:highlight w:val="none"/>
        </w:rPr>
      </w:pPr>
      <w:r>
        <w:rPr>
          <w:rFonts w:hint="eastAsia" w:ascii="宋体" w:hAnsi="宋体" w:eastAsia="宋体" w:cs="仿宋"/>
          <w:color w:val="auto"/>
          <w:szCs w:val="21"/>
          <w:highlight w:val="none"/>
        </w:rPr>
        <w:t>(3)  供应商名称:              ；</w:t>
      </w:r>
    </w:p>
    <w:p>
      <w:pPr>
        <w:spacing w:line="480" w:lineRule="exact"/>
        <w:ind w:firstLine="420" w:firstLineChars="200"/>
        <w:jc w:val="left"/>
        <w:rPr>
          <w:rFonts w:ascii="宋体" w:hAnsi="宋体" w:eastAsia="宋体" w:cs="仿宋"/>
          <w:color w:val="auto"/>
          <w:szCs w:val="21"/>
          <w:highlight w:val="none"/>
        </w:rPr>
      </w:pPr>
      <w:r>
        <w:rPr>
          <w:rFonts w:hint="eastAsia" w:ascii="宋体" w:hAnsi="宋体" w:eastAsia="宋体" w:cs="仿宋"/>
          <w:color w:val="auto"/>
          <w:szCs w:val="21"/>
          <w:highlight w:val="none"/>
        </w:rPr>
        <w:t>9.7 投标文件因字迹潦草、表达不清或装订不当所引起的后果由供应商负责。</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9.8 如果供应商未按上述第9.5款、第9.6款要求密封的，将被拒绝接收。</w:t>
      </w:r>
    </w:p>
    <w:bookmarkEnd w:id="150"/>
    <w:bookmarkEnd w:id="151"/>
    <w:bookmarkEnd w:id="152"/>
    <w:bookmarkEnd w:id="153"/>
    <w:bookmarkEnd w:id="154"/>
    <w:p>
      <w:pPr>
        <w:spacing w:line="480" w:lineRule="exact"/>
        <w:ind w:firstLine="422" w:firstLineChars="200"/>
        <w:outlineLvl w:val="2"/>
        <w:rPr>
          <w:rFonts w:ascii="宋体" w:hAnsi="宋体" w:eastAsia="宋体" w:cs="仿宋"/>
          <w:bCs/>
          <w:color w:val="auto"/>
          <w:szCs w:val="21"/>
          <w:highlight w:val="none"/>
        </w:rPr>
      </w:pPr>
      <w:bookmarkStart w:id="155" w:name="_Toc25781"/>
      <w:bookmarkStart w:id="156" w:name="_Toc3751664"/>
      <w:bookmarkStart w:id="157" w:name="_Toc17069"/>
      <w:bookmarkStart w:id="158" w:name="_Toc21253"/>
      <w:bookmarkStart w:id="159" w:name="_Toc28832"/>
      <w:bookmarkStart w:id="160" w:name="_Toc520356155"/>
      <w:bookmarkStart w:id="161" w:name="_Toc527363309"/>
      <w:bookmarkStart w:id="162" w:name="_Toc30567"/>
      <w:bookmarkStart w:id="163" w:name="_Toc518923073"/>
      <w:bookmarkStart w:id="164" w:name="_Toc23085"/>
      <w:bookmarkStart w:id="165" w:name="_Toc527622578"/>
      <w:bookmarkStart w:id="166" w:name="_Toc22724"/>
      <w:r>
        <w:rPr>
          <w:rFonts w:hint="eastAsia" w:ascii="宋体" w:hAnsi="宋体" w:eastAsia="宋体" w:cs="仿宋"/>
          <w:b/>
          <w:bCs/>
          <w:color w:val="auto"/>
          <w:szCs w:val="21"/>
          <w:highlight w:val="none"/>
        </w:rPr>
        <w:t>10. 投标报价</w:t>
      </w:r>
      <w:bookmarkEnd w:id="155"/>
      <w:bookmarkEnd w:id="156"/>
      <w:bookmarkEnd w:id="157"/>
      <w:bookmarkEnd w:id="158"/>
      <w:bookmarkEnd w:id="159"/>
      <w:bookmarkEnd w:id="160"/>
      <w:bookmarkEnd w:id="161"/>
      <w:bookmarkEnd w:id="162"/>
      <w:bookmarkEnd w:id="163"/>
      <w:bookmarkEnd w:id="164"/>
      <w:bookmarkEnd w:id="165"/>
      <w:bookmarkEnd w:id="166"/>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10.1所有投标均以人民币报价。供应商的投标报价应遵守《中华人民共和国价格法》。同时，根据《中华人民共和国政府采购法》第二条的规定，为保证公平竞争，如有主体投标标的的赠与行为，其投标将被认定为</w:t>
      </w:r>
      <w:r>
        <w:rPr>
          <w:rFonts w:hint="eastAsia" w:ascii="宋体" w:hAnsi="宋体" w:eastAsia="宋体" w:cs="仿宋"/>
          <w:b/>
          <w:bCs/>
          <w:color w:val="auto"/>
          <w:szCs w:val="21"/>
          <w:highlight w:val="none"/>
          <w:u w:val="single"/>
        </w:rPr>
        <w:t>投标无效。</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10.2 采购人不接受具有附加条件的报价。</w:t>
      </w:r>
    </w:p>
    <w:p>
      <w:pPr>
        <w:spacing w:line="480" w:lineRule="exact"/>
        <w:ind w:firstLine="420" w:firstLineChars="200"/>
        <w:rPr>
          <w:rFonts w:hint="eastAsia" w:ascii="宋体" w:hAnsi="宋体" w:eastAsia="宋体" w:cs="仿宋"/>
          <w:b/>
          <w:bCs/>
          <w:color w:val="auto"/>
          <w:szCs w:val="21"/>
          <w:highlight w:val="none"/>
          <w:u w:val="single"/>
        </w:rPr>
      </w:pPr>
      <w:r>
        <w:rPr>
          <w:rFonts w:hint="eastAsia" w:ascii="宋体" w:hAnsi="宋体" w:eastAsia="宋体" w:cs="仿宋"/>
          <w:color w:val="auto"/>
          <w:szCs w:val="21"/>
          <w:highlight w:val="none"/>
        </w:rPr>
        <w:t>10.3 供应商所报的各分项投标报价在合同履行过程中是固定不变的，不得以任何理由予以变更。任何包含价格调整要求的投标，将被认定为</w:t>
      </w:r>
      <w:r>
        <w:rPr>
          <w:rFonts w:hint="eastAsia" w:ascii="宋体" w:hAnsi="宋体" w:eastAsia="宋体" w:cs="仿宋"/>
          <w:b/>
          <w:bCs/>
          <w:color w:val="auto"/>
          <w:szCs w:val="21"/>
          <w:highlight w:val="none"/>
          <w:u w:val="single"/>
        </w:rPr>
        <w:t>投标无效。</w:t>
      </w:r>
    </w:p>
    <w:p>
      <w:pPr>
        <w:spacing w:line="480" w:lineRule="exact"/>
        <w:ind w:firstLine="420" w:firstLineChars="200"/>
        <w:rPr>
          <w:rFonts w:hint="default" w:ascii="宋体" w:hAnsi="宋体" w:eastAsia="宋体" w:cs="仿宋"/>
          <w:color w:val="auto"/>
          <w:szCs w:val="21"/>
          <w:highlight w:val="none"/>
          <w:lang w:val="en-US" w:eastAsia="zh-CN"/>
        </w:rPr>
      </w:pPr>
      <w:r>
        <w:rPr>
          <w:rFonts w:hint="eastAsia" w:ascii="宋体" w:hAnsi="宋体" w:eastAsia="宋体" w:cs="仿宋"/>
          <w:color w:val="auto"/>
          <w:szCs w:val="21"/>
          <w:highlight w:val="none"/>
          <w:lang w:val="en-US" w:eastAsia="zh-CN"/>
        </w:rPr>
        <w:t>10.4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spacing w:line="480" w:lineRule="exact"/>
        <w:ind w:firstLine="422" w:firstLineChars="200"/>
        <w:outlineLvl w:val="2"/>
        <w:rPr>
          <w:rFonts w:ascii="宋体" w:hAnsi="宋体" w:eastAsia="宋体" w:cs="仿宋"/>
          <w:bCs/>
          <w:color w:val="auto"/>
          <w:szCs w:val="21"/>
          <w:highlight w:val="none"/>
        </w:rPr>
      </w:pPr>
      <w:bookmarkStart w:id="167" w:name="_Toc16410"/>
      <w:bookmarkStart w:id="168" w:name="_Toc30833"/>
      <w:bookmarkStart w:id="169" w:name="_Toc25463"/>
      <w:bookmarkStart w:id="170" w:name="_Toc520356157"/>
      <w:bookmarkStart w:id="171" w:name="_Toc518923076"/>
      <w:bookmarkStart w:id="172" w:name="_Toc10551"/>
      <w:bookmarkStart w:id="173" w:name="_Toc3751665"/>
      <w:bookmarkStart w:id="174" w:name="_Toc8198"/>
      <w:bookmarkStart w:id="175" w:name="_Toc527363310"/>
      <w:bookmarkStart w:id="176" w:name="_Toc527622579"/>
      <w:bookmarkStart w:id="177" w:name="_Toc32094"/>
      <w:bookmarkStart w:id="178" w:name="_Toc3068"/>
      <w:r>
        <w:rPr>
          <w:rFonts w:hint="eastAsia" w:ascii="宋体" w:hAnsi="宋体" w:eastAsia="宋体" w:cs="仿宋"/>
          <w:b/>
          <w:bCs/>
          <w:color w:val="auto"/>
          <w:szCs w:val="21"/>
          <w:highlight w:val="none"/>
        </w:rPr>
        <w:t>11. 投标有效期</w:t>
      </w:r>
      <w:bookmarkEnd w:id="167"/>
      <w:bookmarkEnd w:id="168"/>
      <w:bookmarkEnd w:id="169"/>
      <w:bookmarkEnd w:id="170"/>
      <w:bookmarkEnd w:id="171"/>
      <w:bookmarkEnd w:id="172"/>
      <w:bookmarkEnd w:id="173"/>
      <w:bookmarkEnd w:id="174"/>
      <w:bookmarkEnd w:id="175"/>
      <w:bookmarkEnd w:id="176"/>
      <w:bookmarkEnd w:id="177"/>
      <w:bookmarkEnd w:id="178"/>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11.1</w:t>
      </w:r>
      <w:r>
        <w:rPr>
          <w:rFonts w:hint="eastAsia" w:ascii="宋体" w:hAnsi="宋体" w:eastAsia="宋体" w:cs="仿宋"/>
          <w:color w:val="auto"/>
          <w:szCs w:val="21"/>
          <w:highlight w:val="none"/>
        </w:rPr>
        <w:tab/>
      </w:r>
      <w:r>
        <w:rPr>
          <w:rFonts w:hint="eastAsia" w:ascii="宋体" w:hAnsi="宋体" w:eastAsia="宋体" w:cs="仿宋"/>
          <w:color w:val="auto"/>
          <w:szCs w:val="21"/>
          <w:highlight w:val="none"/>
        </w:rPr>
        <w:t>投标应在</w:t>
      </w:r>
      <w:r>
        <w:rPr>
          <w:rFonts w:hint="eastAsia" w:ascii="宋体" w:hAnsi="宋体" w:eastAsia="宋体" w:cs="仿宋"/>
          <w:color w:val="auto"/>
          <w:szCs w:val="21"/>
          <w:highlight w:val="none"/>
          <w:u w:val="single"/>
        </w:rPr>
        <w:t>供应商须知资料表</w:t>
      </w:r>
      <w:r>
        <w:rPr>
          <w:rFonts w:hint="eastAsia" w:ascii="宋体" w:hAnsi="宋体" w:eastAsia="宋体" w:cs="仿宋"/>
          <w:color w:val="auto"/>
          <w:szCs w:val="21"/>
          <w:highlight w:val="none"/>
        </w:rPr>
        <w:t>中规定时间内保持有效。投标有效期不满足要求的投标，其投标将被认定为</w:t>
      </w:r>
      <w:r>
        <w:rPr>
          <w:rFonts w:hint="eastAsia" w:ascii="宋体" w:hAnsi="宋体" w:eastAsia="宋体" w:cs="仿宋"/>
          <w:b/>
          <w:bCs/>
          <w:color w:val="auto"/>
          <w:szCs w:val="21"/>
          <w:highlight w:val="none"/>
        </w:rPr>
        <w:t>投标无效</w:t>
      </w:r>
      <w:r>
        <w:rPr>
          <w:rFonts w:hint="eastAsia" w:ascii="宋体" w:hAnsi="宋体" w:eastAsia="宋体" w:cs="仿宋"/>
          <w:color w:val="auto"/>
          <w:szCs w:val="21"/>
          <w:highlight w:val="none"/>
        </w:rPr>
        <w:t>。</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11.2</w:t>
      </w:r>
      <w:r>
        <w:rPr>
          <w:rFonts w:hint="eastAsia" w:ascii="宋体" w:hAnsi="宋体" w:eastAsia="宋体" w:cs="仿宋"/>
          <w:color w:val="auto"/>
          <w:szCs w:val="21"/>
          <w:highlight w:val="none"/>
        </w:rPr>
        <w:tab/>
      </w:r>
      <w:r>
        <w:rPr>
          <w:rFonts w:hint="eastAsia" w:ascii="宋体" w:hAnsi="宋体" w:eastAsia="宋体" w:cs="仿宋"/>
          <w:color w:val="auto"/>
          <w:szCs w:val="21"/>
          <w:highlight w:val="none"/>
        </w:rPr>
        <w:t>为保证有充分时间签订合同，采购人或招投标所可根据实际情况，在原投标有效期截止之前，要求供应商延长投标文件的有效期。上述要求和答复都应以书面形式提交。</w:t>
      </w:r>
    </w:p>
    <w:p>
      <w:pPr>
        <w:spacing w:line="480" w:lineRule="exact"/>
        <w:ind w:firstLine="422" w:firstLineChars="200"/>
        <w:outlineLvl w:val="1"/>
        <w:rPr>
          <w:rFonts w:ascii="宋体" w:hAnsi="宋体" w:eastAsia="宋体" w:cs="仿宋"/>
          <w:b/>
          <w:bCs/>
          <w:color w:val="auto"/>
          <w:szCs w:val="21"/>
          <w:highlight w:val="none"/>
        </w:rPr>
      </w:pPr>
      <w:bookmarkStart w:id="179" w:name="_Toc3751666"/>
      <w:bookmarkStart w:id="180" w:name="_Toc11051"/>
      <w:bookmarkStart w:id="181" w:name="_Toc3208"/>
      <w:bookmarkStart w:id="182" w:name="_Toc12274"/>
      <w:bookmarkStart w:id="183" w:name="_Toc31225"/>
      <w:bookmarkStart w:id="184" w:name="_Toc25580"/>
      <w:bookmarkStart w:id="185" w:name="_Toc515647774"/>
      <w:bookmarkStart w:id="186" w:name="_Toc11179"/>
      <w:bookmarkStart w:id="187" w:name="_Toc520356159"/>
      <w:bookmarkStart w:id="188" w:name="_Toc527622580"/>
      <w:bookmarkStart w:id="189" w:name="_Toc13791"/>
      <w:bookmarkStart w:id="190" w:name="_Toc216582808"/>
      <w:bookmarkStart w:id="191" w:name="_Toc24000"/>
      <w:r>
        <w:rPr>
          <w:rFonts w:hint="eastAsia" w:ascii="宋体" w:hAnsi="宋体" w:eastAsia="宋体" w:cs="仿宋"/>
          <w:b/>
          <w:bCs/>
          <w:color w:val="auto"/>
          <w:szCs w:val="21"/>
          <w:highlight w:val="none"/>
        </w:rPr>
        <w:t>四、投标文件的递交</w:t>
      </w:r>
      <w:bookmarkEnd w:id="179"/>
      <w:bookmarkEnd w:id="180"/>
      <w:bookmarkEnd w:id="181"/>
      <w:bookmarkEnd w:id="182"/>
      <w:bookmarkEnd w:id="183"/>
      <w:bookmarkEnd w:id="184"/>
      <w:bookmarkEnd w:id="185"/>
      <w:bookmarkEnd w:id="186"/>
      <w:bookmarkEnd w:id="187"/>
      <w:bookmarkEnd w:id="188"/>
      <w:bookmarkEnd w:id="189"/>
      <w:bookmarkEnd w:id="190"/>
      <w:bookmarkEnd w:id="191"/>
    </w:p>
    <w:p>
      <w:pPr>
        <w:numPr>
          <w:ilvl w:val="0"/>
          <w:numId w:val="3"/>
        </w:numPr>
        <w:spacing w:line="480" w:lineRule="exact"/>
        <w:ind w:firstLine="422" w:firstLineChars="200"/>
        <w:outlineLvl w:val="2"/>
        <w:rPr>
          <w:rFonts w:ascii="宋体" w:hAnsi="宋体" w:eastAsia="宋体" w:cs="仿宋"/>
          <w:bCs/>
          <w:color w:val="auto"/>
          <w:szCs w:val="21"/>
          <w:highlight w:val="none"/>
        </w:rPr>
      </w:pPr>
      <w:bookmarkStart w:id="192" w:name="_Toc18587"/>
      <w:bookmarkStart w:id="193" w:name="_Toc3751667"/>
      <w:bookmarkStart w:id="194" w:name="_Toc30513"/>
      <w:bookmarkStart w:id="195" w:name="_Toc27813"/>
      <w:bookmarkStart w:id="196" w:name="_Toc7011"/>
      <w:bookmarkStart w:id="197" w:name="_Toc18325"/>
      <w:bookmarkStart w:id="198" w:name="_Toc17553"/>
      <w:bookmarkStart w:id="199" w:name="_Toc527622581"/>
      <w:bookmarkStart w:id="200" w:name="_Toc527393583"/>
      <w:bookmarkStart w:id="201" w:name="_Toc27276"/>
      <w:bookmarkStart w:id="202" w:name="_Toc520356161"/>
      <w:bookmarkStart w:id="203" w:name="_Toc518923080"/>
      <w:r>
        <w:rPr>
          <w:rFonts w:hint="eastAsia" w:ascii="宋体" w:hAnsi="宋体" w:eastAsia="宋体" w:cs="仿宋"/>
          <w:b/>
          <w:bCs/>
          <w:color w:val="auto"/>
          <w:szCs w:val="21"/>
          <w:highlight w:val="none"/>
        </w:rPr>
        <w:t>投标截止</w:t>
      </w:r>
      <w:bookmarkEnd w:id="192"/>
      <w:bookmarkEnd w:id="193"/>
      <w:bookmarkEnd w:id="194"/>
      <w:bookmarkEnd w:id="195"/>
      <w:bookmarkEnd w:id="196"/>
      <w:bookmarkEnd w:id="197"/>
      <w:bookmarkEnd w:id="198"/>
      <w:bookmarkEnd w:id="199"/>
      <w:bookmarkEnd w:id="200"/>
      <w:bookmarkEnd w:id="201"/>
      <w:bookmarkEnd w:id="202"/>
      <w:bookmarkEnd w:id="203"/>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12.1供应商应在投标邀请中规定的截止时间前，将投标文件递交到投标邀请书中规定的地点。</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12.2采购人和招投标所有权按本须知的规定，延迟投标截止时间。在此情况下，采购人、招投标所和供应商受投标截止时间制约的所有权利和义务均应延长至新的截止时间。</w:t>
      </w:r>
    </w:p>
    <w:p>
      <w:pPr>
        <w:spacing w:line="480" w:lineRule="exact"/>
        <w:ind w:firstLine="422" w:firstLineChars="200"/>
        <w:outlineLvl w:val="2"/>
        <w:rPr>
          <w:rFonts w:ascii="宋体" w:hAnsi="宋体" w:eastAsia="宋体" w:cs="仿宋"/>
          <w:bCs/>
          <w:color w:val="auto"/>
          <w:szCs w:val="21"/>
          <w:highlight w:val="none"/>
        </w:rPr>
      </w:pPr>
      <w:bookmarkStart w:id="204" w:name="_Toc527622582"/>
      <w:bookmarkStart w:id="205" w:name="_Toc9980"/>
      <w:bookmarkStart w:id="206" w:name="_Toc7623"/>
      <w:bookmarkStart w:id="207" w:name="_Toc29103"/>
      <w:bookmarkStart w:id="208" w:name="_Toc13846"/>
      <w:bookmarkStart w:id="209" w:name="_Toc3751668"/>
      <w:bookmarkStart w:id="210" w:name="_Toc518923081"/>
      <w:bookmarkStart w:id="211" w:name="_Toc520356162"/>
      <w:bookmarkStart w:id="212" w:name="_Toc4674"/>
      <w:bookmarkStart w:id="213" w:name="_Toc29199"/>
      <w:bookmarkStart w:id="214" w:name="_Toc22262"/>
      <w:bookmarkStart w:id="215" w:name="_Toc527393584"/>
      <w:r>
        <w:rPr>
          <w:rFonts w:hint="eastAsia" w:ascii="宋体" w:hAnsi="宋体" w:eastAsia="宋体" w:cs="仿宋"/>
          <w:b/>
          <w:bCs/>
          <w:color w:val="auto"/>
          <w:szCs w:val="21"/>
          <w:highlight w:val="none"/>
        </w:rPr>
        <w:t>13. 投标文件的接收、修改与撤回</w:t>
      </w:r>
      <w:bookmarkEnd w:id="204"/>
      <w:bookmarkEnd w:id="205"/>
      <w:bookmarkEnd w:id="206"/>
      <w:bookmarkEnd w:id="207"/>
      <w:bookmarkEnd w:id="208"/>
      <w:bookmarkEnd w:id="209"/>
      <w:bookmarkEnd w:id="210"/>
      <w:bookmarkEnd w:id="211"/>
      <w:bookmarkEnd w:id="212"/>
      <w:bookmarkEnd w:id="213"/>
      <w:bookmarkEnd w:id="214"/>
      <w:bookmarkEnd w:id="215"/>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13.1 在投标截止时间后送达投标文件的或者传真、电传的投标文件，采购人和招投标所将拒绝接收。</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13.2采购人或者招投标所收到投标文件后，向供应商出具签收回执。</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13.3 递交投标文件以后，如果供应商要进行修改或撤回投标，须提出书面申请并在投标截止时间前送达开标地点。</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采购人和招投标所将予以接收，并视为投标文件的组成部分。</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13.4在投标截止时间之后，采购人和招投标所不接受供应商主动对其投标文件做任何修改。</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13.5 至投标截止时间，出现下列情形之一的投标文件，将被采购人和招投标所拒绝并原封退回给投标人：</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（1）采购人和招投标所在投标邀请书中规定的截止时间以后和投标邀请书中规定的投标文件递交地点以外收到的投标文件；</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（2）至投标截止时间，投标人不足3家的，在投标截止时间前收到的所有未被开启的投标文件；</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（3）按本须知第13.3款规定提交书面撤回申请书的投标文件；</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（4）未按本须知第9.5、9.6款规定密封的投标文件。</w:t>
      </w:r>
    </w:p>
    <w:p>
      <w:pPr>
        <w:spacing w:line="480" w:lineRule="exact"/>
        <w:ind w:firstLine="422" w:firstLineChars="200"/>
        <w:outlineLvl w:val="2"/>
        <w:rPr>
          <w:rFonts w:hint="eastAsia" w:ascii="宋体" w:hAnsi="宋体" w:eastAsia="宋体" w:cs="仿宋"/>
          <w:b/>
          <w:bCs/>
          <w:color w:val="auto"/>
          <w:szCs w:val="21"/>
          <w:highlight w:val="none"/>
        </w:rPr>
      </w:pPr>
      <w:r>
        <w:rPr>
          <w:rFonts w:hint="eastAsia" w:ascii="宋体" w:hAnsi="宋体" w:eastAsia="宋体" w:cs="仿宋"/>
          <w:b/>
          <w:bCs/>
          <w:color w:val="auto"/>
          <w:szCs w:val="21"/>
          <w:highlight w:val="none"/>
          <w:lang w:val="en-US" w:eastAsia="zh-CN"/>
        </w:rPr>
        <w:t>14</w:t>
      </w:r>
      <w:r>
        <w:rPr>
          <w:rFonts w:hint="eastAsia" w:ascii="宋体" w:hAnsi="宋体" w:eastAsia="宋体" w:cs="仿宋"/>
          <w:b/>
          <w:bCs/>
          <w:color w:val="auto"/>
          <w:szCs w:val="21"/>
          <w:highlight w:val="none"/>
        </w:rPr>
        <w:t>.样品（演示）</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14</w:t>
      </w:r>
      <w:r>
        <w:rPr>
          <w:rFonts w:hint="eastAsia" w:ascii="宋体" w:hAnsi="宋体" w:eastAsia="宋体" w:cs="仿宋"/>
          <w:color w:val="auto"/>
          <w:szCs w:val="21"/>
          <w:highlight w:val="none"/>
        </w:rPr>
        <w:t>.1招标文件规定投标人提交样品的，样品属于投标文件的组成部分。样品的生产、运输、安装、保全等一切费用由投标人自理。</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14</w:t>
      </w:r>
      <w:r>
        <w:rPr>
          <w:rFonts w:hint="eastAsia" w:ascii="宋体" w:hAnsi="宋体" w:eastAsia="宋体" w:cs="仿宋"/>
          <w:color w:val="auto"/>
          <w:szCs w:val="21"/>
          <w:highlight w:val="none"/>
        </w:rPr>
        <w:t>.2投标截止时间前，投标人应将样品送达至指定地点。若需要现场演示的，投标人应提前做好演示准备（包括演示设备）。</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14</w:t>
      </w:r>
      <w:r>
        <w:rPr>
          <w:rFonts w:hint="eastAsia" w:ascii="宋体" w:hAnsi="宋体" w:eastAsia="宋体" w:cs="仿宋"/>
          <w:color w:val="auto"/>
          <w:szCs w:val="21"/>
          <w:highlight w:val="none"/>
        </w:rPr>
        <w:t>.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spacing w:line="480" w:lineRule="exact"/>
        <w:ind w:firstLine="422" w:firstLineChars="200"/>
        <w:outlineLvl w:val="2"/>
        <w:rPr>
          <w:rFonts w:hint="eastAsia" w:ascii="宋体" w:hAnsi="宋体" w:eastAsia="宋体" w:cs="仿宋"/>
          <w:b/>
          <w:bCs/>
          <w:color w:val="auto"/>
          <w:szCs w:val="21"/>
          <w:highlight w:val="none"/>
          <w:lang w:val="en-US" w:eastAsia="zh-CN"/>
        </w:rPr>
      </w:pPr>
      <w:r>
        <w:rPr>
          <w:rFonts w:hint="eastAsia" w:ascii="宋体" w:hAnsi="宋体" w:eastAsia="宋体" w:cs="仿宋"/>
          <w:b/>
          <w:bCs/>
          <w:color w:val="auto"/>
          <w:szCs w:val="21"/>
          <w:highlight w:val="none"/>
          <w:lang w:val="en-US" w:eastAsia="zh-CN"/>
        </w:rPr>
        <w:t>15.除招标文件另有规定外，有下列情形之一的，投标无效：</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15</w:t>
      </w:r>
      <w:r>
        <w:rPr>
          <w:rFonts w:hint="eastAsia" w:ascii="宋体" w:hAnsi="宋体" w:eastAsia="宋体" w:cs="仿宋"/>
          <w:color w:val="auto"/>
          <w:szCs w:val="21"/>
          <w:highlight w:val="none"/>
        </w:rPr>
        <w:t>.1投标文件未按照招标文件要求签署、盖章；</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15</w:t>
      </w:r>
      <w:r>
        <w:rPr>
          <w:rFonts w:hint="eastAsia" w:ascii="宋体" w:hAnsi="宋体" w:eastAsia="宋体" w:cs="仿宋"/>
          <w:color w:val="auto"/>
          <w:szCs w:val="21"/>
          <w:highlight w:val="none"/>
        </w:rPr>
        <w:t>.2不符合招标文件中规定的资格要求；</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15</w:t>
      </w:r>
      <w:r>
        <w:rPr>
          <w:rFonts w:hint="eastAsia" w:ascii="宋体" w:hAnsi="宋体" w:eastAsia="宋体" w:cs="仿宋"/>
          <w:color w:val="auto"/>
          <w:szCs w:val="21"/>
          <w:highlight w:val="none"/>
        </w:rPr>
        <w:t>.3投标报价超过招标文件中规定的预算金额或最高限价；</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15</w:t>
      </w:r>
      <w:r>
        <w:rPr>
          <w:rFonts w:hint="eastAsia" w:ascii="宋体" w:hAnsi="宋体" w:eastAsia="宋体" w:cs="仿宋"/>
          <w:color w:val="auto"/>
          <w:szCs w:val="21"/>
          <w:highlight w:val="none"/>
        </w:rPr>
        <w:t>.4投标文件含有采购人不能接受的附加条件；</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15</w:t>
      </w:r>
      <w:r>
        <w:rPr>
          <w:rFonts w:hint="eastAsia" w:ascii="宋体" w:hAnsi="宋体" w:eastAsia="宋体" w:cs="仿宋"/>
          <w:color w:val="auto"/>
          <w:szCs w:val="21"/>
          <w:highlight w:val="none"/>
        </w:rPr>
        <w:t>.5有关法律、法规和规章及招标文件规定的其他无效情形。</w:t>
      </w:r>
    </w:p>
    <w:p>
      <w:pPr>
        <w:rPr>
          <w:color w:val="auto"/>
          <w:highlight w:val="none"/>
        </w:rPr>
      </w:pPr>
      <w:r>
        <w:rPr>
          <w:rFonts w:hint="eastAsia"/>
          <w:b/>
          <w:color w:val="auto"/>
          <w:sz w:val="28"/>
          <w:highlight w:val="none"/>
          <w:lang w:eastAsia="zh-CN"/>
        </w:rPr>
        <w:t>五</w:t>
      </w:r>
      <w:r>
        <w:rPr>
          <w:b/>
          <w:color w:val="auto"/>
          <w:sz w:val="28"/>
          <w:highlight w:val="none"/>
        </w:rPr>
        <w:t>、开标、评标和定标</w:t>
      </w:r>
    </w:p>
    <w:p>
      <w:pPr>
        <w:rPr>
          <w:rFonts w:ascii="宋体" w:hAnsi="宋体" w:eastAsia="宋体" w:cs="仿宋"/>
          <w:bCs/>
          <w:color w:val="auto"/>
          <w:szCs w:val="21"/>
          <w:highlight w:val="none"/>
        </w:rPr>
      </w:pPr>
      <w:r>
        <w:rPr>
          <w:b/>
          <w:color w:val="auto"/>
          <w:sz w:val="24"/>
          <w:highlight w:val="none"/>
        </w:rPr>
        <w:t>1</w:t>
      </w:r>
      <w:r>
        <w:rPr>
          <w:rFonts w:hint="eastAsia"/>
          <w:b/>
          <w:color w:val="auto"/>
          <w:sz w:val="24"/>
          <w:highlight w:val="none"/>
          <w:lang w:val="en-US" w:eastAsia="zh-CN"/>
        </w:rPr>
        <w:t>6</w:t>
      </w:r>
      <w:r>
        <w:rPr>
          <w:b/>
          <w:color w:val="auto"/>
          <w:sz w:val="24"/>
          <w:highlight w:val="none"/>
        </w:rPr>
        <w:t>.开标</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w:t>
      </w:r>
      <w:r>
        <w:rPr>
          <w:rFonts w:hint="eastAsia" w:ascii="宋体" w:hAnsi="宋体" w:eastAsia="宋体" w:cs="仿宋"/>
          <w:color w:val="auto"/>
          <w:szCs w:val="21"/>
          <w:highlight w:val="none"/>
          <w:lang w:val="en-US" w:eastAsia="zh-CN"/>
        </w:rPr>
        <w:t>6.1</w:t>
      </w:r>
      <w:r>
        <w:rPr>
          <w:rFonts w:hint="eastAsia" w:ascii="宋体" w:hAnsi="宋体" w:eastAsia="宋体" w:cs="仿宋"/>
          <w:color w:val="auto"/>
          <w:szCs w:val="21"/>
          <w:highlight w:val="none"/>
        </w:rPr>
        <w:t xml:space="preserve"> 采购人和招投标所将按招标文件中规定的开标时间和地点组织公开开标并邀请所有供应商代表参加。  </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开标会由招投标所主持，供应商的法定代表人或经其正式授权代表务必携带有效身份证明准时参加开标会并签名报到，以证明其出席。供应商未参加开标的，视同认可开标结果。</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响应招标、参加投标竞争的供应商不足3家的，不得开标。</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w:t>
      </w:r>
      <w:r>
        <w:rPr>
          <w:rFonts w:hint="eastAsia" w:ascii="宋体" w:hAnsi="宋体" w:eastAsia="宋体" w:cs="仿宋"/>
          <w:color w:val="auto"/>
          <w:szCs w:val="21"/>
          <w:highlight w:val="none"/>
          <w:lang w:val="en-US" w:eastAsia="zh-CN"/>
        </w:rPr>
        <w:t>6.2</w:t>
      </w:r>
      <w:r>
        <w:rPr>
          <w:rFonts w:hint="eastAsia" w:ascii="宋体" w:hAnsi="宋体" w:eastAsia="宋体" w:cs="仿宋"/>
          <w:color w:val="auto"/>
          <w:szCs w:val="21"/>
          <w:highlight w:val="none"/>
        </w:rPr>
        <w:t>开标时，应当由供应商或者其推选的代表检查投标文件的密封情况。经确认无误后，由采购人或者招投标所工作人员当众拆封，宣布供应商名称、投标价格和招标文件规定的需要宣布的其他内容。</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未宣读投标价格、价格折扣等实质内容，评标时不予承认。</w:t>
      </w:r>
    </w:p>
    <w:p>
      <w:pPr>
        <w:spacing w:line="480" w:lineRule="exact"/>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1</w:t>
      </w:r>
      <w:r>
        <w:rPr>
          <w:rFonts w:hint="eastAsia" w:ascii="宋体" w:hAnsi="宋体" w:eastAsia="宋体" w:cs="仿宋"/>
          <w:color w:val="auto"/>
          <w:szCs w:val="21"/>
          <w:highlight w:val="none"/>
          <w:lang w:val="en-US" w:eastAsia="zh-CN"/>
        </w:rPr>
        <w:t>6.3</w:t>
      </w:r>
      <w:r>
        <w:rPr>
          <w:rFonts w:hint="eastAsia" w:ascii="宋体" w:hAnsi="宋体" w:eastAsia="宋体" w:cs="仿宋"/>
          <w:color w:val="auto"/>
          <w:szCs w:val="21"/>
          <w:highlight w:val="none"/>
        </w:rPr>
        <w:t xml:space="preserve"> 采购人或招投标所将对开标过程进行记录，由参加开标的各供应商代表和相关工作人员签字确认，并存档备查。</w:t>
      </w:r>
    </w:p>
    <w:p>
      <w:pPr>
        <w:ind w:firstLine="480"/>
        <w:rPr>
          <w:rFonts w:hint="eastAsia" w:ascii="宋体" w:hAnsi="宋体" w:eastAsia="宋体" w:cs="仿宋"/>
          <w:color w:val="auto"/>
          <w:szCs w:val="21"/>
          <w:highlight w:val="none"/>
        </w:rPr>
      </w:pPr>
      <w:r>
        <w:rPr>
          <w:rFonts w:hint="eastAsia" w:ascii="宋体" w:hAnsi="宋体" w:eastAsia="宋体" w:cs="仿宋"/>
          <w:color w:val="auto"/>
          <w:szCs w:val="21"/>
          <w:highlight w:val="none"/>
        </w:rPr>
        <w:t>1</w:t>
      </w:r>
      <w:r>
        <w:rPr>
          <w:rFonts w:hint="eastAsia" w:ascii="宋体" w:hAnsi="宋体" w:eastAsia="宋体" w:cs="仿宋"/>
          <w:color w:val="auto"/>
          <w:szCs w:val="21"/>
          <w:highlight w:val="none"/>
          <w:lang w:val="en-US" w:eastAsia="zh-CN"/>
        </w:rPr>
        <w:t>6.4</w:t>
      </w:r>
      <w:r>
        <w:rPr>
          <w:rFonts w:hint="eastAsia" w:ascii="宋体" w:hAnsi="宋体" w:eastAsia="宋体" w:cs="仿宋"/>
          <w:color w:val="auto"/>
          <w:szCs w:val="21"/>
          <w:highlight w:val="none"/>
        </w:rPr>
        <w:t xml:space="preserve"> 供应商代表对开标过程和开标记录有疑义，以及认为采购人、招投标所相关工作人员有需要回避的情形的，应当场提出询问或者回避申请。</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lang w:val="en-US" w:eastAsia="zh-CN"/>
        </w:rPr>
        <w:t>16.5</w:t>
      </w:r>
      <w:r>
        <w:rPr>
          <w:rFonts w:hint="eastAsia" w:ascii="宋体" w:hAnsi="宋体" w:eastAsia="宋体" w:cs="仿宋"/>
          <w:color w:val="auto"/>
          <w:szCs w:val="21"/>
          <w:highlight w:val="none"/>
        </w:rPr>
        <w:t>开标异议</w:t>
      </w:r>
    </w:p>
    <w:p>
      <w:pPr>
        <w:spacing w:line="480" w:lineRule="exact"/>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投标人代表对开标过程和开标记录有疑义，以及认为采购人、采购代理机构相关工作人员有需要回避的情形的，应当场提出询问或者回避申请。投标人未参加开标的，视同认可开标结果。</w:t>
      </w:r>
    </w:p>
    <w:p>
      <w:pPr>
        <w:spacing w:line="480" w:lineRule="exact"/>
        <w:ind w:firstLine="420" w:firstLineChars="200"/>
        <w:rPr>
          <w:rFonts w:hint="eastAsia" w:ascii="宋体" w:hAnsi="宋体" w:eastAsia="宋体" w:cs="仿宋"/>
          <w:color w:val="auto"/>
          <w:szCs w:val="21"/>
          <w:highlight w:val="none"/>
          <w:lang w:val="en-US" w:eastAsia="zh-CN"/>
        </w:rPr>
      </w:pPr>
      <w:r>
        <w:rPr>
          <w:rFonts w:hint="eastAsia" w:ascii="宋体" w:hAnsi="宋体" w:eastAsia="宋体" w:cs="仿宋"/>
          <w:color w:val="auto"/>
          <w:szCs w:val="21"/>
          <w:highlight w:val="none"/>
          <w:lang w:val="en-US" w:eastAsia="zh-CN"/>
        </w:rPr>
        <w:t>16.6投标截止时间后，投标人不足须知前附表中约定的有效供应商家数的，不得开标。同时，本次采购活动结束。</w:t>
      </w:r>
    </w:p>
    <w:p>
      <w:pPr>
        <w:ind w:firstLine="480"/>
        <w:rPr>
          <w:color w:val="auto"/>
          <w:highlight w:val="none"/>
        </w:rPr>
      </w:pPr>
    </w:p>
    <w:p>
      <w:pPr>
        <w:rPr>
          <w:color w:val="auto"/>
          <w:highlight w:val="none"/>
        </w:rPr>
      </w:pPr>
      <w:r>
        <w:rPr>
          <w:rFonts w:hint="eastAsia"/>
          <w:b/>
          <w:color w:val="auto"/>
          <w:sz w:val="24"/>
          <w:highlight w:val="none"/>
          <w:lang w:val="en-US" w:eastAsia="zh-CN"/>
        </w:rPr>
        <w:t>17</w:t>
      </w:r>
      <w:r>
        <w:rPr>
          <w:b/>
          <w:color w:val="auto"/>
          <w:sz w:val="24"/>
          <w:highlight w:val="none"/>
        </w:rPr>
        <w:t>.评审（详见第四章）</w:t>
      </w:r>
    </w:p>
    <w:p>
      <w:pPr>
        <w:rPr>
          <w:color w:val="auto"/>
          <w:highlight w:val="none"/>
        </w:rPr>
      </w:pPr>
      <w:r>
        <w:rPr>
          <w:rFonts w:hint="eastAsia"/>
          <w:b/>
          <w:color w:val="auto"/>
          <w:sz w:val="24"/>
          <w:highlight w:val="none"/>
          <w:lang w:val="en-US" w:eastAsia="zh-CN"/>
        </w:rPr>
        <w:t>18</w:t>
      </w:r>
      <w:r>
        <w:rPr>
          <w:b/>
          <w:color w:val="auto"/>
          <w:sz w:val="24"/>
          <w:highlight w:val="none"/>
        </w:rPr>
        <w:t>.定标</w:t>
      </w:r>
    </w:p>
    <w:p>
      <w:pPr>
        <w:ind w:firstLine="480"/>
        <w:rPr>
          <w:color w:val="auto"/>
          <w:highlight w:val="none"/>
        </w:rPr>
      </w:pPr>
      <w:r>
        <w:rPr>
          <w:rFonts w:hint="eastAsia"/>
          <w:color w:val="auto"/>
          <w:highlight w:val="none"/>
          <w:lang w:val="en-US" w:eastAsia="zh-CN"/>
        </w:rPr>
        <w:t>18</w:t>
      </w:r>
      <w:r>
        <w:rPr>
          <w:color w:val="auto"/>
          <w:highlight w:val="none"/>
        </w:rPr>
        <w:t>.1中标公告：</w:t>
      </w:r>
    </w:p>
    <w:p>
      <w:pPr>
        <w:ind w:firstLine="480"/>
        <w:rPr>
          <w:color w:val="auto"/>
          <w:highlight w:val="none"/>
        </w:rPr>
      </w:pPr>
      <w:r>
        <w:rPr>
          <w:color w:val="auto"/>
          <w:highlight w:val="none"/>
        </w:rPr>
        <w:t>中标供应商确定之日起2个工作日内， 采购人或采购代理机构将在</w:t>
      </w:r>
      <w:r>
        <w:rPr>
          <w:rFonts w:hint="eastAsia"/>
          <w:color w:val="auto"/>
          <w:highlight w:val="none"/>
          <w:lang w:eastAsia="zh-CN"/>
        </w:rPr>
        <w:t>中国东莞万江街道栏目</w:t>
      </w:r>
      <w:r>
        <w:rPr>
          <w:color w:val="auto"/>
          <w:highlight w:val="none"/>
        </w:rPr>
        <w:t>上以</w:t>
      </w:r>
      <w:r>
        <w:rPr>
          <w:rFonts w:hint="eastAsia"/>
          <w:color w:val="auto"/>
          <w:highlight w:val="none"/>
          <w:lang w:eastAsia="zh-CN"/>
        </w:rPr>
        <w:t>公告</w:t>
      </w:r>
      <w:r>
        <w:rPr>
          <w:color w:val="auto"/>
          <w:highlight w:val="none"/>
        </w:rPr>
        <w:t>的形式发布中标结果，中标公告的公告期限为 1 个工作日。中标公告同时作为采购代理机构通知除中标供应商外的其他投标人没有中标的书面形式，采购代理机构不再以其它方式另行通知。</w:t>
      </w:r>
    </w:p>
    <w:p>
      <w:pPr>
        <w:ind w:firstLine="480"/>
        <w:rPr>
          <w:color w:val="auto"/>
          <w:highlight w:val="none"/>
        </w:rPr>
      </w:pPr>
      <w:r>
        <w:rPr>
          <w:rFonts w:hint="eastAsia"/>
          <w:color w:val="auto"/>
          <w:highlight w:val="none"/>
          <w:lang w:val="en-US" w:eastAsia="zh-CN"/>
        </w:rPr>
        <w:t>18</w:t>
      </w:r>
      <w:r>
        <w:rPr>
          <w:color w:val="auto"/>
          <w:highlight w:val="none"/>
        </w:rPr>
        <w:t>.2中标通知书：</w:t>
      </w:r>
    </w:p>
    <w:p>
      <w:pPr>
        <w:ind w:firstLine="480"/>
        <w:rPr>
          <w:rFonts w:hint="eastAsia"/>
          <w:color w:val="auto"/>
          <w:highlight w:val="none"/>
        </w:rPr>
      </w:pPr>
      <w:r>
        <w:rPr>
          <w:rFonts w:hint="eastAsia"/>
          <w:color w:val="auto"/>
          <w:highlight w:val="none"/>
        </w:rPr>
        <w:t>《中标通知书》是合同的一个组成部分，《中标通知书》对采购人和中标人均具有同等法律效力；《中标通知书》发出后，采购人改变中标结果，或者中标人放弃中标，应当承担相应的法律责任。</w:t>
      </w:r>
    </w:p>
    <w:p>
      <w:pPr>
        <w:ind w:firstLine="480"/>
        <w:rPr>
          <w:color w:val="auto"/>
          <w:highlight w:val="none"/>
        </w:rPr>
      </w:pPr>
      <w:r>
        <w:rPr>
          <w:rFonts w:hint="eastAsia"/>
          <w:color w:val="auto"/>
          <w:highlight w:val="none"/>
          <w:lang w:val="en-US" w:eastAsia="zh-CN"/>
        </w:rPr>
        <w:t>18</w:t>
      </w:r>
      <w:r>
        <w:rPr>
          <w:color w:val="auto"/>
          <w:highlight w:val="none"/>
        </w:rPr>
        <w:t>.3终止公告：</w:t>
      </w:r>
    </w:p>
    <w:p>
      <w:pPr>
        <w:ind w:firstLine="480"/>
        <w:rPr>
          <w:color w:val="auto"/>
          <w:highlight w:val="none"/>
        </w:rPr>
      </w:pPr>
      <w:r>
        <w:rPr>
          <w:color w:val="auto"/>
          <w:highlight w:val="none"/>
        </w:rPr>
        <w:t>项目废标后，采购人或采购代理机构将在</w:t>
      </w:r>
      <w:r>
        <w:rPr>
          <w:rFonts w:hint="eastAsia"/>
          <w:color w:val="auto"/>
          <w:highlight w:val="none"/>
        </w:rPr>
        <w:t>中国东莞万江街道栏目</w:t>
      </w:r>
      <w:r>
        <w:rPr>
          <w:color w:val="auto"/>
          <w:highlight w:val="none"/>
        </w:rPr>
        <w:t>上发布终止公告，终止公告的公告期限为1个工作日。</w:t>
      </w:r>
    </w:p>
    <w:p>
      <w:pPr>
        <w:rPr>
          <w:color w:val="auto"/>
          <w:highlight w:val="none"/>
        </w:rPr>
      </w:pPr>
      <w:r>
        <w:rPr>
          <w:b/>
          <w:color w:val="auto"/>
          <w:sz w:val="28"/>
          <w:highlight w:val="none"/>
        </w:rPr>
        <w:t>七、询问、质疑与投诉</w:t>
      </w:r>
    </w:p>
    <w:p>
      <w:pPr>
        <w:rPr>
          <w:color w:val="auto"/>
          <w:highlight w:val="none"/>
        </w:rPr>
      </w:pPr>
      <w:r>
        <w:rPr>
          <w:rFonts w:hint="eastAsia"/>
          <w:b/>
          <w:color w:val="auto"/>
          <w:sz w:val="24"/>
          <w:highlight w:val="none"/>
          <w:lang w:val="en-US" w:eastAsia="zh-CN"/>
        </w:rPr>
        <w:t>19</w:t>
      </w:r>
      <w:r>
        <w:rPr>
          <w:b/>
          <w:color w:val="auto"/>
          <w:sz w:val="24"/>
          <w:highlight w:val="none"/>
        </w:rPr>
        <w:t>.询问</w:t>
      </w:r>
    </w:p>
    <w:p>
      <w:pPr>
        <w:ind w:firstLine="480"/>
        <w:rPr>
          <w:color w:val="auto"/>
          <w:highlight w:val="none"/>
        </w:rPr>
      </w:pPr>
      <w:r>
        <w:rPr>
          <w:color w:val="auto"/>
          <w:highlight w:val="none"/>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rPr>
          <w:color w:val="auto"/>
          <w:highlight w:val="none"/>
        </w:rPr>
      </w:pPr>
      <w:r>
        <w:rPr>
          <w:b/>
          <w:color w:val="auto"/>
          <w:sz w:val="24"/>
          <w:highlight w:val="none"/>
        </w:rPr>
        <w:t>2</w:t>
      </w:r>
      <w:r>
        <w:rPr>
          <w:rFonts w:hint="eastAsia"/>
          <w:b/>
          <w:color w:val="auto"/>
          <w:sz w:val="24"/>
          <w:highlight w:val="none"/>
          <w:lang w:val="en-US" w:eastAsia="zh-CN"/>
        </w:rPr>
        <w:t>0</w:t>
      </w:r>
      <w:r>
        <w:rPr>
          <w:b/>
          <w:color w:val="auto"/>
          <w:sz w:val="24"/>
          <w:highlight w:val="none"/>
        </w:rPr>
        <w:t>.质疑</w:t>
      </w:r>
    </w:p>
    <w:p>
      <w:pPr>
        <w:ind w:firstLine="480"/>
        <w:rPr>
          <w:color w:val="auto"/>
          <w:highlight w:val="none"/>
        </w:rPr>
      </w:pPr>
      <w:r>
        <w:rPr>
          <w:color w:val="auto"/>
          <w:highlight w:val="none"/>
        </w:rPr>
        <w:t>2</w:t>
      </w:r>
      <w:r>
        <w:rPr>
          <w:rFonts w:hint="eastAsia"/>
          <w:color w:val="auto"/>
          <w:highlight w:val="none"/>
          <w:lang w:val="en-US" w:eastAsia="zh-CN"/>
        </w:rPr>
        <w:t>1</w:t>
      </w:r>
      <w:r>
        <w:rPr>
          <w:color w:val="auto"/>
          <w:highlight w:val="none"/>
        </w:rPr>
        <w:t>.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rPr>
          <w:color w:val="auto"/>
          <w:highlight w:val="none"/>
        </w:rPr>
      </w:pPr>
      <w:r>
        <w:rPr>
          <w:color w:val="auto"/>
          <w:highlight w:val="none"/>
        </w:rPr>
        <w:t>(1)对招标文件提出质疑的，为获取招标文件之日或者招标文件公告期限届满之日；</w:t>
      </w:r>
    </w:p>
    <w:p>
      <w:pPr>
        <w:ind w:firstLine="480"/>
        <w:rPr>
          <w:color w:val="auto"/>
          <w:highlight w:val="none"/>
        </w:rPr>
      </w:pPr>
      <w:r>
        <w:rPr>
          <w:color w:val="auto"/>
          <w:highlight w:val="none"/>
        </w:rPr>
        <w:t>(2)对采购过程提出质疑的，为各采购程序环节结束之日；</w:t>
      </w:r>
    </w:p>
    <w:p>
      <w:pPr>
        <w:ind w:firstLine="480"/>
        <w:rPr>
          <w:color w:val="auto"/>
          <w:highlight w:val="none"/>
        </w:rPr>
      </w:pPr>
      <w:r>
        <w:rPr>
          <w:color w:val="auto"/>
          <w:highlight w:val="none"/>
        </w:rPr>
        <w:t>(3)对中标结果提出质疑的，为中标结果公告期限届满之日。</w:t>
      </w:r>
    </w:p>
    <w:p>
      <w:pPr>
        <w:ind w:firstLine="480"/>
        <w:rPr>
          <w:color w:val="auto"/>
          <w:highlight w:val="none"/>
        </w:rPr>
      </w:pPr>
      <w:r>
        <w:rPr>
          <w:color w:val="auto"/>
          <w:highlight w:val="none"/>
        </w:rPr>
        <w:t>2</w:t>
      </w:r>
      <w:r>
        <w:rPr>
          <w:rFonts w:hint="eastAsia"/>
          <w:color w:val="auto"/>
          <w:highlight w:val="none"/>
          <w:lang w:val="en-US" w:eastAsia="zh-CN"/>
        </w:rPr>
        <w:t>1</w:t>
      </w:r>
      <w:r>
        <w:rPr>
          <w:color w:val="auto"/>
          <w:highlight w:val="none"/>
        </w:rPr>
        <w:t>.2质疑函应当包括下列主要内容：</w:t>
      </w:r>
    </w:p>
    <w:p>
      <w:pPr>
        <w:ind w:firstLine="480"/>
        <w:rPr>
          <w:color w:val="auto"/>
          <w:highlight w:val="none"/>
        </w:rPr>
      </w:pPr>
      <w:r>
        <w:rPr>
          <w:color w:val="auto"/>
          <w:highlight w:val="none"/>
        </w:rPr>
        <w:t>(1)质疑供应商和相关供应商的名称、地址、邮编、联系人及联系电话等；</w:t>
      </w:r>
    </w:p>
    <w:p>
      <w:pPr>
        <w:ind w:firstLine="480"/>
        <w:rPr>
          <w:color w:val="auto"/>
          <w:highlight w:val="none"/>
        </w:rPr>
      </w:pPr>
      <w:r>
        <w:rPr>
          <w:color w:val="auto"/>
          <w:highlight w:val="none"/>
        </w:rPr>
        <w:t>(2)质疑项目名称及编号、具体明确的质疑事项和与质疑事项相关的请求；</w:t>
      </w:r>
    </w:p>
    <w:p>
      <w:pPr>
        <w:ind w:firstLine="480"/>
        <w:rPr>
          <w:color w:val="auto"/>
          <w:highlight w:val="none"/>
        </w:rPr>
      </w:pPr>
      <w:r>
        <w:rPr>
          <w:color w:val="auto"/>
          <w:highlight w:val="none"/>
        </w:rPr>
        <w:t>(3)认为采购文件、采购过程、中标和成交结果使自己的合法权益受到损害的法律依据、事实依据、相关证明材料及证据来源；</w:t>
      </w:r>
    </w:p>
    <w:p>
      <w:pPr>
        <w:ind w:firstLine="480"/>
        <w:rPr>
          <w:color w:val="auto"/>
          <w:highlight w:val="none"/>
        </w:rPr>
      </w:pPr>
      <w:r>
        <w:rPr>
          <w:color w:val="auto"/>
          <w:highlight w:val="none"/>
        </w:rPr>
        <w:t>(4)提出质疑的日期。</w:t>
      </w:r>
    </w:p>
    <w:p>
      <w:pPr>
        <w:ind w:firstLine="480"/>
        <w:rPr>
          <w:color w:val="auto"/>
          <w:highlight w:val="none"/>
        </w:rPr>
      </w:pPr>
      <w:r>
        <w:rPr>
          <w:color w:val="auto"/>
          <w:highlight w:val="none"/>
        </w:rPr>
        <w:t>2</w:t>
      </w:r>
      <w:r>
        <w:rPr>
          <w:rFonts w:hint="eastAsia"/>
          <w:color w:val="auto"/>
          <w:highlight w:val="none"/>
          <w:lang w:val="en-US" w:eastAsia="zh-CN"/>
        </w:rPr>
        <w:t>1</w:t>
      </w:r>
      <w:r>
        <w:rPr>
          <w:color w:val="auto"/>
          <w:highlight w:val="none"/>
        </w:rPr>
        <w:t>.3 质疑函应当署名。质疑供应商为自然人的，应当由本人签字；质疑供应商为法人或者其他组织的，应当由法定代表人、主要负责人，或者其授权代表签字或者盖章，并加盖公章。</w:t>
      </w:r>
    </w:p>
    <w:p>
      <w:pPr>
        <w:ind w:firstLine="480"/>
        <w:rPr>
          <w:color w:val="auto"/>
          <w:highlight w:val="none"/>
        </w:rPr>
      </w:pPr>
      <w:r>
        <w:rPr>
          <w:color w:val="auto"/>
          <w:highlight w:val="none"/>
        </w:rPr>
        <w:t>2</w:t>
      </w:r>
      <w:r>
        <w:rPr>
          <w:rFonts w:hint="eastAsia"/>
          <w:color w:val="auto"/>
          <w:highlight w:val="none"/>
          <w:lang w:val="en-US" w:eastAsia="zh-CN"/>
        </w:rPr>
        <w:t>1</w:t>
      </w:r>
      <w:r>
        <w:rPr>
          <w:color w:val="auto"/>
          <w:highlight w:val="none"/>
        </w:rPr>
        <w:t>.4以联合体形式参加政府采购活动的，其质疑应当由联合体成员委托主体提出。</w:t>
      </w:r>
    </w:p>
    <w:p>
      <w:pPr>
        <w:ind w:firstLine="480"/>
        <w:rPr>
          <w:color w:val="auto"/>
          <w:highlight w:val="none"/>
        </w:rPr>
      </w:pPr>
      <w:r>
        <w:rPr>
          <w:color w:val="auto"/>
          <w:highlight w:val="none"/>
        </w:rPr>
        <w:t>2</w:t>
      </w:r>
      <w:r>
        <w:rPr>
          <w:rFonts w:hint="eastAsia"/>
          <w:color w:val="auto"/>
          <w:highlight w:val="none"/>
          <w:lang w:val="en-US" w:eastAsia="zh-CN"/>
        </w:rPr>
        <w:t>1</w:t>
      </w:r>
      <w:r>
        <w:rPr>
          <w:color w:val="auto"/>
          <w:highlight w:val="none"/>
        </w:rPr>
        <w:t>.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rPr>
          <w:color w:val="auto"/>
          <w:highlight w:val="none"/>
        </w:rPr>
      </w:pPr>
      <w:r>
        <w:rPr>
          <w:color w:val="auto"/>
          <w:highlight w:val="none"/>
        </w:rPr>
        <w:t>2</w:t>
      </w:r>
      <w:r>
        <w:rPr>
          <w:rFonts w:hint="eastAsia"/>
          <w:color w:val="auto"/>
          <w:highlight w:val="none"/>
          <w:lang w:val="en-US" w:eastAsia="zh-CN"/>
        </w:rPr>
        <w:t>1</w:t>
      </w:r>
      <w:r>
        <w:rPr>
          <w:color w:val="auto"/>
          <w:highlight w:val="none"/>
        </w:rPr>
        <w:t>.6质疑联系方式如下：</w:t>
      </w:r>
    </w:p>
    <w:p>
      <w:pPr>
        <w:ind w:firstLine="480"/>
        <w:rPr>
          <w:color w:val="auto"/>
          <w:highlight w:val="none"/>
        </w:rPr>
      </w:pPr>
      <w:r>
        <w:rPr>
          <w:color w:val="auto"/>
          <w:highlight w:val="none"/>
        </w:rPr>
        <w:t>质疑联系人：叶先生</w:t>
      </w:r>
    </w:p>
    <w:p>
      <w:pPr>
        <w:ind w:firstLine="480"/>
        <w:rPr>
          <w:color w:val="auto"/>
          <w:highlight w:val="none"/>
        </w:rPr>
      </w:pPr>
      <w:r>
        <w:rPr>
          <w:color w:val="auto"/>
          <w:highlight w:val="none"/>
        </w:rPr>
        <w:t>电话：0769-21661806</w:t>
      </w:r>
    </w:p>
    <w:p>
      <w:pPr>
        <w:ind w:firstLine="480"/>
        <w:rPr>
          <w:color w:val="auto"/>
          <w:highlight w:val="none"/>
        </w:rPr>
      </w:pPr>
      <w:r>
        <w:rPr>
          <w:color w:val="auto"/>
          <w:highlight w:val="none"/>
        </w:rPr>
        <w:t>传真：0769-21661806</w:t>
      </w:r>
    </w:p>
    <w:p>
      <w:pPr>
        <w:ind w:firstLine="480"/>
        <w:rPr>
          <w:color w:val="auto"/>
          <w:highlight w:val="none"/>
        </w:rPr>
      </w:pPr>
      <w:r>
        <w:rPr>
          <w:color w:val="auto"/>
          <w:highlight w:val="none"/>
        </w:rPr>
        <w:t>邮箱：wjzbs@foxmail.com</w:t>
      </w:r>
    </w:p>
    <w:p>
      <w:pPr>
        <w:ind w:firstLine="480"/>
        <w:rPr>
          <w:color w:val="auto"/>
          <w:highlight w:val="none"/>
        </w:rPr>
      </w:pPr>
      <w:r>
        <w:rPr>
          <w:color w:val="auto"/>
          <w:highlight w:val="none"/>
        </w:rPr>
        <w:t>地址：广东省东莞市万江街道行政办事中心3号楼2楼办公室</w:t>
      </w:r>
    </w:p>
    <w:p>
      <w:pPr>
        <w:ind w:firstLine="480"/>
        <w:rPr>
          <w:color w:val="auto"/>
          <w:highlight w:val="none"/>
        </w:rPr>
      </w:pPr>
      <w:r>
        <w:rPr>
          <w:color w:val="auto"/>
          <w:highlight w:val="none"/>
        </w:rPr>
        <w:t>邮编：523000</w:t>
      </w:r>
    </w:p>
    <w:p>
      <w:pPr>
        <w:rPr>
          <w:color w:val="auto"/>
          <w:highlight w:val="none"/>
        </w:rPr>
      </w:pPr>
      <w:r>
        <w:rPr>
          <w:rFonts w:hint="eastAsia"/>
          <w:b/>
          <w:color w:val="auto"/>
          <w:sz w:val="24"/>
          <w:highlight w:val="none"/>
          <w:lang w:val="en-US" w:eastAsia="zh-CN"/>
        </w:rPr>
        <w:t>22</w:t>
      </w:r>
      <w:r>
        <w:rPr>
          <w:b/>
          <w:color w:val="auto"/>
          <w:sz w:val="24"/>
          <w:highlight w:val="none"/>
        </w:rPr>
        <w:t>.投诉</w:t>
      </w:r>
    </w:p>
    <w:p>
      <w:pPr>
        <w:ind w:firstLine="480"/>
        <w:rPr>
          <w:color w:val="auto"/>
          <w:highlight w:val="none"/>
        </w:rPr>
      </w:pPr>
      <w:r>
        <w:rPr>
          <w:color w:val="auto"/>
          <w:highlight w:val="none"/>
        </w:rPr>
        <w:t>质疑人对采购人或采购代理机构的质疑答复不满意或在规定时间内未得到答复的，可以在答复期满后15个工作日内，按如下联系方式向本项目监督管理部门提起投诉。</w:t>
      </w:r>
    </w:p>
    <w:p>
      <w:pPr>
        <w:ind w:firstLine="480"/>
        <w:rPr>
          <w:color w:val="auto"/>
          <w:highlight w:val="none"/>
        </w:rPr>
      </w:pPr>
    </w:p>
    <w:p>
      <w:pPr>
        <w:rPr>
          <w:rFonts w:hint="eastAsia"/>
          <w:color w:val="auto"/>
          <w:highlight w:val="none"/>
        </w:rPr>
      </w:pPr>
      <w:r>
        <w:rPr>
          <w:rFonts w:hint="eastAsia"/>
          <w:color w:val="auto"/>
          <w:highlight w:val="none"/>
        </w:rPr>
        <w:t>政府采购监督管理部门名称：东莞市财政局万江分局</w:t>
      </w:r>
    </w:p>
    <w:p>
      <w:pPr>
        <w:rPr>
          <w:rFonts w:hint="eastAsia"/>
          <w:color w:val="auto"/>
          <w:highlight w:val="none"/>
        </w:rPr>
      </w:pPr>
      <w:r>
        <w:rPr>
          <w:rFonts w:hint="eastAsia"/>
          <w:color w:val="auto"/>
          <w:highlight w:val="none"/>
        </w:rPr>
        <w:t>地  址：东莞市万江街道行政办事中心2号楼4楼办公室</w:t>
      </w:r>
    </w:p>
    <w:p>
      <w:pPr>
        <w:rPr>
          <w:rFonts w:hint="eastAsia"/>
          <w:color w:val="auto"/>
          <w:highlight w:val="none"/>
        </w:rPr>
      </w:pPr>
      <w:r>
        <w:rPr>
          <w:rFonts w:hint="eastAsia"/>
          <w:color w:val="auto"/>
          <w:highlight w:val="none"/>
        </w:rPr>
        <w:t>电  话：0769-22709778</w:t>
      </w:r>
    </w:p>
    <w:p>
      <w:pPr>
        <w:rPr>
          <w:rFonts w:hint="eastAsia"/>
          <w:color w:val="auto"/>
          <w:highlight w:val="none"/>
        </w:rPr>
      </w:pPr>
      <w:r>
        <w:rPr>
          <w:rFonts w:hint="eastAsia"/>
          <w:color w:val="auto"/>
          <w:highlight w:val="none"/>
        </w:rPr>
        <w:t>邮  编：523000</w:t>
      </w:r>
    </w:p>
    <w:p>
      <w:pPr>
        <w:rPr>
          <w:color w:val="auto"/>
          <w:highlight w:val="none"/>
        </w:rPr>
      </w:pPr>
      <w:r>
        <w:rPr>
          <w:rFonts w:hint="eastAsia"/>
          <w:color w:val="auto"/>
          <w:highlight w:val="none"/>
        </w:rPr>
        <w:t>传  真：-</w:t>
      </w:r>
    </w:p>
    <w:p>
      <w:pPr>
        <w:rPr>
          <w:color w:val="auto"/>
          <w:highlight w:val="none"/>
        </w:rPr>
      </w:pPr>
      <w:r>
        <w:rPr>
          <w:b/>
          <w:color w:val="auto"/>
          <w:sz w:val="28"/>
          <w:highlight w:val="none"/>
        </w:rPr>
        <w:t>八、合同签订和履行</w:t>
      </w:r>
    </w:p>
    <w:p>
      <w:pPr>
        <w:rPr>
          <w:color w:val="auto"/>
          <w:highlight w:val="none"/>
        </w:rPr>
      </w:pPr>
      <w:r>
        <w:rPr>
          <w:rFonts w:hint="eastAsia"/>
          <w:b/>
          <w:color w:val="auto"/>
          <w:sz w:val="24"/>
          <w:highlight w:val="none"/>
          <w:lang w:val="en-US" w:eastAsia="zh-CN"/>
        </w:rPr>
        <w:t>23</w:t>
      </w:r>
      <w:r>
        <w:rPr>
          <w:b/>
          <w:color w:val="auto"/>
          <w:sz w:val="24"/>
          <w:highlight w:val="none"/>
        </w:rPr>
        <w:t>.合同签订</w:t>
      </w:r>
    </w:p>
    <w:p>
      <w:pPr>
        <w:ind w:firstLine="480"/>
        <w:rPr>
          <w:rFonts w:hint="eastAsia"/>
          <w:color w:val="auto"/>
          <w:highlight w:val="none"/>
        </w:rPr>
      </w:pPr>
      <w:r>
        <w:rPr>
          <w:rFonts w:hint="eastAsia"/>
          <w:color w:val="auto"/>
          <w:highlight w:val="none"/>
          <w:lang w:val="en-US" w:eastAsia="zh-CN"/>
        </w:rPr>
        <w:t>23.1</w:t>
      </w:r>
      <w:r>
        <w:rPr>
          <w:rFonts w:hint="eastAsia"/>
          <w:color w:val="auto"/>
          <w:highlight w:val="none"/>
        </w:rPr>
        <w:t>采购人应当自中标通知书发出之日起30日内，按照招标文件和中标人投标文件的规定，与中标人签订书面合同。所签订的合同不得对招标文件确定的事项和中标人投标文件作实质性修改。</w:t>
      </w:r>
    </w:p>
    <w:p>
      <w:pPr>
        <w:ind w:firstLine="480"/>
        <w:rPr>
          <w:rFonts w:hint="eastAsia"/>
          <w:color w:val="auto"/>
          <w:highlight w:val="none"/>
        </w:rPr>
      </w:pPr>
      <w:r>
        <w:rPr>
          <w:rFonts w:hint="eastAsia"/>
          <w:color w:val="auto"/>
          <w:highlight w:val="none"/>
        </w:rPr>
        <w:t>采购人不得向中标人提出任何不合理的要求作为签订合同的条件。</w:t>
      </w:r>
    </w:p>
    <w:p>
      <w:pPr>
        <w:ind w:firstLine="480"/>
        <w:rPr>
          <w:rFonts w:hint="eastAsia"/>
          <w:color w:val="auto"/>
          <w:highlight w:val="none"/>
        </w:rPr>
      </w:pPr>
      <w:r>
        <w:rPr>
          <w:rFonts w:hint="eastAsia"/>
          <w:color w:val="auto"/>
          <w:highlight w:val="none"/>
          <w:lang w:val="en-US" w:eastAsia="zh-CN"/>
        </w:rPr>
        <w:t>23.</w:t>
      </w:r>
      <w:r>
        <w:rPr>
          <w:rFonts w:hint="eastAsia"/>
          <w:color w:val="auto"/>
          <w:highlight w:val="none"/>
        </w:rPr>
        <w:t>2 采购人与中标人应当根据合同的约定依法履行合同义务。</w:t>
      </w:r>
    </w:p>
    <w:p>
      <w:pPr>
        <w:ind w:firstLine="480"/>
        <w:rPr>
          <w:color w:val="auto"/>
          <w:highlight w:val="none"/>
        </w:rPr>
      </w:pPr>
      <w:r>
        <w:rPr>
          <w:rFonts w:hint="eastAsia"/>
          <w:color w:val="auto"/>
          <w:highlight w:val="none"/>
        </w:rPr>
        <w:t>政府采购合同的履行、违约责任和解决争议的方法等适用《中华人民共和国合同法》。</w:t>
      </w:r>
    </w:p>
    <w:p>
      <w:pPr>
        <w:rPr>
          <w:color w:val="auto"/>
          <w:highlight w:val="none"/>
        </w:rPr>
      </w:pPr>
      <w:r>
        <w:rPr>
          <w:b/>
          <w:color w:val="auto"/>
          <w:sz w:val="24"/>
          <w:highlight w:val="none"/>
        </w:rPr>
        <w:t>2</w:t>
      </w:r>
      <w:r>
        <w:rPr>
          <w:rFonts w:hint="eastAsia"/>
          <w:b/>
          <w:color w:val="auto"/>
          <w:sz w:val="24"/>
          <w:highlight w:val="none"/>
          <w:lang w:val="en-US" w:eastAsia="zh-CN"/>
        </w:rPr>
        <w:t>4</w:t>
      </w:r>
      <w:r>
        <w:rPr>
          <w:b/>
          <w:color w:val="auto"/>
          <w:sz w:val="24"/>
          <w:highlight w:val="none"/>
        </w:rPr>
        <w:t>.合同的履行</w:t>
      </w:r>
    </w:p>
    <w:p>
      <w:pPr>
        <w:ind w:firstLine="480"/>
        <w:rPr>
          <w:color w:val="auto"/>
          <w:highlight w:val="none"/>
        </w:rPr>
      </w:pPr>
      <w:r>
        <w:rPr>
          <w:color w:val="auto"/>
          <w:highlight w:val="none"/>
        </w:rPr>
        <w:t>2</w:t>
      </w:r>
      <w:r>
        <w:rPr>
          <w:rFonts w:hint="eastAsia"/>
          <w:color w:val="auto"/>
          <w:highlight w:val="none"/>
          <w:lang w:val="en-US" w:eastAsia="zh-CN"/>
        </w:rPr>
        <w:t>4</w:t>
      </w:r>
      <w:r>
        <w:rPr>
          <w:color w:val="auto"/>
          <w:highlight w:val="none"/>
        </w:rPr>
        <w:t>.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rPr>
          <w:color w:val="auto"/>
          <w:highlight w:val="none"/>
        </w:rPr>
      </w:pPr>
      <w:r>
        <w:rPr>
          <w:color w:val="auto"/>
          <w:highlight w:val="none"/>
        </w:rPr>
        <w:t>2</w:t>
      </w:r>
      <w:r>
        <w:rPr>
          <w:rFonts w:hint="eastAsia"/>
          <w:color w:val="auto"/>
          <w:highlight w:val="none"/>
          <w:lang w:val="en-US" w:eastAsia="zh-CN"/>
        </w:rPr>
        <w:t>4</w:t>
      </w:r>
      <w:r>
        <w:rPr>
          <w:color w:val="auto"/>
          <w:highlight w:val="none"/>
        </w:rPr>
        <w:t>.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rPr>
          <w:color w:val="auto"/>
          <w:highlight w:val="none"/>
        </w:rPr>
      </w:pPr>
      <w:r>
        <w:rPr>
          <w:rFonts w:hint="eastAsia" w:ascii="仿宋" w:hAnsi="仿宋" w:eastAsia="仿宋" w:cs="仿宋"/>
          <w:b/>
          <w:bCs/>
          <w:color w:val="auto"/>
          <w:sz w:val="24"/>
          <w:highlight w:val="none"/>
        </w:rPr>
        <w:t>附件：</w:t>
      </w:r>
      <w:r>
        <w:rPr>
          <w:color w:val="auto"/>
          <w:highlight w:val="none"/>
        </w:rPr>
        <w:t>（以下格式文件由供应商根据需要选用）</w:t>
      </w:r>
    </w:p>
    <w:p>
      <w:pPr>
        <w:ind w:firstLine="480"/>
        <w:rPr>
          <w:color w:val="auto"/>
          <w:highlight w:val="none"/>
        </w:rPr>
      </w:pPr>
    </w:p>
    <w:p>
      <w:pPr>
        <w:rPr>
          <w:color w:val="auto"/>
          <w:highlight w:val="none"/>
        </w:rPr>
      </w:pPr>
      <w:r>
        <w:rPr>
          <w:rFonts w:hint="eastAsia" w:ascii="仿宋" w:hAnsi="仿宋" w:eastAsia="仿宋" w:cs="仿宋"/>
          <w:b/>
          <w:bCs/>
          <w:color w:val="auto"/>
          <w:sz w:val="24"/>
          <w:highlight w:val="none"/>
        </w:rPr>
        <w:t>附件：</w:t>
      </w:r>
      <w:r>
        <w:rPr>
          <w:color w:val="auto"/>
          <w:highlight w:val="none"/>
        </w:rPr>
        <w:t>（以下格式文件由供应商根据需要选用）</w:t>
      </w:r>
    </w:p>
    <w:p>
      <w:pPr>
        <w:ind w:firstLine="480"/>
        <w:rPr>
          <w:color w:val="auto"/>
          <w:highlight w:val="none"/>
        </w:rPr>
      </w:pPr>
    </w:p>
    <w:p>
      <w:pPr>
        <w:jc w:val="center"/>
        <w:rPr>
          <w:color w:val="auto"/>
          <w:highlight w:val="none"/>
        </w:rPr>
      </w:pPr>
      <w:r>
        <w:rPr>
          <w:b/>
          <w:color w:val="auto"/>
          <w:sz w:val="24"/>
          <w:highlight w:val="none"/>
        </w:rPr>
        <w:t>政府采购投标（响应）担保函</w:t>
      </w:r>
    </w:p>
    <w:p>
      <w:pPr>
        <w:rPr>
          <w:color w:val="auto"/>
          <w:highlight w:val="none"/>
        </w:rPr>
      </w:pPr>
      <w:r>
        <w:rPr>
          <w:color w:val="auto"/>
          <w:highlight w:val="none"/>
        </w:rPr>
        <w:t>编号：【 】号</w:t>
      </w:r>
    </w:p>
    <w:p>
      <w:pPr>
        <w:ind w:firstLine="480"/>
        <w:rPr>
          <w:color w:val="auto"/>
          <w:highlight w:val="none"/>
        </w:rPr>
      </w:pPr>
      <w:r>
        <w:rPr>
          <w:color w:val="auto"/>
          <w:highlight w:val="none"/>
        </w:rPr>
        <w:t>（采购人）：</w:t>
      </w:r>
    </w:p>
    <w:p>
      <w:pPr>
        <w:ind w:firstLine="480"/>
        <w:rPr>
          <w:color w:val="auto"/>
          <w:highlight w:val="none"/>
        </w:rPr>
      </w:pPr>
      <w:r>
        <w:rPr>
          <w:color w:val="auto"/>
          <w:highlight w:val="none"/>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rPr>
          <w:color w:val="auto"/>
          <w:highlight w:val="none"/>
        </w:rPr>
      </w:pPr>
      <w:r>
        <w:rPr>
          <w:color w:val="auto"/>
          <w:highlight w:val="none"/>
        </w:rPr>
        <w:t>一、保险责任的情形及保证金额</w:t>
      </w:r>
    </w:p>
    <w:p>
      <w:pPr>
        <w:ind w:firstLine="480"/>
        <w:rPr>
          <w:color w:val="auto"/>
          <w:highlight w:val="none"/>
        </w:rPr>
      </w:pPr>
      <w:r>
        <w:rPr>
          <w:color w:val="auto"/>
          <w:highlight w:val="none"/>
        </w:rPr>
        <w:t>（一）在投标（响应）人出现下列情形之一时，我方承担保险责任：</w:t>
      </w:r>
    </w:p>
    <w:p>
      <w:pPr>
        <w:ind w:firstLine="480"/>
        <w:rPr>
          <w:color w:val="auto"/>
          <w:highlight w:val="none"/>
        </w:rPr>
      </w:pPr>
      <w:r>
        <w:rPr>
          <w:color w:val="auto"/>
          <w:highlight w:val="none"/>
        </w:rPr>
        <w:t>1.中标（成交）后投标（响应）人无正当理由不与采购人签订《政府采购合同》；</w:t>
      </w:r>
    </w:p>
    <w:p>
      <w:pPr>
        <w:ind w:firstLine="480"/>
        <w:rPr>
          <w:color w:val="auto"/>
          <w:highlight w:val="none"/>
        </w:rPr>
      </w:pPr>
      <w:r>
        <w:rPr>
          <w:color w:val="auto"/>
          <w:highlight w:val="none"/>
        </w:rPr>
        <w:t>2.采购文件规定的投标（响应）人应当缴纳保证金的其他情形。</w:t>
      </w:r>
    </w:p>
    <w:p>
      <w:pPr>
        <w:ind w:firstLine="480"/>
        <w:rPr>
          <w:color w:val="auto"/>
          <w:highlight w:val="none"/>
        </w:rPr>
      </w:pPr>
      <w:r>
        <w:rPr>
          <w:color w:val="auto"/>
          <w:highlight w:val="none"/>
        </w:rPr>
        <w:t>（二）我方承担保险责任的最高金额为人民币__________元（大写）即本项目的投标（响应）保证金金额。</w:t>
      </w:r>
    </w:p>
    <w:p>
      <w:pPr>
        <w:ind w:firstLine="480"/>
        <w:rPr>
          <w:color w:val="auto"/>
          <w:highlight w:val="none"/>
        </w:rPr>
      </w:pPr>
      <w:r>
        <w:rPr>
          <w:color w:val="auto"/>
          <w:highlight w:val="none"/>
        </w:rPr>
        <w:t>二、保证的方式及保证期间</w:t>
      </w:r>
    </w:p>
    <w:p>
      <w:pPr>
        <w:ind w:firstLine="480"/>
        <w:rPr>
          <w:color w:val="auto"/>
          <w:highlight w:val="none"/>
        </w:rPr>
      </w:pPr>
      <w:r>
        <w:rPr>
          <w:color w:val="auto"/>
          <w:highlight w:val="none"/>
        </w:rPr>
        <w:t>我方保证的方式为：连带责任保证。</w:t>
      </w:r>
    </w:p>
    <w:p>
      <w:pPr>
        <w:ind w:firstLine="480"/>
        <w:rPr>
          <w:color w:val="auto"/>
          <w:highlight w:val="none"/>
        </w:rPr>
      </w:pPr>
      <w:r>
        <w:rPr>
          <w:color w:val="auto"/>
          <w:highlight w:val="none"/>
        </w:rPr>
        <w:t>我方的保证期间为：本保险凭证自__年__月__日起生效，有效期至开标日后的90天内。</w:t>
      </w:r>
    </w:p>
    <w:p>
      <w:pPr>
        <w:ind w:firstLine="480"/>
        <w:rPr>
          <w:color w:val="auto"/>
          <w:highlight w:val="none"/>
        </w:rPr>
      </w:pPr>
      <w:r>
        <w:rPr>
          <w:color w:val="auto"/>
          <w:highlight w:val="none"/>
        </w:rPr>
        <w:t>三、承担保证责任的程序</w:t>
      </w:r>
    </w:p>
    <w:p>
      <w:pPr>
        <w:ind w:firstLine="480"/>
        <w:rPr>
          <w:color w:val="auto"/>
          <w:highlight w:val="none"/>
        </w:rPr>
      </w:pPr>
      <w:r>
        <w:rPr>
          <w:color w:val="auto"/>
          <w:highlight w:val="none"/>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rPr>
          <w:color w:val="auto"/>
          <w:highlight w:val="none"/>
        </w:rPr>
      </w:pPr>
      <w:r>
        <w:rPr>
          <w:color w:val="auto"/>
          <w:highlight w:val="none"/>
        </w:rPr>
        <w:t>2.我方在收到索赔通知及相关证明材料后，在15个工作日内进行审查，符合应承担保证责任情形的，我方按照你方的要求代投标（响应）人向你方支付相应的索赔款项。</w:t>
      </w:r>
    </w:p>
    <w:p>
      <w:pPr>
        <w:ind w:firstLine="480"/>
        <w:rPr>
          <w:color w:val="auto"/>
          <w:highlight w:val="none"/>
        </w:rPr>
      </w:pPr>
      <w:r>
        <w:rPr>
          <w:color w:val="auto"/>
          <w:highlight w:val="none"/>
        </w:rPr>
        <w:t>四、保证责任的终止</w:t>
      </w:r>
    </w:p>
    <w:p>
      <w:pPr>
        <w:ind w:firstLine="480"/>
        <w:rPr>
          <w:color w:val="auto"/>
          <w:highlight w:val="none"/>
        </w:rPr>
      </w:pPr>
      <w:r>
        <w:rPr>
          <w:color w:val="auto"/>
          <w:highlight w:val="none"/>
        </w:rPr>
        <w:t>1.保证期间届满，你方未向我方书面主张保证责任的，自保证期间届满次日起，我方保证责任自动终止。</w:t>
      </w:r>
    </w:p>
    <w:p>
      <w:pPr>
        <w:ind w:firstLine="480"/>
        <w:rPr>
          <w:color w:val="auto"/>
          <w:highlight w:val="none"/>
        </w:rPr>
      </w:pPr>
      <w:r>
        <w:rPr>
          <w:color w:val="auto"/>
          <w:highlight w:val="none"/>
        </w:rPr>
        <w:t>2.我方按照本保函向你方履行了保证责任后，自我方向你方支付款项（支付款项从我方账户划出）之日起，保证责任终止。</w:t>
      </w:r>
    </w:p>
    <w:p>
      <w:pPr>
        <w:ind w:firstLine="480"/>
        <w:rPr>
          <w:color w:val="auto"/>
          <w:highlight w:val="none"/>
        </w:rPr>
      </w:pPr>
      <w:r>
        <w:rPr>
          <w:color w:val="auto"/>
          <w:highlight w:val="none"/>
        </w:rPr>
        <w:t>3.按照法律法规的规定或出现我方保证责任终止的其它情形的，我方在本保函项下的保证责任终止。</w:t>
      </w:r>
    </w:p>
    <w:p>
      <w:pPr>
        <w:ind w:firstLine="480"/>
        <w:rPr>
          <w:color w:val="auto"/>
          <w:highlight w:val="none"/>
        </w:rPr>
      </w:pPr>
      <w:r>
        <w:rPr>
          <w:color w:val="auto"/>
          <w:highlight w:val="none"/>
        </w:rPr>
        <w:t>五、免责条款</w:t>
      </w:r>
    </w:p>
    <w:p>
      <w:pPr>
        <w:ind w:firstLine="480"/>
        <w:rPr>
          <w:color w:val="auto"/>
          <w:highlight w:val="none"/>
        </w:rPr>
      </w:pPr>
      <w:r>
        <w:rPr>
          <w:color w:val="auto"/>
          <w:highlight w:val="none"/>
        </w:rPr>
        <w:t>1.依照法律规定或你方与投标（响应）人的另行约定，全部或者部分免除投标（响应）人投标（响应）保证金义务时，我方亦免除相应的保证责任。</w:t>
      </w:r>
    </w:p>
    <w:p>
      <w:pPr>
        <w:ind w:firstLine="480"/>
        <w:rPr>
          <w:color w:val="auto"/>
          <w:highlight w:val="none"/>
        </w:rPr>
      </w:pPr>
      <w:r>
        <w:rPr>
          <w:color w:val="auto"/>
          <w:highlight w:val="none"/>
        </w:rPr>
        <w:t>2.因你方原因致使投标（响应）人发生本保函第一条第（一）款约定情形的，我方不承担保证责任。</w:t>
      </w:r>
    </w:p>
    <w:p>
      <w:pPr>
        <w:ind w:firstLine="480"/>
        <w:rPr>
          <w:color w:val="auto"/>
          <w:highlight w:val="none"/>
        </w:rPr>
      </w:pPr>
      <w:r>
        <w:rPr>
          <w:color w:val="auto"/>
          <w:highlight w:val="none"/>
        </w:rPr>
        <w:t>3.因不可抗力造成投标（响应）人发生本保函第一条约定情形的，我方不承担保证责任。</w:t>
      </w:r>
    </w:p>
    <w:p>
      <w:pPr>
        <w:ind w:firstLine="480"/>
        <w:rPr>
          <w:color w:val="auto"/>
          <w:highlight w:val="none"/>
        </w:rPr>
      </w:pPr>
      <w:r>
        <w:rPr>
          <w:color w:val="auto"/>
          <w:highlight w:val="none"/>
        </w:rPr>
        <w:t>4.你方或其他有权机关对采购文件进行任何澄清或修改，加重我方保证责任的，我方对加重部分不承担保证责任，但该澄清或修改经我方事先书面同意的除外。</w:t>
      </w:r>
    </w:p>
    <w:p>
      <w:pPr>
        <w:ind w:firstLine="480"/>
        <w:rPr>
          <w:color w:val="auto"/>
          <w:highlight w:val="none"/>
        </w:rPr>
      </w:pPr>
      <w:r>
        <w:rPr>
          <w:color w:val="auto"/>
          <w:highlight w:val="none"/>
        </w:rPr>
        <w:t>六、争议的解决</w:t>
      </w:r>
    </w:p>
    <w:p>
      <w:pPr>
        <w:ind w:firstLine="480"/>
        <w:rPr>
          <w:color w:val="auto"/>
          <w:highlight w:val="none"/>
        </w:rPr>
      </w:pPr>
      <w:r>
        <w:rPr>
          <w:color w:val="auto"/>
          <w:highlight w:val="none"/>
        </w:rPr>
        <w:t>因本保函发生的纠纷，由你我双方协商解决，协商不成的，通过诉讼程序解决，诉讼管辖地法院为 法院。</w:t>
      </w:r>
    </w:p>
    <w:p>
      <w:pPr>
        <w:ind w:firstLine="480"/>
        <w:rPr>
          <w:color w:val="auto"/>
          <w:highlight w:val="none"/>
        </w:rPr>
      </w:pPr>
      <w:r>
        <w:rPr>
          <w:color w:val="auto"/>
          <w:highlight w:val="none"/>
        </w:rPr>
        <w:t>七、保函的生效</w:t>
      </w:r>
    </w:p>
    <w:p>
      <w:pPr>
        <w:ind w:firstLine="480"/>
        <w:rPr>
          <w:color w:val="auto"/>
          <w:highlight w:val="none"/>
        </w:rPr>
      </w:pPr>
      <w:r>
        <w:rPr>
          <w:color w:val="auto"/>
          <w:highlight w:val="none"/>
        </w:rPr>
        <w:t>本保函自我方加盖公章之日起生效。</w:t>
      </w:r>
    </w:p>
    <w:p>
      <w:pPr>
        <w:ind w:firstLine="480"/>
        <w:rPr>
          <w:color w:val="auto"/>
          <w:highlight w:val="none"/>
        </w:rPr>
      </w:pPr>
    </w:p>
    <w:p>
      <w:pPr>
        <w:rPr>
          <w:color w:val="auto"/>
          <w:highlight w:val="none"/>
        </w:rPr>
      </w:pPr>
      <w:r>
        <w:rPr>
          <w:color w:val="auto"/>
          <w:highlight w:val="none"/>
        </w:rPr>
        <w:t>保证人：_______（公章）_______</w:t>
      </w:r>
    </w:p>
    <w:p>
      <w:pPr>
        <w:rPr>
          <w:color w:val="auto"/>
          <w:highlight w:val="none"/>
        </w:rPr>
      </w:pPr>
      <w:r>
        <w:rPr>
          <w:color w:val="auto"/>
          <w:highlight w:val="none"/>
        </w:rPr>
        <w:t>联系人：____________________</w:t>
      </w:r>
    </w:p>
    <w:p>
      <w:pPr>
        <w:rPr>
          <w:color w:val="auto"/>
          <w:highlight w:val="none"/>
        </w:rPr>
      </w:pPr>
      <w:r>
        <w:rPr>
          <w:color w:val="auto"/>
          <w:highlight w:val="none"/>
        </w:rPr>
        <w:t>联系电话：____________________</w:t>
      </w:r>
    </w:p>
    <w:p>
      <w:pPr>
        <w:rPr>
          <w:color w:val="auto"/>
          <w:highlight w:val="none"/>
        </w:rPr>
      </w:pPr>
      <w:r>
        <w:rPr>
          <w:color w:val="auto"/>
          <w:highlight w:val="none"/>
        </w:rPr>
        <w:t>___年___月___日</w:t>
      </w:r>
    </w:p>
    <w:p>
      <w:pPr>
        <w:ind w:firstLine="480"/>
        <w:rPr>
          <w:color w:val="auto"/>
          <w:highlight w:val="none"/>
        </w:rPr>
      </w:pPr>
    </w:p>
    <w:p>
      <w:pPr>
        <w:rPr>
          <w:color w:val="auto"/>
          <w:highlight w:val="none"/>
        </w:rPr>
      </w:pPr>
      <w:r>
        <w:rPr>
          <w:color w:val="auto"/>
          <w:highlight w:val="none"/>
        </w:rPr>
        <w:t xml:space="preserve"> </w:t>
      </w:r>
    </w:p>
    <w:p>
      <w:pPr>
        <w:rPr>
          <w:b/>
          <w:color w:val="auto"/>
          <w:sz w:val="36"/>
          <w:highlight w:val="none"/>
        </w:rPr>
      </w:pPr>
      <w:r>
        <w:rPr>
          <w:b/>
          <w:color w:val="auto"/>
          <w:sz w:val="36"/>
          <w:highlight w:val="none"/>
        </w:rPr>
        <w:br w:type="page"/>
      </w:r>
    </w:p>
    <w:p>
      <w:pPr>
        <w:jc w:val="center"/>
        <w:rPr>
          <w:color w:val="auto"/>
          <w:highlight w:val="none"/>
        </w:rPr>
      </w:pPr>
      <w:r>
        <w:rPr>
          <w:b/>
          <w:color w:val="auto"/>
          <w:sz w:val="36"/>
          <w:highlight w:val="none"/>
        </w:rPr>
        <w:t>第四章 评标</w:t>
      </w:r>
    </w:p>
    <w:p>
      <w:pPr>
        <w:rPr>
          <w:color w:val="auto"/>
          <w:highlight w:val="none"/>
        </w:rPr>
      </w:pPr>
      <w:r>
        <w:rPr>
          <w:b/>
          <w:color w:val="auto"/>
          <w:sz w:val="28"/>
          <w:highlight w:val="none"/>
        </w:rPr>
        <w:t>一、评标要求</w:t>
      </w:r>
    </w:p>
    <w:p>
      <w:pPr>
        <w:rPr>
          <w:color w:val="auto"/>
          <w:highlight w:val="none"/>
        </w:rPr>
      </w:pPr>
      <w:r>
        <w:rPr>
          <w:b/>
          <w:color w:val="auto"/>
          <w:sz w:val="24"/>
          <w:highlight w:val="none"/>
        </w:rPr>
        <w:t>1.评标方法</w:t>
      </w:r>
    </w:p>
    <w:p>
      <w:pPr>
        <w:rPr>
          <w:color w:val="auto"/>
          <w:highlight w:val="none"/>
        </w:rPr>
      </w:pPr>
      <w:r>
        <w:rPr>
          <w:color w:val="auto"/>
          <w:highlight w:val="none"/>
        </w:rPr>
        <w:t>采购包1：综合评分法,是指投标文件满足招标文件全部实质性要求，且按照评审因素的量化指标评审得分最高的投标人为中标候选人的评标方法。（最低报价不是中标的唯一依据。）</w:t>
      </w:r>
    </w:p>
    <w:p>
      <w:pPr>
        <w:rPr>
          <w:color w:val="auto"/>
          <w:highlight w:val="none"/>
        </w:rPr>
      </w:pPr>
    </w:p>
    <w:p>
      <w:pPr>
        <w:rPr>
          <w:color w:val="auto"/>
          <w:highlight w:val="none"/>
        </w:rPr>
      </w:pPr>
      <w:r>
        <w:rPr>
          <w:b/>
          <w:color w:val="auto"/>
          <w:sz w:val="24"/>
          <w:highlight w:val="none"/>
        </w:rPr>
        <w:t>2.评标原则</w:t>
      </w:r>
    </w:p>
    <w:p>
      <w:pPr>
        <w:ind w:firstLine="480"/>
        <w:rPr>
          <w:color w:val="auto"/>
          <w:highlight w:val="none"/>
        </w:rPr>
      </w:pPr>
      <w:r>
        <w:rPr>
          <w:color w:val="auto"/>
          <w:highlight w:val="none"/>
        </w:rPr>
        <w:t>2.1评标活动遵循公平、公正、科学和择优的原则，以招标文件和投标文件为评标的基本依据，并按照招标文件规定的评标方法和评标标准进行评标。</w:t>
      </w:r>
    </w:p>
    <w:p>
      <w:pPr>
        <w:ind w:firstLine="480"/>
        <w:rPr>
          <w:color w:val="auto"/>
          <w:highlight w:val="none"/>
        </w:rPr>
      </w:pPr>
      <w:r>
        <w:rPr>
          <w:color w:val="auto"/>
          <w:highlight w:val="none"/>
        </w:rPr>
        <w:t>2.2具体评标事项由评标委员会负责，并按招标文件的规定办法进行评审。</w:t>
      </w:r>
    </w:p>
    <w:p>
      <w:pPr>
        <w:ind w:firstLine="480"/>
        <w:rPr>
          <w:color w:val="auto"/>
          <w:highlight w:val="none"/>
        </w:rPr>
      </w:pPr>
      <w:r>
        <w:rPr>
          <w:color w:val="auto"/>
          <w:highlight w:val="none"/>
        </w:rPr>
        <w:t>2.3合格投标人不足须知前附表中约定的有效供应商家数的，不得评标。</w:t>
      </w:r>
    </w:p>
    <w:p>
      <w:pPr>
        <w:rPr>
          <w:color w:val="auto"/>
          <w:highlight w:val="none"/>
        </w:rPr>
      </w:pPr>
      <w:r>
        <w:rPr>
          <w:b/>
          <w:color w:val="auto"/>
          <w:sz w:val="24"/>
          <w:highlight w:val="none"/>
        </w:rPr>
        <w:t>3.评标委员会</w:t>
      </w:r>
    </w:p>
    <w:p>
      <w:pPr>
        <w:ind w:firstLine="480"/>
        <w:rPr>
          <w:color w:val="auto"/>
          <w:highlight w:val="none"/>
        </w:rPr>
      </w:pPr>
      <w:r>
        <w:rPr>
          <w:color w:val="auto"/>
          <w:highlight w:val="none"/>
        </w:rPr>
        <w:t>3.1评标委员会由采购人代表和评审专家组成，成员人数应当为5人及以上单数，其中评审专家不得少于成员总数的三分之二。</w:t>
      </w:r>
    </w:p>
    <w:p>
      <w:pPr>
        <w:ind w:firstLine="480"/>
        <w:rPr>
          <w:color w:val="auto"/>
          <w:highlight w:val="none"/>
        </w:rPr>
      </w:pPr>
      <w:r>
        <w:rPr>
          <w:color w:val="auto"/>
          <w:highlight w:val="none"/>
        </w:rPr>
        <w:t>3.2评标应遵守下列评标纪律：</w:t>
      </w:r>
    </w:p>
    <w:p>
      <w:pPr>
        <w:ind w:firstLine="480"/>
        <w:rPr>
          <w:color w:val="auto"/>
          <w:highlight w:val="none"/>
        </w:rPr>
      </w:pPr>
      <w:r>
        <w:rPr>
          <w:color w:val="auto"/>
          <w:highlight w:val="none"/>
        </w:rPr>
        <w:t>（1）评标情况不得私自外泄，有关信息由东莞市万江招投标服务所统一对外发布。</w:t>
      </w:r>
    </w:p>
    <w:p>
      <w:pPr>
        <w:ind w:firstLine="480"/>
        <w:rPr>
          <w:color w:val="auto"/>
          <w:highlight w:val="none"/>
        </w:rPr>
      </w:pPr>
      <w:r>
        <w:rPr>
          <w:color w:val="auto"/>
          <w:highlight w:val="none"/>
        </w:rPr>
        <w:t>（2）对东莞市万江招投标服务所或投标人提供的要求保密的资料，不得摘记翻印和外传。</w:t>
      </w:r>
    </w:p>
    <w:p>
      <w:pPr>
        <w:ind w:firstLine="480"/>
        <w:rPr>
          <w:color w:val="auto"/>
          <w:highlight w:val="none"/>
        </w:rPr>
      </w:pPr>
      <w:r>
        <w:rPr>
          <w:color w:val="auto"/>
          <w:highlight w:val="none"/>
        </w:rPr>
        <w:t>（3）不得收受投标供应商或有关人员的任何礼物，不得串联鼓动其他人袒护某投标人。若与投标人存在利害关系，则应主动声明并回避。</w:t>
      </w:r>
    </w:p>
    <w:p>
      <w:pPr>
        <w:ind w:firstLine="480"/>
        <w:rPr>
          <w:color w:val="auto"/>
          <w:highlight w:val="none"/>
        </w:rPr>
      </w:pPr>
      <w:r>
        <w:rPr>
          <w:color w:val="auto"/>
          <w:highlight w:val="none"/>
        </w:rPr>
        <w:t>（4）全体评委应按照招标文件规定进行评标，一切认定事项应查有实据且不得弄虚作假。</w:t>
      </w:r>
    </w:p>
    <w:p>
      <w:pPr>
        <w:ind w:firstLine="480"/>
        <w:rPr>
          <w:color w:val="auto"/>
          <w:highlight w:val="none"/>
        </w:rPr>
      </w:pPr>
      <w:r>
        <w:rPr>
          <w:color w:val="auto"/>
          <w:highlight w:val="none"/>
        </w:rPr>
        <w:t>（5）评标委员会各成员应当独立对每个投标人的投标文件进行评价，并对评价意见承担个人责任。评审过程中，不得发表倾向性言论。</w:t>
      </w:r>
    </w:p>
    <w:p>
      <w:pPr>
        <w:ind w:firstLine="480"/>
        <w:rPr>
          <w:color w:val="auto"/>
          <w:highlight w:val="none"/>
        </w:rPr>
      </w:pPr>
      <w:r>
        <w:rPr>
          <w:color w:val="auto"/>
          <w:highlight w:val="none"/>
        </w:rPr>
        <w:t>※对违反评标纪律的评委，将取消其评委资格，对评标工作造成严重损失者将予以通报批评乃至追究法律责任。</w:t>
      </w:r>
    </w:p>
    <w:p>
      <w:pPr>
        <w:rPr>
          <w:color w:val="auto"/>
          <w:highlight w:val="none"/>
        </w:rPr>
      </w:pPr>
      <w:r>
        <w:rPr>
          <w:b/>
          <w:color w:val="auto"/>
          <w:sz w:val="24"/>
          <w:highlight w:val="none"/>
        </w:rPr>
        <w:t>4.有下列情形之一的，视为投标人串通投标，其投标无效；</w:t>
      </w:r>
    </w:p>
    <w:p>
      <w:pPr>
        <w:ind w:firstLine="480"/>
        <w:rPr>
          <w:color w:val="auto"/>
          <w:highlight w:val="none"/>
        </w:rPr>
      </w:pPr>
      <w:r>
        <w:rPr>
          <w:color w:val="auto"/>
          <w:highlight w:val="none"/>
        </w:rPr>
        <w:t>4.1不同投标人的投标文件由同一单位或者个人编制；</w:t>
      </w:r>
    </w:p>
    <w:p>
      <w:pPr>
        <w:ind w:firstLine="480"/>
        <w:rPr>
          <w:color w:val="auto"/>
          <w:highlight w:val="none"/>
        </w:rPr>
      </w:pPr>
      <w:r>
        <w:rPr>
          <w:color w:val="auto"/>
          <w:highlight w:val="none"/>
        </w:rPr>
        <w:t>4.2不同投标人委托同一单位或者个人办理投标事宜；</w:t>
      </w:r>
    </w:p>
    <w:p>
      <w:pPr>
        <w:ind w:firstLine="480"/>
        <w:rPr>
          <w:color w:val="auto"/>
          <w:highlight w:val="none"/>
        </w:rPr>
      </w:pPr>
      <w:r>
        <w:rPr>
          <w:color w:val="auto"/>
          <w:highlight w:val="none"/>
        </w:rPr>
        <w:t>4.3不同投标人的投标文件载明的项目管理成员或者联系人员为同一人；</w:t>
      </w:r>
    </w:p>
    <w:p>
      <w:pPr>
        <w:ind w:firstLine="480"/>
        <w:rPr>
          <w:color w:val="auto"/>
          <w:highlight w:val="none"/>
        </w:rPr>
      </w:pPr>
      <w:r>
        <w:rPr>
          <w:color w:val="auto"/>
          <w:highlight w:val="none"/>
        </w:rPr>
        <w:t>4.4不同投标人的投标文件异常一致或者投标报价呈规律性差异；</w:t>
      </w:r>
    </w:p>
    <w:p>
      <w:pPr>
        <w:ind w:firstLine="480"/>
        <w:rPr>
          <w:color w:val="auto"/>
          <w:highlight w:val="none"/>
        </w:rPr>
      </w:pPr>
      <w:r>
        <w:rPr>
          <w:color w:val="auto"/>
          <w:highlight w:val="none"/>
        </w:rPr>
        <w:t>4.5不同投标人的投标文件相互混装；</w:t>
      </w:r>
    </w:p>
    <w:p>
      <w:pPr>
        <w:ind w:firstLine="480"/>
        <w:rPr>
          <w:color w:val="auto"/>
          <w:highlight w:val="none"/>
        </w:rPr>
      </w:pPr>
      <w:r>
        <w:rPr>
          <w:color w:val="auto"/>
          <w:highlight w:val="none"/>
        </w:rPr>
        <w:t>4.6不同投标人的投标保证金或购买电子保函支付款为从同一单位或个人的账户转出。</w:t>
      </w:r>
    </w:p>
    <w:p>
      <w:pPr>
        <w:ind w:firstLine="480"/>
        <w:rPr>
          <w:color w:val="auto"/>
          <w:highlight w:val="none"/>
        </w:rPr>
      </w:pPr>
      <w:r>
        <w:rPr>
          <w:color w:val="auto"/>
          <w:highlight w:val="none"/>
        </w:rPr>
        <w:t xml:space="preserve"> 说明：在评标过程中发现投标人有上述情形的，评标委员会应当认定其投标无效。同时，项目评审时被认定为串通投标的投标人不得参加该合同项下的采购活动。</w:t>
      </w:r>
    </w:p>
    <w:p>
      <w:pPr>
        <w:rPr>
          <w:color w:val="auto"/>
          <w:highlight w:val="none"/>
        </w:rPr>
      </w:pPr>
      <w:r>
        <w:rPr>
          <w:b/>
          <w:color w:val="auto"/>
          <w:sz w:val="24"/>
          <w:highlight w:val="none"/>
        </w:rPr>
        <w:t>5.投标无效的情形</w:t>
      </w:r>
    </w:p>
    <w:p>
      <w:pPr>
        <w:ind w:firstLine="480"/>
        <w:rPr>
          <w:color w:val="auto"/>
          <w:highlight w:val="none"/>
        </w:rPr>
      </w:pPr>
      <w:r>
        <w:rPr>
          <w:color w:val="auto"/>
          <w:highlight w:val="none"/>
        </w:rPr>
        <w:t>详见资格性审查、符合性审查和招标文件其他投标无效条款。</w:t>
      </w:r>
    </w:p>
    <w:p>
      <w:pPr>
        <w:rPr>
          <w:color w:val="auto"/>
          <w:highlight w:val="none"/>
        </w:rPr>
      </w:pPr>
      <w:r>
        <w:rPr>
          <w:b/>
          <w:color w:val="auto"/>
          <w:sz w:val="24"/>
          <w:highlight w:val="none"/>
        </w:rPr>
        <w:t>6.定标</w:t>
      </w:r>
    </w:p>
    <w:p>
      <w:pPr>
        <w:ind w:firstLine="480"/>
        <w:rPr>
          <w:color w:val="auto"/>
          <w:highlight w:val="none"/>
        </w:rPr>
      </w:pPr>
      <w:r>
        <w:rPr>
          <w:color w:val="auto"/>
          <w:highlight w:val="none"/>
        </w:rPr>
        <w:t>评标委员会按照招标文件确定的评标方法、步骤、标准，对投标文件进行评审。评标结束后，对投标人的评审名次进行排序，确定中标供应商或者推荐中标候选人。</w:t>
      </w:r>
    </w:p>
    <w:p>
      <w:pPr>
        <w:rPr>
          <w:color w:val="auto"/>
          <w:highlight w:val="none"/>
        </w:rPr>
      </w:pPr>
      <w:r>
        <w:rPr>
          <w:b/>
          <w:color w:val="auto"/>
          <w:sz w:val="24"/>
          <w:highlight w:val="none"/>
        </w:rPr>
        <w:t>7.价格修正</w:t>
      </w:r>
    </w:p>
    <w:p>
      <w:pPr>
        <w:ind w:firstLine="480"/>
        <w:rPr>
          <w:color w:val="auto"/>
          <w:highlight w:val="none"/>
        </w:rPr>
      </w:pPr>
      <w:r>
        <w:rPr>
          <w:color w:val="auto"/>
          <w:highlight w:val="none"/>
        </w:rPr>
        <w:t>对报价的计算错误按以下原则修正：</w:t>
      </w:r>
    </w:p>
    <w:p>
      <w:pPr>
        <w:ind w:firstLine="480"/>
        <w:rPr>
          <w:color w:val="auto"/>
          <w:highlight w:val="none"/>
        </w:rPr>
      </w:pPr>
      <w:r>
        <w:rPr>
          <w:color w:val="auto"/>
          <w:highlight w:val="none"/>
        </w:rPr>
        <w:t>（1）投标文件中开标一览表内容与投标文件中相应内容不一致的，以开标一览表为准；</w:t>
      </w:r>
    </w:p>
    <w:p>
      <w:pPr>
        <w:ind w:firstLine="480"/>
        <w:rPr>
          <w:color w:val="auto"/>
          <w:highlight w:val="none"/>
        </w:rPr>
      </w:pPr>
      <w:r>
        <w:rPr>
          <w:color w:val="auto"/>
          <w:highlight w:val="none"/>
        </w:rPr>
        <w:t>（2）大写金额和小写金额不一致的，以大写金额为准；</w:t>
      </w:r>
    </w:p>
    <w:p>
      <w:pPr>
        <w:ind w:firstLine="480"/>
        <w:rPr>
          <w:color w:val="auto"/>
          <w:highlight w:val="none"/>
        </w:rPr>
      </w:pPr>
      <w:r>
        <w:rPr>
          <w:color w:val="auto"/>
          <w:highlight w:val="none"/>
        </w:rPr>
        <w:t>（3）单价金额小数点或者百分比有明显错位的，以开标一览表的总价为准，并修改单价。</w:t>
      </w:r>
    </w:p>
    <w:p>
      <w:pPr>
        <w:ind w:firstLine="480"/>
        <w:rPr>
          <w:color w:val="auto"/>
          <w:highlight w:val="none"/>
        </w:rPr>
      </w:pPr>
      <w:r>
        <w:rPr>
          <w:color w:val="auto"/>
          <w:highlight w:val="none"/>
        </w:rPr>
        <w:t>（4）总价金额与按单价汇总金额不一致的，以单价金额计算结果为准。但是单价金额计算结果超过预算价的，对其按无效投标处理。</w:t>
      </w:r>
    </w:p>
    <w:p>
      <w:pPr>
        <w:ind w:firstLine="480"/>
        <w:rPr>
          <w:color w:val="auto"/>
          <w:highlight w:val="none"/>
        </w:rPr>
      </w:pPr>
      <w:r>
        <w:rPr>
          <w:color w:val="auto"/>
          <w:highlight w:val="none"/>
        </w:rPr>
        <w:t>（5）若投标客户端上传的电子报价数据与电子投标文件价格不一致的，以电子报价数据为准。</w:t>
      </w:r>
    </w:p>
    <w:p>
      <w:pPr>
        <w:ind w:firstLine="480"/>
        <w:rPr>
          <w:color w:val="auto"/>
          <w:highlight w:val="none"/>
        </w:rPr>
      </w:pPr>
      <w:r>
        <w:rPr>
          <w:color w:val="auto"/>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rPr>
          <w:color w:val="auto"/>
          <w:highlight w:val="none"/>
        </w:rPr>
      </w:pPr>
      <w:r>
        <w:rPr>
          <w:b/>
          <w:color w:val="auto"/>
          <w:sz w:val="28"/>
          <w:highlight w:val="none"/>
        </w:rPr>
        <w:t>二.政府采购政策落实</w:t>
      </w:r>
    </w:p>
    <w:p>
      <w:pPr>
        <w:rPr>
          <w:color w:val="auto"/>
          <w:highlight w:val="none"/>
        </w:rPr>
      </w:pPr>
      <w:r>
        <w:rPr>
          <w:b/>
          <w:color w:val="auto"/>
          <w:sz w:val="24"/>
          <w:highlight w:val="none"/>
        </w:rPr>
        <w:t>1.节能、环保要求</w:t>
      </w:r>
    </w:p>
    <w:p>
      <w:pPr>
        <w:ind w:firstLine="480"/>
        <w:rPr>
          <w:color w:val="auto"/>
          <w:highlight w:val="none"/>
        </w:rPr>
      </w:pPr>
      <w:r>
        <w:rPr>
          <w:color w:val="auto"/>
          <w:highlight w:val="none"/>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rPr>
          <w:color w:val="auto"/>
          <w:highlight w:val="none"/>
        </w:rPr>
      </w:pPr>
      <w:r>
        <w:rPr>
          <w:color w:val="auto"/>
          <w:highlight w:val="none"/>
        </w:rPr>
        <w:t>相关认证机构和获证产品信息以市场监管总局组织建立的节能产品、环境标志产品认证结果信息发布平台公布为准。</w:t>
      </w:r>
    </w:p>
    <w:p>
      <w:pPr>
        <w:rPr>
          <w:color w:val="auto"/>
          <w:highlight w:val="none"/>
        </w:rPr>
      </w:pPr>
      <w:r>
        <w:rPr>
          <w:b/>
          <w:color w:val="auto"/>
          <w:sz w:val="24"/>
          <w:highlight w:val="none"/>
        </w:rPr>
        <w:t>2.对小型、微型企业、监狱企业或残疾人福利性单位给予价格扣除</w:t>
      </w:r>
    </w:p>
    <w:p>
      <w:pPr>
        <w:ind w:firstLine="480"/>
        <w:rPr>
          <w:color w:val="auto"/>
          <w:highlight w:val="none"/>
        </w:rPr>
      </w:pPr>
      <w:r>
        <w:rPr>
          <w:color w:val="auto"/>
          <w:highlight w:val="none"/>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rPr>
          <w:color w:val="auto"/>
          <w:highlight w:val="none"/>
        </w:rPr>
      </w:pPr>
      <w:r>
        <w:rPr>
          <w:b/>
          <w:color w:val="auto"/>
          <w:sz w:val="24"/>
          <w:highlight w:val="none"/>
        </w:rPr>
        <w:t>3.价格扣除相关要求</w:t>
      </w:r>
    </w:p>
    <w:p>
      <w:pPr>
        <w:rPr>
          <w:color w:val="auto"/>
          <w:highlight w:val="none"/>
        </w:rPr>
      </w:pPr>
      <w:r>
        <w:rPr>
          <w:color w:val="auto"/>
          <w:highlight w:val="none"/>
        </w:rPr>
        <w:t>采购包1：</w:t>
      </w:r>
    </w:p>
    <w:tbl>
      <w:tblPr>
        <w:tblStyle w:val="14"/>
        <w:tblpPr w:leftFromText="180" w:rightFromText="180" w:vertAnchor="text" w:horzAnchor="page" w:tblpX="1782" w:tblpY="308"/>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1" w:type="dxa"/>
          </w:tcPr>
          <w:p>
            <w:pPr>
              <w:rPr>
                <w:color w:val="auto"/>
                <w:highlight w:val="none"/>
              </w:rPr>
            </w:pPr>
            <w:r>
              <w:rPr>
                <w:color w:val="auto"/>
                <w:highlight w:val="none"/>
              </w:rPr>
              <w:t>序号</w:t>
            </w:r>
          </w:p>
        </w:tc>
        <w:tc>
          <w:tcPr>
            <w:tcW w:w="2160" w:type="dxa"/>
          </w:tcPr>
          <w:p>
            <w:pPr>
              <w:rPr>
                <w:color w:val="auto"/>
                <w:highlight w:val="none"/>
              </w:rPr>
            </w:pPr>
            <w:r>
              <w:rPr>
                <w:color w:val="auto"/>
                <w:highlight w:val="none"/>
              </w:rPr>
              <w:t>情形</w:t>
            </w:r>
          </w:p>
        </w:tc>
        <w:tc>
          <w:tcPr>
            <w:tcW w:w="2160" w:type="dxa"/>
          </w:tcPr>
          <w:p>
            <w:pPr>
              <w:rPr>
                <w:color w:val="auto"/>
                <w:highlight w:val="none"/>
              </w:rPr>
            </w:pPr>
            <w:r>
              <w:rPr>
                <w:color w:val="auto"/>
                <w:highlight w:val="none"/>
              </w:rPr>
              <w:t>适用对象</w:t>
            </w:r>
          </w:p>
        </w:tc>
        <w:tc>
          <w:tcPr>
            <w:tcW w:w="1246" w:type="dxa"/>
          </w:tcPr>
          <w:p>
            <w:pPr>
              <w:rPr>
                <w:color w:val="auto"/>
                <w:highlight w:val="none"/>
              </w:rPr>
            </w:pPr>
            <w:r>
              <w:rPr>
                <w:color w:val="auto"/>
                <w:highlight w:val="none"/>
              </w:rPr>
              <w:t>价格扣除比例</w:t>
            </w:r>
          </w:p>
        </w:tc>
        <w:tc>
          <w:tcPr>
            <w:tcW w:w="2160" w:type="dxa"/>
          </w:tcPr>
          <w:p>
            <w:pPr>
              <w:rPr>
                <w:color w:val="auto"/>
                <w:highlight w:val="none"/>
              </w:rPr>
            </w:pPr>
            <w:r>
              <w:rPr>
                <w:color w:val="auto"/>
                <w:highlight w:val="none"/>
              </w:rP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rPr>
                <w:color w:val="auto"/>
                <w:highlight w:val="none"/>
              </w:rPr>
            </w:pPr>
            <w:r>
              <w:rPr>
                <w:color w:val="auto"/>
                <w:highlight w:val="none"/>
              </w:rPr>
              <w:t>1</w:t>
            </w:r>
          </w:p>
        </w:tc>
        <w:tc>
          <w:tcPr>
            <w:tcW w:w="2160" w:type="dxa"/>
          </w:tcPr>
          <w:p>
            <w:pPr>
              <w:jc w:val="left"/>
              <w:rPr>
                <w:color w:val="auto"/>
                <w:highlight w:val="none"/>
              </w:rPr>
            </w:pPr>
            <w:r>
              <w:rPr>
                <w:color w:val="auto"/>
                <w:highlight w:val="none"/>
              </w:rPr>
              <w:t>小型、微型企业，监狱企业，残疾人福利性单位</w:t>
            </w:r>
          </w:p>
        </w:tc>
        <w:tc>
          <w:tcPr>
            <w:tcW w:w="2160" w:type="dxa"/>
          </w:tcPr>
          <w:p>
            <w:pPr>
              <w:rPr>
                <w:color w:val="auto"/>
                <w:highlight w:val="none"/>
              </w:rPr>
            </w:pPr>
            <w:r>
              <w:rPr>
                <w:color w:val="auto"/>
                <w:highlight w:val="none"/>
              </w:rPr>
              <w:t>服务由小微企业承接</w:t>
            </w:r>
          </w:p>
        </w:tc>
        <w:tc>
          <w:tcPr>
            <w:tcW w:w="1246" w:type="dxa"/>
          </w:tcPr>
          <w:p>
            <w:pPr>
              <w:rPr>
                <w:color w:val="auto"/>
                <w:highlight w:val="none"/>
              </w:rPr>
            </w:pPr>
            <w:r>
              <w:rPr>
                <w:rFonts w:hint="eastAsia"/>
                <w:color w:val="auto"/>
                <w:highlight w:val="none"/>
              </w:rPr>
              <w:t>20</w:t>
            </w:r>
            <w:r>
              <w:rPr>
                <w:color w:val="auto"/>
                <w:highlight w:val="none"/>
              </w:rPr>
              <w:t>%</w:t>
            </w:r>
          </w:p>
        </w:tc>
        <w:tc>
          <w:tcPr>
            <w:tcW w:w="2160" w:type="dxa"/>
          </w:tcPr>
          <w:p>
            <w:pPr>
              <w:jc w:val="left"/>
              <w:rPr>
                <w:color w:val="auto"/>
                <w:highlight w:val="none"/>
              </w:rPr>
            </w:pPr>
            <w:r>
              <w:rPr>
                <w:color w:val="auto"/>
                <w:highlight w:val="none"/>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rPr>
                <w:color w:val="auto"/>
                <w:highlight w:val="none"/>
              </w:rPr>
            </w:pPr>
            <w:r>
              <w:rPr>
                <w:color w:val="auto"/>
                <w:highlight w:val="none"/>
              </w:rPr>
              <w:t>注：（1）上述评标价仅用于计算价格评分，成交金额以实际投标（响应）价为准。</w:t>
            </w:r>
            <w:r>
              <w:rPr>
                <w:color w:val="auto"/>
                <w:highlight w:val="none"/>
              </w:rPr>
              <w:tab/>
            </w:r>
            <w:r>
              <w:rPr>
                <w:color w:val="auto"/>
                <w:highlight w:val="none"/>
              </w:rPr>
              <w:t>（2）组成联合体或者接受分包的小微企业与联合体内其他企业、分包企业之间存在直接控股、管理关系的，不享受价格扣除优惠政策。</w:t>
            </w:r>
          </w:p>
        </w:tc>
      </w:tr>
    </w:tbl>
    <w:p>
      <w:pPr>
        <w:rPr>
          <w:color w:val="auto"/>
          <w:highlight w:val="none"/>
        </w:rPr>
      </w:pPr>
    </w:p>
    <w:p>
      <w:pPr>
        <w:ind w:firstLine="480"/>
        <w:rPr>
          <w:color w:val="auto"/>
          <w:highlight w:val="none"/>
        </w:rPr>
      </w:pPr>
      <w:r>
        <w:rPr>
          <w:color w:val="auto"/>
          <w:highlight w:val="none"/>
        </w:rPr>
        <w:t>（1）所称小型和微型企业应当符合以下条件：</w:t>
      </w:r>
    </w:p>
    <w:p>
      <w:pPr>
        <w:ind w:firstLine="480"/>
        <w:rPr>
          <w:color w:val="auto"/>
          <w:highlight w:val="none"/>
        </w:rPr>
      </w:pPr>
      <w:r>
        <w:rPr>
          <w:color w:val="auto"/>
          <w:highlight w:val="none"/>
        </w:rPr>
        <w:t>在中华人民共和国境内依法设立，依据国务院批准的中小企业划分标准确定的小型企业和微型企业，但与大企业的负责人为同一人，或者与大企业存在直接控股、管理关系的除外。</w:t>
      </w:r>
    </w:p>
    <w:p>
      <w:pPr>
        <w:ind w:firstLine="480"/>
        <w:rPr>
          <w:color w:val="auto"/>
          <w:highlight w:val="none"/>
        </w:rPr>
      </w:pPr>
      <w:r>
        <w:rPr>
          <w:color w:val="auto"/>
          <w:highlight w:val="none"/>
        </w:rPr>
        <w:t>符合中小企业划分标准的个体工商户，在政府采购活动中视同中小企业。</w:t>
      </w:r>
    </w:p>
    <w:p>
      <w:pPr>
        <w:ind w:firstLine="480"/>
        <w:rPr>
          <w:color w:val="auto"/>
          <w:highlight w:val="none"/>
        </w:rPr>
      </w:pPr>
      <w:r>
        <w:rPr>
          <w:color w:val="auto"/>
          <w:highlight w:val="none"/>
        </w:rPr>
        <w:t>提供本企业（属于小微企业）制造的货物或者提供其他小型或微型企业制造的货物/提供本企业（属于小微企业）承接的服务。</w:t>
      </w:r>
    </w:p>
    <w:p>
      <w:pPr>
        <w:ind w:firstLine="480"/>
        <w:rPr>
          <w:color w:val="auto"/>
          <w:highlight w:val="none"/>
        </w:rPr>
      </w:pPr>
      <w:r>
        <w:rPr>
          <w:color w:val="auto"/>
          <w:highlight w:val="none"/>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rPr>
          <w:color w:val="auto"/>
          <w:highlight w:val="none"/>
        </w:rPr>
      </w:pPr>
      <w:r>
        <w:rPr>
          <w:color w:val="auto"/>
          <w:highlight w:val="none"/>
        </w:rPr>
        <w:t>说明：投标人应当对其出具的《中小企业声明函》真实性负责，投标人出具的《中小企业声明函》内容不实的，属于提供虚假材料谋取中标。</w:t>
      </w:r>
    </w:p>
    <w:p>
      <w:pPr>
        <w:ind w:firstLine="480"/>
        <w:rPr>
          <w:color w:val="auto"/>
          <w:highlight w:val="none"/>
        </w:rPr>
      </w:pPr>
      <w:r>
        <w:rPr>
          <w:color w:val="auto"/>
          <w:highlight w:val="none"/>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rPr>
          <w:color w:val="auto"/>
          <w:highlight w:val="none"/>
        </w:rPr>
      </w:pPr>
      <w:r>
        <w:rPr>
          <w:b/>
          <w:color w:val="auto"/>
          <w:sz w:val="28"/>
          <w:highlight w:val="none"/>
        </w:rPr>
        <w:t>三、评审程序</w:t>
      </w:r>
    </w:p>
    <w:p>
      <w:pPr>
        <w:rPr>
          <w:color w:val="auto"/>
          <w:highlight w:val="none"/>
        </w:rPr>
      </w:pPr>
      <w:r>
        <w:rPr>
          <w:b/>
          <w:color w:val="auto"/>
          <w:sz w:val="24"/>
          <w:highlight w:val="none"/>
        </w:rPr>
        <w:t>1.资格性审查和符合性审查</w:t>
      </w:r>
    </w:p>
    <w:p>
      <w:pPr>
        <w:ind w:firstLine="480"/>
        <w:rPr>
          <w:color w:val="auto"/>
          <w:highlight w:val="none"/>
        </w:rPr>
      </w:pPr>
      <w:r>
        <w:rPr>
          <w:color w:val="auto"/>
          <w:highlight w:val="none"/>
        </w:rPr>
        <w:t>资格性审查。公开招标采购项目开标结束后，采购人或采购代理机构应当依法对投标人的资格进行审查，以确定投标人是否具备投标资格。（详见后附表一资格性审查表）</w:t>
      </w:r>
    </w:p>
    <w:p>
      <w:pPr>
        <w:ind w:firstLine="480"/>
        <w:rPr>
          <w:color w:val="auto"/>
          <w:highlight w:val="none"/>
        </w:rPr>
      </w:pPr>
      <w:r>
        <w:rPr>
          <w:color w:val="auto"/>
          <w:highlight w:val="none"/>
        </w:rPr>
        <w:t>符合性审查。评标委员会依据招标文件的规定，从投标文件的有效性、完整性和对招标文件的响应程度进行审查，以确定是否对招标文件的实质性要求作出响应。（详见后附表二符合性审查表）</w:t>
      </w:r>
    </w:p>
    <w:p>
      <w:pPr>
        <w:ind w:firstLine="480"/>
        <w:rPr>
          <w:color w:val="auto"/>
          <w:highlight w:val="none"/>
        </w:rPr>
      </w:pPr>
      <w:r>
        <w:rPr>
          <w:color w:val="auto"/>
          <w:highlight w:val="none"/>
        </w:rPr>
        <w:t>资格性审查和符合性审查中凡有其中任意一项未通过的，评审结果为未通过，未通过资格性审查、符合性审查的投标人按无效投标处理。</w:t>
      </w:r>
    </w:p>
    <w:p>
      <w:pPr>
        <w:ind w:firstLine="480"/>
        <w:rPr>
          <w:color w:val="auto"/>
          <w:highlight w:val="none"/>
        </w:rPr>
      </w:pPr>
      <w:r>
        <w:rPr>
          <w:color w:val="auto"/>
          <w:highlight w:val="none"/>
        </w:rPr>
        <w:t>对各投标人进行资格审查和符合性审查过程中，对初步被认定为无效投标者，由评标委员会组长或采购人代表将集体意见及时告知投标当事人。</w:t>
      </w:r>
    </w:p>
    <w:p>
      <w:pPr>
        <w:ind w:firstLine="480"/>
        <w:rPr>
          <w:color w:val="auto"/>
          <w:highlight w:val="none"/>
        </w:rPr>
      </w:pPr>
      <w:r>
        <w:rPr>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rPr>
          <w:color w:val="auto"/>
          <w:highlight w:val="none"/>
        </w:rPr>
      </w:pPr>
      <w:r>
        <w:rPr>
          <w:color w:val="auto"/>
          <w:highlight w:val="none"/>
        </w:rPr>
        <w:t>合格投标人不足3家的，不得评标。</w:t>
      </w:r>
    </w:p>
    <w:p>
      <w:pPr>
        <w:ind w:firstLine="480"/>
        <w:rPr>
          <w:color w:val="auto"/>
          <w:highlight w:val="none"/>
        </w:rPr>
      </w:pPr>
      <w:r>
        <w:rPr>
          <w:color w:val="auto"/>
          <w:highlight w:val="none"/>
        </w:rPr>
        <w:t>表一资格性审查表：</w:t>
      </w:r>
    </w:p>
    <w:p>
      <w:pPr>
        <w:rPr>
          <w:color w:val="auto"/>
          <w:highlight w:val="none"/>
        </w:rPr>
      </w:pPr>
      <w:r>
        <w:rPr>
          <w:color w:val="auto"/>
          <w:highlight w:val="none"/>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序号</w:t>
            </w:r>
          </w:p>
        </w:tc>
        <w:tc>
          <w:tcPr>
            <w:tcW w:w="7416" w:type="dxa"/>
            <w:gridSpan w:val="2"/>
          </w:tcPr>
          <w:p>
            <w:pPr>
              <w:rPr>
                <w:color w:val="auto"/>
                <w:highlight w:val="none"/>
              </w:rPr>
            </w:pPr>
            <w:r>
              <w:rPr>
                <w:color w:val="auto"/>
                <w:highlight w:val="none"/>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1</w:t>
            </w:r>
          </w:p>
        </w:tc>
        <w:tc>
          <w:tcPr>
            <w:tcW w:w="3178" w:type="dxa"/>
          </w:tcPr>
          <w:p>
            <w:pPr>
              <w:rPr>
                <w:color w:val="auto"/>
                <w:highlight w:val="none"/>
              </w:rPr>
            </w:pPr>
            <w:r>
              <w:rPr>
                <w:color w:val="auto"/>
                <w:highlight w:val="none"/>
              </w:rPr>
              <w:t>具有独立承担民事责任的能力</w:t>
            </w:r>
          </w:p>
        </w:tc>
        <w:tc>
          <w:tcPr>
            <w:tcW w:w="4238" w:type="dxa"/>
          </w:tcPr>
          <w:p>
            <w:pPr>
              <w:rPr>
                <w:color w:val="auto"/>
                <w:highlight w:val="none"/>
              </w:rPr>
            </w:pPr>
            <w:r>
              <w:rPr>
                <w:color w:val="auto"/>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2</w:t>
            </w:r>
          </w:p>
        </w:tc>
        <w:tc>
          <w:tcPr>
            <w:tcW w:w="3178" w:type="dxa"/>
          </w:tcPr>
          <w:p>
            <w:pPr>
              <w:rPr>
                <w:color w:val="auto"/>
                <w:highlight w:val="none"/>
              </w:rPr>
            </w:pPr>
            <w:r>
              <w:rPr>
                <w:color w:val="auto"/>
                <w:highlight w:val="none"/>
              </w:rPr>
              <w:t>有依法缴纳税收和社会保障资金的良好记录</w:t>
            </w:r>
          </w:p>
        </w:tc>
        <w:tc>
          <w:tcPr>
            <w:tcW w:w="4238" w:type="dxa"/>
          </w:tcPr>
          <w:p>
            <w:pPr>
              <w:rPr>
                <w:color w:val="auto"/>
                <w:highlight w:val="none"/>
              </w:rPr>
            </w:pPr>
            <w:r>
              <w:rPr>
                <w:color w:val="auto"/>
                <w:highlight w:val="none"/>
              </w:rP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3</w:t>
            </w:r>
          </w:p>
        </w:tc>
        <w:tc>
          <w:tcPr>
            <w:tcW w:w="3178" w:type="dxa"/>
          </w:tcPr>
          <w:p>
            <w:pPr>
              <w:rPr>
                <w:color w:val="auto"/>
                <w:highlight w:val="none"/>
              </w:rPr>
            </w:pPr>
            <w:r>
              <w:rPr>
                <w:color w:val="auto"/>
                <w:highlight w:val="none"/>
              </w:rPr>
              <w:t>具有良好的商业信誉和健全的财务会计制度</w:t>
            </w:r>
          </w:p>
        </w:tc>
        <w:tc>
          <w:tcPr>
            <w:tcW w:w="4238" w:type="dxa"/>
          </w:tcPr>
          <w:p>
            <w:pPr>
              <w:rPr>
                <w:color w:val="auto"/>
                <w:highlight w:val="none"/>
              </w:rPr>
            </w:pPr>
            <w:r>
              <w:rPr>
                <w:color w:val="auto"/>
                <w:highlight w:val="none"/>
              </w:rPr>
              <w:t>供应商必须具有良好的商业信誉和健全的财务会计制度（提供2021年度财务状况报告或基本开户行出具的资信证明或专业担保机构出具的投标担保函）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4</w:t>
            </w:r>
          </w:p>
        </w:tc>
        <w:tc>
          <w:tcPr>
            <w:tcW w:w="3178" w:type="dxa"/>
          </w:tcPr>
          <w:p>
            <w:pPr>
              <w:rPr>
                <w:color w:val="auto"/>
                <w:highlight w:val="none"/>
              </w:rPr>
            </w:pPr>
            <w:r>
              <w:rPr>
                <w:color w:val="auto"/>
                <w:highlight w:val="none"/>
              </w:rPr>
              <w:t>履行合同所必需的设备和专业技术能力</w:t>
            </w:r>
          </w:p>
        </w:tc>
        <w:tc>
          <w:tcPr>
            <w:tcW w:w="4238" w:type="dxa"/>
          </w:tcPr>
          <w:p>
            <w:pPr>
              <w:rPr>
                <w:color w:val="auto"/>
                <w:highlight w:val="none"/>
              </w:rPr>
            </w:pPr>
            <w:r>
              <w:rPr>
                <w:color w:val="auto"/>
                <w:highlight w:val="none"/>
              </w:rPr>
              <w:t>按投标（响应）文件格式填报设备及专业技术能力情况，否则视为不符合。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5</w:t>
            </w:r>
          </w:p>
        </w:tc>
        <w:tc>
          <w:tcPr>
            <w:tcW w:w="3178" w:type="dxa"/>
          </w:tcPr>
          <w:p>
            <w:pPr>
              <w:rPr>
                <w:color w:val="auto"/>
                <w:highlight w:val="none"/>
              </w:rPr>
            </w:pPr>
            <w:r>
              <w:rPr>
                <w:color w:val="auto"/>
                <w:highlight w:val="none"/>
              </w:rPr>
              <w:t>参加采购活动前3年内，在经营活动中没有重大违法记录</w:t>
            </w:r>
          </w:p>
        </w:tc>
        <w:tc>
          <w:tcPr>
            <w:tcW w:w="4238" w:type="dxa"/>
          </w:tcPr>
          <w:p>
            <w:pPr>
              <w:rPr>
                <w:color w:val="auto"/>
                <w:highlight w:val="none"/>
              </w:rPr>
            </w:pPr>
            <w:r>
              <w:rPr>
                <w:color w:val="auto"/>
                <w:highlight w:val="none"/>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6</w:t>
            </w:r>
          </w:p>
        </w:tc>
        <w:tc>
          <w:tcPr>
            <w:tcW w:w="3178" w:type="dxa"/>
          </w:tcPr>
          <w:p>
            <w:pPr>
              <w:rPr>
                <w:color w:val="auto"/>
                <w:highlight w:val="none"/>
              </w:rPr>
            </w:pPr>
            <w:r>
              <w:rPr>
                <w:color w:val="auto"/>
                <w:highlight w:val="none"/>
              </w:rPr>
              <w:t>信用记录</w:t>
            </w:r>
          </w:p>
        </w:tc>
        <w:tc>
          <w:tcPr>
            <w:tcW w:w="4238" w:type="dxa"/>
          </w:tcPr>
          <w:p>
            <w:pPr>
              <w:rPr>
                <w:color w:val="auto"/>
                <w:highlight w:val="none"/>
              </w:rPr>
            </w:pPr>
            <w:r>
              <w:rPr>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7</w:t>
            </w:r>
          </w:p>
        </w:tc>
        <w:tc>
          <w:tcPr>
            <w:tcW w:w="3178" w:type="dxa"/>
          </w:tcPr>
          <w:p>
            <w:pPr>
              <w:rPr>
                <w:color w:val="auto"/>
                <w:highlight w:val="none"/>
              </w:rPr>
            </w:pPr>
            <w:r>
              <w:rPr>
                <w:color w:val="auto"/>
                <w:highlight w:val="none"/>
              </w:rPr>
              <w:t>供应商必须符合法律、行政法规规定的其他条件</w:t>
            </w:r>
          </w:p>
        </w:tc>
        <w:tc>
          <w:tcPr>
            <w:tcW w:w="4238" w:type="dxa"/>
          </w:tcPr>
          <w:p>
            <w:pPr>
              <w:rPr>
                <w:color w:val="auto"/>
                <w:highlight w:val="none"/>
              </w:rPr>
            </w:pPr>
            <w:r>
              <w:rPr>
                <w:color w:val="auto"/>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8</w:t>
            </w:r>
          </w:p>
        </w:tc>
        <w:tc>
          <w:tcPr>
            <w:tcW w:w="3178" w:type="dxa"/>
            <w:vAlign w:val="top"/>
          </w:tcPr>
          <w:p>
            <w:pPr>
              <w:rPr>
                <w:rFonts w:hint="eastAsia" w:eastAsiaTheme="minorEastAsia"/>
                <w:color w:val="auto"/>
                <w:highlight w:val="none"/>
                <w:lang w:eastAsia="zh-CN"/>
              </w:rPr>
            </w:pPr>
            <w:r>
              <w:rPr>
                <w:rFonts w:hint="eastAsia"/>
                <w:color w:val="auto"/>
                <w:highlight w:val="none"/>
              </w:rPr>
              <w:t>促进中小企业发展</w:t>
            </w:r>
            <w:r>
              <w:rPr>
                <w:rFonts w:hint="eastAsia"/>
                <w:color w:val="auto"/>
                <w:highlight w:val="none"/>
              </w:rPr>
              <w:tab/>
            </w:r>
          </w:p>
        </w:tc>
        <w:tc>
          <w:tcPr>
            <w:tcW w:w="4238" w:type="dxa"/>
            <w:vAlign w:val="top"/>
          </w:tcPr>
          <w:p>
            <w:pPr>
              <w:autoSpaceDE w:val="0"/>
              <w:autoSpaceDN w:val="0"/>
              <w:adjustRightInd w:val="0"/>
              <w:jc w:val="left"/>
              <w:rPr>
                <w:color w:val="auto"/>
                <w:highlight w:val="none"/>
              </w:rPr>
            </w:pPr>
            <w:r>
              <w:rPr>
                <w:rFonts w:hint="eastAsia"/>
                <w:color w:val="auto"/>
                <w:highlight w:val="none"/>
              </w:rPr>
              <w:t>采购包不专门面向中小企业</w:t>
            </w:r>
          </w:p>
        </w:tc>
      </w:tr>
    </w:tbl>
    <w:p>
      <w:pPr>
        <w:rPr>
          <w:color w:val="auto"/>
          <w:highlight w:val="none"/>
        </w:rPr>
      </w:pPr>
    </w:p>
    <w:p>
      <w:pPr>
        <w:ind w:firstLine="480"/>
        <w:rPr>
          <w:color w:val="auto"/>
          <w:highlight w:val="none"/>
        </w:rPr>
      </w:pPr>
      <w:r>
        <w:rPr>
          <w:color w:val="auto"/>
          <w:highlight w:val="none"/>
        </w:rPr>
        <w:t>表二符合性审查表：</w:t>
      </w:r>
    </w:p>
    <w:p>
      <w:pPr>
        <w:rPr>
          <w:color w:val="auto"/>
          <w:highlight w:val="none"/>
        </w:rPr>
      </w:pPr>
      <w:r>
        <w:rPr>
          <w:color w:val="auto"/>
          <w:highlight w:val="none"/>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序号</w:t>
            </w:r>
          </w:p>
        </w:tc>
        <w:tc>
          <w:tcPr>
            <w:tcW w:w="3178" w:type="dxa"/>
          </w:tcPr>
          <w:p>
            <w:pPr>
              <w:rPr>
                <w:color w:val="auto"/>
                <w:highlight w:val="none"/>
              </w:rPr>
            </w:pPr>
            <w:r>
              <w:rPr>
                <w:color w:val="auto"/>
                <w:highlight w:val="none"/>
              </w:rPr>
              <w:t>评审点要求概况</w:t>
            </w:r>
          </w:p>
        </w:tc>
        <w:tc>
          <w:tcPr>
            <w:tcW w:w="4238" w:type="dxa"/>
          </w:tcPr>
          <w:p>
            <w:pPr>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1</w:t>
            </w:r>
          </w:p>
        </w:tc>
        <w:tc>
          <w:tcPr>
            <w:tcW w:w="3178" w:type="dxa"/>
          </w:tcPr>
          <w:p>
            <w:pPr>
              <w:rPr>
                <w:color w:val="auto"/>
                <w:highlight w:val="none"/>
              </w:rPr>
            </w:pPr>
            <w:r>
              <w:rPr>
                <w:color w:val="auto"/>
                <w:highlight w:val="none"/>
              </w:rPr>
              <w:t>未按照招标文件规定要求签署和盖章的</w:t>
            </w:r>
          </w:p>
        </w:tc>
        <w:tc>
          <w:tcPr>
            <w:tcW w:w="4238" w:type="dxa"/>
          </w:tcPr>
          <w:p>
            <w:pPr>
              <w:rPr>
                <w:color w:val="auto"/>
                <w:highlight w:val="none"/>
              </w:rPr>
            </w:pPr>
            <w:r>
              <w:rPr>
                <w:color w:val="auto"/>
                <w:highlight w:val="none"/>
              </w:rPr>
              <w:t>未按照招标文件规定要求签署和盖章的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2</w:t>
            </w:r>
          </w:p>
        </w:tc>
        <w:tc>
          <w:tcPr>
            <w:tcW w:w="3178" w:type="dxa"/>
          </w:tcPr>
          <w:p>
            <w:pPr>
              <w:rPr>
                <w:color w:val="auto"/>
                <w:highlight w:val="none"/>
              </w:rPr>
            </w:pPr>
            <w:r>
              <w:rPr>
                <w:color w:val="auto"/>
                <w:highlight w:val="none"/>
              </w:rPr>
              <w:t>报价不是固定价或者投标方案是可选择的</w:t>
            </w:r>
          </w:p>
        </w:tc>
        <w:tc>
          <w:tcPr>
            <w:tcW w:w="4238" w:type="dxa"/>
          </w:tcPr>
          <w:p>
            <w:pPr>
              <w:rPr>
                <w:color w:val="auto"/>
                <w:highlight w:val="none"/>
              </w:rPr>
            </w:pPr>
            <w:r>
              <w:rPr>
                <w:color w:val="auto"/>
                <w:highlight w:val="none"/>
              </w:rPr>
              <w:t>报价不是固定价或者投标方案是可选择的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3</w:t>
            </w:r>
          </w:p>
        </w:tc>
        <w:tc>
          <w:tcPr>
            <w:tcW w:w="3178" w:type="dxa"/>
          </w:tcPr>
          <w:p>
            <w:pPr>
              <w:rPr>
                <w:color w:val="auto"/>
                <w:highlight w:val="none"/>
              </w:rPr>
            </w:pPr>
            <w:r>
              <w:rPr>
                <w:color w:val="auto"/>
                <w:highlight w:val="none"/>
              </w:rPr>
              <w:t>报价超过招标文件中规定的预算金额的，或者分项、分包最高限价的</w:t>
            </w:r>
          </w:p>
        </w:tc>
        <w:tc>
          <w:tcPr>
            <w:tcW w:w="4238" w:type="dxa"/>
          </w:tcPr>
          <w:p>
            <w:pPr>
              <w:rPr>
                <w:color w:val="auto"/>
                <w:highlight w:val="none"/>
              </w:rPr>
            </w:pPr>
            <w:r>
              <w:rPr>
                <w:color w:val="auto"/>
                <w:highlight w:val="none"/>
              </w:rPr>
              <w:t>报价超过招标文件中规定的预算金额的，或者分项、分包最高限价的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4</w:t>
            </w:r>
          </w:p>
        </w:tc>
        <w:tc>
          <w:tcPr>
            <w:tcW w:w="3178" w:type="dxa"/>
          </w:tcPr>
          <w:p>
            <w:pPr>
              <w:rPr>
                <w:color w:val="auto"/>
                <w:highlight w:val="none"/>
              </w:rPr>
            </w:pPr>
            <w:r>
              <w:rPr>
                <w:color w:val="auto"/>
                <w:highlight w:val="none"/>
              </w:rPr>
              <w:t>不满足招标文件用户需求中的带“★”要求的</w:t>
            </w:r>
          </w:p>
        </w:tc>
        <w:tc>
          <w:tcPr>
            <w:tcW w:w="4238" w:type="dxa"/>
          </w:tcPr>
          <w:p>
            <w:pPr>
              <w:rPr>
                <w:color w:val="auto"/>
                <w:highlight w:val="none"/>
              </w:rPr>
            </w:pPr>
            <w:r>
              <w:rPr>
                <w:color w:val="auto"/>
                <w:highlight w:val="none"/>
              </w:rPr>
              <w:t>不满足招标文件用户需求中的带“★”要求的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5</w:t>
            </w:r>
          </w:p>
        </w:tc>
        <w:tc>
          <w:tcPr>
            <w:tcW w:w="3178" w:type="dxa"/>
          </w:tcPr>
          <w:p>
            <w:pPr>
              <w:rPr>
                <w:color w:val="auto"/>
                <w:highlight w:val="none"/>
              </w:rPr>
            </w:pPr>
            <w:r>
              <w:rPr>
                <w:color w:val="auto"/>
                <w:highlight w:val="none"/>
              </w:rPr>
              <w:t>投标文件含有采购人不能接受的附加条件的</w:t>
            </w:r>
          </w:p>
        </w:tc>
        <w:tc>
          <w:tcPr>
            <w:tcW w:w="4238" w:type="dxa"/>
          </w:tcPr>
          <w:p>
            <w:pPr>
              <w:rPr>
                <w:color w:val="auto"/>
                <w:highlight w:val="none"/>
              </w:rPr>
            </w:pPr>
            <w:r>
              <w:rPr>
                <w:color w:val="auto"/>
                <w:highlight w:val="none"/>
              </w:rPr>
              <w:t>投标文件含有采购人不能接受的附加条件的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color w:val="auto"/>
                <w:highlight w:val="none"/>
              </w:rPr>
              <w:t>6</w:t>
            </w:r>
          </w:p>
        </w:tc>
        <w:tc>
          <w:tcPr>
            <w:tcW w:w="3178" w:type="dxa"/>
          </w:tcPr>
          <w:p>
            <w:pPr>
              <w:rPr>
                <w:color w:val="auto"/>
                <w:highlight w:val="none"/>
              </w:rPr>
            </w:pPr>
            <w:r>
              <w:rPr>
                <w:color w:val="auto"/>
                <w:highlight w:val="none"/>
              </w:rPr>
              <w:t>属于法律、法规及招标文件规定的其他无效情形的</w:t>
            </w:r>
          </w:p>
        </w:tc>
        <w:tc>
          <w:tcPr>
            <w:tcW w:w="4238" w:type="dxa"/>
          </w:tcPr>
          <w:p>
            <w:pPr>
              <w:rPr>
                <w:color w:val="auto"/>
                <w:highlight w:val="none"/>
              </w:rPr>
            </w:pPr>
            <w:r>
              <w:rPr>
                <w:color w:val="auto"/>
                <w:highlight w:val="none"/>
              </w:rPr>
              <w:t>属于法律、法规及招标文件规定的其他无效情形的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rFonts w:hint="eastAsia"/>
                <w:color w:val="auto"/>
                <w:highlight w:val="none"/>
              </w:rPr>
              <w:t>7</w:t>
            </w:r>
          </w:p>
        </w:tc>
        <w:tc>
          <w:tcPr>
            <w:tcW w:w="3178" w:type="dxa"/>
          </w:tcPr>
          <w:p>
            <w:pPr>
              <w:spacing w:line="480" w:lineRule="exact"/>
              <w:rPr>
                <w:color w:val="auto"/>
                <w:highlight w:val="none"/>
              </w:rPr>
            </w:pPr>
            <w:r>
              <w:rPr>
                <w:rFonts w:hint="eastAsia"/>
                <w:color w:val="auto"/>
                <w:highlight w:val="none"/>
              </w:rPr>
              <w:t>提交投标文件数量不足的</w:t>
            </w:r>
          </w:p>
        </w:tc>
        <w:tc>
          <w:tcPr>
            <w:tcW w:w="4238" w:type="dxa"/>
          </w:tcPr>
          <w:p>
            <w:pPr>
              <w:spacing w:line="480" w:lineRule="exact"/>
              <w:rPr>
                <w:color w:val="auto"/>
                <w:highlight w:val="none"/>
              </w:rPr>
            </w:pPr>
            <w:r>
              <w:rPr>
                <w:rFonts w:hint="eastAsia"/>
                <w:color w:val="auto"/>
                <w:highlight w:val="none"/>
              </w:rPr>
              <w:t>提交投标文件数量不足的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color w:val="auto"/>
                <w:highlight w:val="none"/>
              </w:rPr>
            </w:pPr>
            <w:r>
              <w:rPr>
                <w:rFonts w:hint="eastAsia"/>
                <w:color w:val="auto"/>
                <w:highlight w:val="none"/>
              </w:rPr>
              <w:t>8</w:t>
            </w:r>
          </w:p>
        </w:tc>
        <w:tc>
          <w:tcPr>
            <w:tcW w:w="3178" w:type="dxa"/>
          </w:tcPr>
          <w:p>
            <w:pPr>
              <w:spacing w:line="480" w:lineRule="exact"/>
              <w:rPr>
                <w:color w:val="auto"/>
                <w:highlight w:val="none"/>
              </w:rPr>
            </w:pPr>
            <w:r>
              <w:rPr>
                <w:rFonts w:hint="eastAsia"/>
                <w:color w:val="auto"/>
                <w:highlight w:val="none"/>
              </w:rPr>
              <w:t>投标有效期不足的</w:t>
            </w:r>
          </w:p>
        </w:tc>
        <w:tc>
          <w:tcPr>
            <w:tcW w:w="4238" w:type="dxa"/>
          </w:tcPr>
          <w:p>
            <w:pPr>
              <w:spacing w:line="480" w:lineRule="exact"/>
              <w:rPr>
                <w:color w:val="auto"/>
                <w:highlight w:val="none"/>
              </w:rPr>
            </w:pPr>
            <w:r>
              <w:rPr>
                <w:rFonts w:hint="eastAsia"/>
                <w:color w:val="auto"/>
                <w:highlight w:val="none"/>
              </w:rPr>
              <w:t>投标有效期不足的</w:t>
            </w:r>
          </w:p>
        </w:tc>
      </w:tr>
    </w:tbl>
    <w:p>
      <w:pPr>
        <w:rPr>
          <w:color w:val="auto"/>
          <w:highlight w:val="none"/>
        </w:rPr>
      </w:pPr>
    </w:p>
    <w:p>
      <w:pPr>
        <w:rPr>
          <w:color w:val="auto"/>
          <w:highlight w:val="none"/>
        </w:rPr>
      </w:pPr>
      <w:r>
        <w:rPr>
          <w:b/>
          <w:color w:val="auto"/>
          <w:sz w:val="24"/>
          <w:highlight w:val="none"/>
        </w:rPr>
        <w:t>2.投标文件澄清</w:t>
      </w:r>
    </w:p>
    <w:p>
      <w:pPr>
        <w:ind w:firstLine="480"/>
        <w:rPr>
          <w:color w:val="auto"/>
          <w:highlight w:val="none"/>
        </w:rPr>
      </w:pPr>
      <w:r>
        <w:rPr>
          <w:color w:val="auto"/>
          <w:highlight w:val="none"/>
        </w:rP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rPr>
          <w:color w:val="auto"/>
          <w:highlight w:val="none"/>
        </w:rPr>
      </w:pPr>
      <w:r>
        <w:rPr>
          <w:color w:val="auto"/>
          <w:highlight w:val="none"/>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rPr>
          <w:color w:val="auto"/>
          <w:highlight w:val="none"/>
        </w:rPr>
      </w:pPr>
      <w:r>
        <w:rPr>
          <w:color w:val="auto"/>
          <w:highlight w:val="none"/>
        </w:rPr>
        <w:t>2.2评标委员会不接受投标人主动提出的澄清、说明或补正。</w:t>
      </w:r>
    </w:p>
    <w:p>
      <w:pPr>
        <w:ind w:firstLine="480"/>
        <w:rPr>
          <w:color w:val="auto"/>
          <w:highlight w:val="none"/>
        </w:rPr>
      </w:pPr>
      <w:r>
        <w:rPr>
          <w:color w:val="auto"/>
          <w:highlight w:val="none"/>
        </w:rPr>
        <w:t>2.3评标委员会对投标人提交的澄清、说明或补正有疑问的，可以要求投标人进一步澄清、说明或补正。</w:t>
      </w:r>
    </w:p>
    <w:p>
      <w:pPr>
        <w:rPr>
          <w:color w:val="auto"/>
          <w:highlight w:val="none"/>
        </w:rPr>
      </w:pPr>
      <w:r>
        <w:rPr>
          <w:b/>
          <w:color w:val="auto"/>
          <w:sz w:val="24"/>
          <w:highlight w:val="none"/>
        </w:rPr>
        <w:t>3.详细评审</w:t>
      </w:r>
    </w:p>
    <w:p>
      <w:pPr>
        <w:rPr>
          <w:color w:val="auto"/>
          <w:highlight w:val="none"/>
        </w:rPr>
      </w:pPr>
    </w:p>
    <w:p>
      <w:pPr>
        <w:rPr>
          <w:color w:val="auto"/>
          <w:highlight w:val="none"/>
        </w:rPr>
      </w:pPr>
      <w:r>
        <w:rPr>
          <w:color w:val="auto"/>
          <w:highlight w:val="none"/>
        </w:rPr>
        <w:t>采购包1</w:t>
      </w:r>
    </w:p>
    <w:tbl>
      <w:tblPr>
        <w:tblStyle w:val="14"/>
        <w:tblW w:w="8314"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0" w:type="dxa"/>
          <w:left w:w="0" w:type="dxa"/>
          <w:bottom w:w="0" w:type="dxa"/>
          <w:right w:w="0" w:type="dxa"/>
        </w:tblCellMar>
      </w:tblPr>
      <w:tblGrid>
        <w:gridCol w:w="870"/>
        <w:gridCol w:w="1595"/>
        <w:gridCol w:w="584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259" w:hRule="atLeast"/>
        </w:trPr>
        <w:tc>
          <w:tcPr>
            <w:tcW w:w="2465" w:type="dxa"/>
            <w:gridSpan w:val="2"/>
            <w:tcBorders>
              <w:tl2br w:val="nil"/>
              <w:tr2bl w:val="nil"/>
            </w:tcBorders>
            <w:shd w:val="clear" w:color="auto" w:fill="auto"/>
            <w:noWrap w:val="0"/>
            <w:vAlign w:val="center"/>
          </w:tcPr>
          <w:p>
            <w:pPr>
              <w:pStyle w:val="22"/>
              <w:ind w:right="1559"/>
              <w:jc w:val="both"/>
              <w:rPr>
                <w:b/>
                <w:color w:val="auto"/>
                <w:sz w:val="21"/>
                <w:szCs w:val="21"/>
                <w:highlight w:val="none"/>
              </w:rPr>
            </w:pPr>
            <w:r>
              <w:rPr>
                <w:b/>
                <w:color w:val="auto"/>
                <w:w w:val="105"/>
                <w:sz w:val="21"/>
                <w:szCs w:val="21"/>
                <w:highlight w:val="none"/>
              </w:rPr>
              <w:t>评审因</w:t>
            </w:r>
            <w:r>
              <w:rPr>
                <w:rFonts w:hint="eastAsia"/>
                <w:b/>
                <w:color w:val="auto"/>
                <w:w w:val="105"/>
                <w:sz w:val="21"/>
                <w:szCs w:val="21"/>
                <w:highlight w:val="none"/>
              </w:rPr>
              <w:t>素</w:t>
            </w:r>
          </w:p>
        </w:tc>
        <w:tc>
          <w:tcPr>
            <w:tcW w:w="5849" w:type="dxa"/>
            <w:tcBorders>
              <w:tl2br w:val="nil"/>
              <w:tr2bl w:val="nil"/>
            </w:tcBorders>
            <w:shd w:val="clear" w:color="auto" w:fill="auto"/>
            <w:noWrap w:val="0"/>
            <w:vAlign w:val="center"/>
          </w:tcPr>
          <w:p>
            <w:pPr>
              <w:pStyle w:val="22"/>
              <w:ind w:right="3087"/>
              <w:jc w:val="both"/>
              <w:rPr>
                <w:b/>
                <w:color w:val="auto"/>
                <w:sz w:val="21"/>
                <w:szCs w:val="21"/>
                <w:highlight w:val="none"/>
              </w:rPr>
            </w:pPr>
            <w:r>
              <w:rPr>
                <w:b/>
                <w:color w:val="auto"/>
                <w:w w:val="105"/>
                <w:sz w:val="21"/>
                <w:szCs w:val="21"/>
                <w:highlight w:val="none"/>
              </w:rPr>
              <w:t>评分标准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2465" w:type="dxa"/>
            <w:gridSpan w:val="2"/>
            <w:tcBorders>
              <w:tl2br w:val="nil"/>
              <w:tr2bl w:val="nil"/>
            </w:tcBorders>
            <w:shd w:val="clear" w:color="auto" w:fill="auto"/>
            <w:noWrap w:val="0"/>
            <w:vAlign w:val="center"/>
          </w:tcPr>
          <w:p>
            <w:pPr>
              <w:pStyle w:val="22"/>
              <w:jc w:val="both"/>
              <w:rPr>
                <w:b/>
                <w:color w:val="auto"/>
                <w:sz w:val="21"/>
                <w:szCs w:val="21"/>
                <w:highlight w:val="none"/>
              </w:rPr>
            </w:pPr>
          </w:p>
          <w:p>
            <w:pPr>
              <w:pStyle w:val="22"/>
              <w:ind w:right="1559"/>
              <w:jc w:val="both"/>
              <w:rPr>
                <w:b/>
                <w:color w:val="auto"/>
                <w:sz w:val="21"/>
                <w:szCs w:val="21"/>
                <w:highlight w:val="none"/>
              </w:rPr>
            </w:pPr>
            <w:r>
              <w:rPr>
                <w:b/>
                <w:color w:val="auto"/>
                <w:w w:val="105"/>
                <w:sz w:val="21"/>
                <w:szCs w:val="21"/>
                <w:highlight w:val="none"/>
              </w:rPr>
              <w:t>分值构成</w:t>
            </w:r>
          </w:p>
        </w:tc>
        <w:tc>
          <w:tcPr>
            <w:tcW w:w="5849" w:type="dxa"/>
            <w:tcBorders>
              <w:tl2br w:val="nil"/>
              <w:tr2bl w:val="nil"/>
            </w:tcBorders>
            <w:shd w:val="clear" w:color="auto" w:fill="auto"/>
            <w:noWrap w:val="0"/>
            <w:vAlign w:val="center"/>
          </w:tcPr>
          <w:p>
            <w:pPr>
              <w:pStyle w:val="22"/>
              <w:jc w:val="both"/>
              <w:rPr>
                <w:color w:val="auto"/>
                <w:spacing w:val="1"/>
                <w:w w:val="131"/>
                <w:sz w:val="21"/>
                <w:szCs w:val="21"/>
                <w:highlight w:val="none"/>
              </w:rPr>
            </w:pPr>
          </w:p>
          <w:p>
            <w:pPr>
              <w:pStyle w:val="22"/>
              <w:numPr>
                <w:ilvl w:val="0"/>
                <w:numId w:val="4"/>
              </w:numPr>
              <w:ind w:left="126"/>
              <w:jc w:val="both"/>
              <w:rPr>
                <w:color w:val="auto"/>
                <w:w w:val="103"/>
                <w:sz w:val="21"/>
                <w:szCs w:val="21"/>
                <w:highlight w:val="none"/>
              </w:rPr>
            </w:pPr>
            <w:r>
              <w:rPr>
                <w:color w:val="auto"/>
                <w:w w:val="103"/>
                <w:sz w:val="21"/>
                <w:szCs w:val="21"/>
                <w:highlight w:val="none"/>
              </w:rPr>
              <w:t>报价得分</w:t>
            </w:r>
            <w:r>
              <w:rPr>
                <w:rFonts w:hint="eastAsia"/>
                <w:color w:val="auto"/>
                <w:w w:val="103"/>
                <w:sz w:val="21"/>
                <w:szCs w:val="21"/>
                <w:highlight w:val="none"/>
                <w:u w:val="single"/>
              </w:rPr>
              <w:t>10</w:t>
            </w:r>
            <w:r>
              <w:rPr>
                <w:color w:val="auto"/>
                <w:w w:val="103"/>
                <w:sz w:val="21"/>
                <w:szCs w:val="21"/>
                <w:highlight w:val="none"/>
              </w:rPr>
              <w:t>分</w:t>
            </w:r>
          </w:p>
          <w:p>
            <w:pPr>
              <w:pStyle w:val="22"/>
              <w:numPr>
                <w:ilvl w:val="0"/>
                <w:numId w:val="4"/>
              </w:numPr>
              <w:ind w:left="126"/>
              <w:jc w:val="both"/>
              <w:rPr>
                <w:b/>
                <w:color w:val="auto"/>
                <w:sz w:val="21"/>
                <w:szCs w:val="21"/>
                <w:highlight w:val="none"/>
              </w:rPr>
            </w:pPr>
            <w:r>
              <w:rPr>
                <w:color w:val="auto"/>
                <w:w w:val="103"/>
                <w:sz w:val="21"/>
                <w:szCs w:val="21"/>
                <w:highlight w:val="none"/>
              </w:rPr>
              <w:t>商务部分</w:t>
            </w:r>
            <w:r>
              <w:rPr>
                <w:rFonts w:hint="eastAsia"/>
                <w:color w:val="auto"/>
                <w:w w:val="103"/>
                <w:sz w:val="21"/>
                <w:szCs w:val="21"/>
                <w:highlight w:val="none"/>
                <w:u w:val="single"/>
              </w:rPr>
              <w:t>45</w:t>
            </w:r>
            <w:r>
              <w:rPr>
                <w:color w:val="auto"/>
                <w:w w:val="103"/>
                <w:sz w:val="21"/>
                <w:szCs w:val="21"/>
                <w:highlight w:val="none"/>
              </w:rPr>
              <w:t>分</w:t>
            </w:r>
          </w:p>
          <w:p>
            <w:pPr>
              <w:pStyle w:val="22"/>
              <w:spacing w:before="1"/>
              <w:ind w:left="126"/>
              <w:jc w:val="both"/>
              <w:rPr>
                <w:color w:val="auto"/>
                <w:sz w:val="21"/>
                <w:szCs w:val="21"/>
                <w:highlight w:val="none"/>
              </w:rPr>
            </w:pPr>
            <w:r>
              <w:rPr>
                <w:color w:val="auto"/>
                <w:spacing w:val="1"/>
                <w:w w:val="131"/>
                <w:sz w:val="21"/>
                <w:szCs w:val="21"/>
                <w:highlight w:val="none"/>
              </w:rPr>
              <w:t>3</w:t>
            </w:r>
            <w:r>
              <w:rPr>
                <w:color w:val="auto"/>
                <w:w w:val="103"/>
                <w:sz w:val="21"/>
                <w:szCs w:val="21"/>
                <w:highlight w:val="none"/>
              </w:rPr>
              <w:t>、技术部分</w:t>
            </w:r>
            <w:r>
              <w:rPr>
                <w:rFonts w:hint="eastAsia"/>
                <w:color w:val="auto"/>
                <w:w w:val="103"/>
                <w:sz w:val="21"/>
                <w:szCs w:val="21"/>
                <w:highlight w:val="none"/>
                <w:u w:val="single"/>
              </w:rPr>
              <w:t>45</w:t>
            </w:r>
            <w:r>
              <w:rPr>
                <w:color w:val="auto"/>
                <w:w w:val="103"/>
                <w:sz w:val="21"/>
                <w:szCs w:val="21"/>
                <w:highlight w:val="none"/>
              </w:rPr>
              <w:t>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tcBorders>
              <w:tl2br w:val="nil"/>
              <w:tr2bl w:val="nil"/>
            </w:tcBorders>
            <w:shd w:val="clear" w:color="auto" w:fill="auto"/>
            <w:noWrap w:val="0"/>
            <w:vAlign w:val="center"/>
          </w:tcPr>
          <w:p>
            <w:pPr>
              <w:pStyle w:val="22"/>
              <w:spacing w:before="11"/>
              <w:jc w:val="both"/>
              <w:rPr>
                <w:b/>
                <w:color w:val="auto"/>
                <w:sz w:val="21"/>
                <w:szCs w:val="21"/>
                <w:highlight w:val="none"/>
              </w:rPr>
            </w:pPr>
          </w:p>
          <w:p>
            <w:pPr>
              <w:pStyle w:val="22"/>
              <w:jc w:val="both"/>
              <w:rPr>
                <w:b/>
                <w:color w:val="auto"/>
                <w:sz w:val="21"/>
                <w:szCs w:val="21"/>
                <w:highlight w:val="none"/>
              </w:rPr>
            </w:pPr>
            <w:r>
              <w:rPr>
                <w:b/>
                <w:color w:val="auto"/>
                <w:w w:val="105"/>
                <w:sz w:val="21"/>
                <w:szCs w:val="21"/>
                <w:highlight w:val="none"/>
              </w:rPr>
              <w:t>报价得分</w:t>
            </w:r>
          </w:p>
        </w:tc>
        <w:tc>
          <w:tcPr>
            <w:tcW w:w="1237" w:type="dxa"/>
            <w:tcBorders>
              <w:tl2br w:val="nil"/>
              <w:tr2bl w:val="nil"/>
            </w:tcBorders>
            <w:shd w:val="clear" w:color="auto" w:fill="auto"/>
            <w:noWrap w:val="0"/>
            <w:vAlign w:val="center"/>
          </w:tcPr>
          <w:p>
            <w:pPr>
              <w:pStyle w:val="22"/>
              <w:spacing w:before="11"/>
              <w:jc w:val="both"/>
              <w:rPr>
                <w:b/>
                <w:color w:val="auto"/>
                <w:sz w:val="21"/>
                <w:szCs w:val="21"/>
                <w:highlight w:val="none"/>
              </w:rPr>
            </w:pPr>
          </w:p>
          <w:p>
            <w:pPr>
              <w:pStyle w:val="22"/>
              <w:ind w:left="137"/>
              <w:jc w:val="both"/>
              <w:rPr>
                <w:color w:val="auto"/>
                <w:sz w:val="21"/>
                <w:szCs w:val="21"/>
                <w:highlight w:val="none"/>
              </w:rPr>
            </w:pPr>
            <w:r>
              <w:rPr>
                <w:color w:val="auto"/>
                <w:w w:val="103"/>
                <w:sz w:val="21"/>
                <w:szCs w:val="21"/>
                <w:highlight w:val="none"/>
              </w:rPr>
              <w:t>投标报价得分（</w:t>
            </w:r>
            <w:r>
              <w:rPr>
                <w:rFonts w:hint="eastAsia"/>
                <w:color w:val="auto"/>
                <w:w w:val="103"/>
                <w:sz w:val="21"/>
                <w:szCs w:val="21"/>
                <w:highlight w:val="none"/>
                <w:u w:val="single"/>
              </w:rPr>
              <w:t>10</w:t>
            </w:r>
            <w:r>
              <w:rPr>
                <w:color w:val="auto"/>
                <w:w w:val="103"/>
                <w:sz w:val="21"/>
                <w:szCs w:val="21"/>
                <w:highlight w:val="none"/>
              </w:rPr>
              <w:t>分）</w:t>
            </w:r>
          </w:p>
        </w:tc>
        <w:tc>
          <w:tcPr>
            <w:tcW w:w="5849" w:type="dxa"/>
            <w:tcBorders>
              <w:tl2br w:val="nil"/>
              <w:tr2bl w:val="nil"/>
            </w:tcBorders>
            <w:shd w:val="clear" w:color="auto" w:fill="auto"/>
            <w:noWrap w:val="0"/>
            <w:vAlign w:val="center"/>
          </w:tcPr>
          <w:p>
            <w:pPr>
              <w:spacing w:line="360" w:lineRule="exact"/>
              <w:jc w:val="both"/>
              <w:rPr>
                <w:color w:val="auto"/>
                <w:sz w:val="21"/>
                <w:szCs w:val="21"/>
                <w:highlight w:val="none"/>
              </w:rPr>
            </w:pPr>
            <w:r>
              <w:rPr>
                <w:color w:val="auto"/>
                <w:spacing w:val="-1"/>
                <w:sz w:val="21"/>
                <w:szCs w:val="21"/>
                <w:highlight w:val="none"/>
              </w:rPr>
              <w:t>投标报价得分＝（</w:t>
            </w:r>
            <w:r>
              <w:rPr>
                <w:color w:val="auto"/>
                <w:sz w:val="21"/>
                <w:szCs w:val="21"/>
                <w:highlight w:val="none"/>
              </w:rPr>
              <w:t>评标基准价/投标报价）×价格权值×100（</w:t>
            </w:r>
            <w:r>
              <w:rPr>
                <w:color w:val="auto"/>
                <w:spacing w:val="-2"/>
                <w:sz w:val="21"/>
                <w:szCs w:val="21"/>
                <w:highlight w:val="none"/>
              </w:rPr>
              <w:t xml:space="preserve">注：满足招标文件要求且投标价格  </w:t>
            </w:r>
            <w:r>
              <w:rPr>
                <w:color w:val="auto"/>
                <w:w w:val="105"/>
                <w:sz w:val="21"/>
                <w:szCs w:val="21"/>
                <w:highlight w:val="none"/>
              </w:rPr>
              <w:t>最低的投标报价为评标基准价。）</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vMerge w:val="restart"/>
            <w:tcBorders>
              <w:tl2br w:val="nil"/>
              <w:tr2bl w:val="nil"/>
            </w:tcBorders>
            <w:shd w:val="clear" w:color="auto" w:fill="auto"/>
            <w:noWrap w:val="0"/>
            <w:vAlign w:val="center"/>
          </w:tcPr>
          <w:p>
            <w:pPr>
              <w:pStyle w:val="22"/>
              <w:spacing w:before="6"/>
              <w:jc w:val="both"/>
              <w:rPr>
                <w:b/>
                <w:color w:val="auto"/>
                <w:sz w:val="21"/>
                <w:szCs w:val="21"/>
                <w:highlight w:val="none"/>
              </w:rPr>
            </w:pPr>
          </w:p>
          <w:p>
            <w:pPr>
              <w:pStyle w:val="22"/>
              <w:ind w:right="332"/>
              <w:jc w:val="both"/>
              <w:rPr>
                <w:b/>
                <w:color w:val="auto"/>
                <w:sz w:val="21"/>
                <w:szCs w:val="21"/>
                <w:highlight w:val="none"/>
              </w:rPr>
            </w:pPr>
            <w:r>
              <w:rPr>
                <w:b/>
                <w:color w:val="auto"/>
                <w:w w:val="105"/>
                <w:sz w:val="21"/>
                <w:szCs w:val="21"/>
                <w:highlight w:val="none"/>
              </w:rPr>
              <w:t>商务部分</w:t>
            </w:r>
          </w:p>
        </w:tc>
        <w:tc>
          <w:tcPr>
            <w:tcW w:w="1237" w:type="dxa"/>
            <w:vMerge w:val="restart"/>
            <w:tcBorders>
              <w:tl2br w:val="nil"/>
              <w:tr2bl w:val="nil"/>
            </w:tcBorders>
            <w:shd w:val="clear" w:color="auto" w:fill="auto"/>
            <w:noWrap w:val="0"/>
            <w:vAlign w:val="center"/>
          </w:tcPr>
          <w:p>
            <w:pPr>
              <w:pStyle w:val="22"/>
              <w:spacing w:before="160"/>
              <w:ind w:left="137"/>
              <w:jc w:val="both"/>
              <w:rPr>
                <w:rFonts w:hint="eastAsia"/>
                <w:color w:val="auto"/>
                <w:w w:val="103"/>
                <w:sz w:val="21"/>
                <w:szCs w:val="21"/>
                <w:highlight w:val="none"/>
              </w:rPr>
            </w:pPr>
            <w:r>
              <w:rPr>
                <w:rFonts w:hint="eastAsia"/>
                <w:color w:val="auto"/>
                <w:w w:val="103"/>
                <w:sz w:val="21"/>
                <w:szCs w:val="21"/>
                <w:highlight w:val="none"/>
              </w:rPr>
              <w:t>综合实力</w:t>
            </w:r>
          </w:p>
          <w:p>
            <w:pPr>
              <w:pStyle w:val="22"/>
              <w:spacing w:before="160"/>
              <w:ind w:left="137"/>
              <w:jc w:val="both"/>
              <w:rPr>
                <w:rFonts w:hint="eastAsia"/>
                <w:color w:val="auto"/>
                <w:w w:val="103"/>
                <w:sz w:val="21"/>
                <w:szCs w:val="21"/>
                <w:highlight w:val="none"/>
              </w:rPr>
            </w:pPr>
            <w:r>
              <w:rPr>
                <w:color w:val="auto"/>
                <w:w w:val="103"/>
                <w:sz w:val="21"/>
                <w:szCs w:val="21"/>
                <w:highlight w:val="none"/>
              </w:rPr>
              <w:t>（</w:t>
            </w:r>
            <w:r>
              <w:rPr>
                <w:rFonts w:hint="eastAsia"/>
                <w:color w:val="auto"/>
                <w:w w:val="103"/>
                <w:sz w:val="21"/>
                <w:szCs w:val="21"/>
                <w:highlight w:val="none"/>
                <w:u w:val="single"/>
              </w:rPr>
              <w:t>10</w:t>
            </w:r>
            <w:r>
              <w:rPr>
                <w:color w:val="auto"/>
                <w:w w:val="103"/>
                <w:sz w:val="21"/>
                <w:szCs w:val="21"/>
                <w:highlight w:val="none"/>
              </w:rPr>
              <w:t>分）</w:t>
            </w:r>
          </w:p>
          <w:p>
            <w:pPr>
              <w:pStyle w:val="22"/>
              <w:spacing w:before="160"/>
              <w:ind w:left="137"/>
              <w:jc w:val="both"/>
              <w:rPr>
                <w:color w:val="auto"/>
                <w:w w:val="103"/>
                <w:sz w:val="21"/>
                <w:szCs w:val="21"/>
                <w:highlight w:val="none"/>
                <w:u w:val="single"/>
              </w:rPr>
            </w:pPr>
          </w:p>
        </w:tc>
        <w:tc>
          <w:tcPr>
            <w:tcW w:w="5849" w:type="dxa"/>
            <w:tcBorders>
              <w:tl2br w:val="nil"/>
              <w:tr2bl w:val="nil"/>
            </w:tcBorders>
            <w:shd w:val="clear" w:color="auto" w:fill="auto"/>
            <w:noWrap w:val="0"/>
            <w:vAlign w:val="center"/>
          </w:tcPr>
          <w:p>
            <w:pPr>
              <w:spacing w:line="360" w:lineRule="exact"/>
              <w:jc w:val="both"/>
              <w:rPr>
                <w:color w:val="auto"/>
                <w:sz w:val="21"/>
                <w:szCs w:val="21"/>
                <w:highlight w:val="none"/>
              </w:rPr>
            </w:pPr>
            <w:r>
              <w:rPr>
                <w:rFonts w:hint="eastAsia"/>
                <w:color w:val="auto"/>
                <w:sz w:val="21"/>
                <w:szCs w:val="21"/>
                <w:highlight w:val="none"/>
              </w:rPr>
              <w:t>投标人具有市级民政</w:t>
            </w:r>
            <w:r>
              <w:rPr>
                <w:color w:val="auto"/>
                <w:sz w:val="21"/>
                <w:szCs w:val="21"/>
                <w:highlight w:val="none"/>
              </w:rPr>
              <w:t>部门</w:t>
            </w:r>
            <w:r>
              <w:rPr>
                <w:rFonts w:hint="eastAsia"/>
                <w:color w:val="auto"/>
                <w:sz w:val="21"/>
                <w:szCs w:val="21"/>
                <w:highlight w:val="none"/>
              </w:rPr>
              <w:t>颁发且</w:t>
            </w:r>
            <w:r>
              <w:rPr>
                <w:color w:val="auto"/>
                <w:sz w:val="21"/>
                <w:szCs w:val="21"/>
                <w:highlight w:val="none"/>
              </w:rPr>
              <w:t>在有效期内</w:t>
            </w:r>
            <w:r>
              <w:rPr>
                <w:rFonts w:hint="eastAsia"/>
                <w:color w:val="auto"/>
                <w:sz w:val="21"/>
                <w:szCs w:val="21"/>
                <w:highlight w:val="none"/>
              </w:rPr>
              <w:t>的社会组织等级评估5A级得5分，4A级得3分，3A级或以下得1分，本项最高得5分，不提供证明材料不得分。（需提供相关证书复印件并加盖供应商公章。）</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vMerge w:val="continue"/>
            <w:tcBorders>
              <w:tl2br w:val="nil"/>
              <w:tr2bl w:val="nil"/>
            </w:tcBorders>
            <w:shd w:val="clear" w:color="auto" w:fill="auto"/>
            <w:noWrap w:val="0"/>
            <w:vAlign w:val="center"/>
          </w:tcPr>
          <w:p>
            <w:pPr>
              <w:pStyle w:val="22"/>
              <w:spacing w:before="6"/>
              <w:jc w:val="both"/>
              <w:rPr>
                <w:b/>
                <w:color w:val="auto"/>
                <w:sz w:val="21"/>
                <w:szCs w:val="21"/>
                <w:highlight w:val="none"/>
              </w:rPr>
            </w:pPr>
          </w:p>
        </w:tc>
        <w:tc>
          <w:tcPr>
            <w:tcW w:w="1237" w:type="dxa"/>
            <w:vMerge w:val="continue"/>
            <w:tcBorders>
              <w:tl2br w:val="nil"/>
              <w:tr2bl w:val="nil"/>
            </w:tcBorders>
            <w:shd w:val="clear" w:color="auto" w:fill="auto"/>
            <w:noWrap w:val="0"/>
            <w:vAlign w:val="center"/>
          </w:tcPr>
          <w:p>
            <w:pPr>
              <w:pStyle w:val="22"/>
              <w:spacing w:before="160"/>
              <w:ind w:left="137"/>
              <w:jc w:val="both"/>
              <w:rPr>
                <w:color w:val="auto"/>
                <w:w w:val="103"/>
                <w:sz w:val="21"/>
                <w:szCs w:val="21"/>
                <w:highlight w:val="none"/>
                <w:u w:val="single"/>
              </w:rPr>
            </w:pPr>
          </w:p>
        </w:tc>
        <w:tc>
          <w:tcPr>
            <w:tcW w:w="5849" w:type="dxa"/>
            <w:tcBorders>
              <w:tl2br w:val="nil"/>
              <w:tr2bl w:val="nil"/>
            </w:tcBorders>
            <w:shd w:val="clear" w:color="auto" w:fill="auto"/>
            <w:noWrap w:val="0"/>
            <w:vAlign w:val="center"/>
          </w:tcPr>
          <w:p>
            <w:pPr>
              <w:spacing w:line="360" w:lineRule="exact"/>
              <w:jc w:val="both"/>
              <w:rPr>
                <w:color w:val="auto"/>
                <w:sz w:val="21"/>
                <w:szCs w:val="21"/>
                <w:highlight w:val="none"/>
              </w:rPr>
            </w:pPr>
            <w:r>
              <w:rPr>
                <w:rFonts w:hint="eastAsia"/>
                <w:color w:val="auto"/>
                <w:sz w:val="21"/>
                <w:szCs w:val="21"/>
                <w:highlight w:val="none"/>
              </w:rPr>
              <w:t>投标人自</w:t>
            </w:r>
            <w:r>
              <w:rPr>
                <w:color w:val="auto"/>
                <w:sz w:val="21"/>
                <w:szCs w:val="21"/>
                <w:highlight w:val="none"/>
              </w:rPr>
              <w:t>2019年以来，具有市级或以上民政部门举办的社会工作服务机构综合评估的，每年度评估结果获得良好等级或以上的，每个得</w:t>
            </w:r>
            <w:r>
              <w:rPr>
                <w:rFonts w:hint="eastAsia"/>
                <w:color w:val="auto"/>
                <w:sz w:val="21"/>
                <w:szCs w:val="21"/>
                <w:highlight w:val="none"/>
              </w:rPr>
              <w:t>2.5</w:t>
            </w:r>
            <w:r>
              <w:rPr>
                <w:color w:val="auto"/>
                <w:sz w:val="21"/>
                <w:szCs w:val="21"/>
                <w:highlight w:val="none"/>
              </w:rPr>
              <w:t>分；获得合格等级的，每个得</w:t>
            </w:r>
            <w:r>
              <w:rPr>
                <w:rFonts w:hint="eastAsia"/>
                <w:color w:val="auto"/>
                <w:sz w:val="21"/>
                <w:szCs w:val="21"/>
                <w:highlight w:val="none"/>
              </w:rPr>
              <w:t>1</w:t>
            </w:r>
            <w:r>
              <w:rPr>
                <w:color w:val="auto"/>
                <w:sz w:val="21"/>
                <w:szCs w:val="21"/>
                <w:highlight w:val="none"/>
              </w:rPr>
              <w:t>分，其他不得分；可累计叠加，此项最高</w:t>
            </w:r>
            <w:r>
              <w:rPr>
                <w:rFonts w:hint="eastAsia"/>
                <w:color w:val="auto"/>
                <w:sz w:val="21"/>
                <w:szCs w:val="21"/>
                <w:highlight w:val="none"/>
              </w:rPr>
              <w:t>5</w:t>
            </w:r>
            <w:r>
              <w:rPr>
                <w:color w:val="auto"/>
                <w:sz w:val="21"/>
                <w:szCs w:val="21"/>
                <w:highlight w:val="none"/>
              </w:rPr>
              <w:t>分。（须提供社会工作发展综合评估结果并加盖供应商公章，否则不得分）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vMerge w:val="continue"/>
            <w:tcBorders>
              <w:tl2br w:val="nil"/>
              <w:tr2bl w:val="nil"/>
            </w:tcBorders>
            <w:shd w:val="clear" w:color="auto" w:fill="auto"/>
            <w:noWrap w:val="0"/>
            <w:vAlign w:val="center"/>
          </w:tcPr>
          <w:p>
            <w:pPr>
              <w:pStyle w:val="22"/>
              <w:spacing w:before="6"/>
              <w:jc w:val="both"/>
              <w:rPr>
                <w:b/>
                <w:color w:val="auto"/>
                <w:sz w:val="21"/>
                <w:szCs w:val="21"/>
                <w:highlight w:val="none"/>
              </w:rPr>
            </w:pPr>
          </w:p>
        </w:tc>
        <w:tc>
          <w:tcPr>
            <w:tcW w:w="1237" w:type="dxa"/>
            <w:tcBorders>
              <w:tl2br w:val="nil"/>
              <w:tr2bl w:val="nil"/>
            </w:tcBorders>
            <w:shd w:val="clear" w:color="auto" w:fill="auto"/>
            <w:noWrap w:val="0"/>
            <w:vAlign w:val="center"/>
          </w:tcPr>
          <w:p>
            <w:pPr>
              <w:spacing w:before="160"/>
              <w:ind w:left="137"/>
              <w:jc w:val="both"/>
              <w:rPr>
                <w:rFonts w:hint="eastAsia"/>
                <w:color w:val="auto"/>
                <w:w w:val="103"/>
                <w:sz w:val="21"/>
                <w:szCs w:val="21"/>
                <w:highlight w:val="none"/>
              </w:rPr>
            </w:pPr>
            <w:r>
              <w:rPr>
                <w:rFonts w:hint="eastAsia"/>
                <w:color w:val="auto"/>
                <w:w w:val="103"/>
                <w:sz w:val="21"/>
                <w:szCs w:val="21"/>
                <w:highlight w:val="none"/>
              </w:rPr>
              <w:t>服务业绩</w:t>
            </w:r>
          </w:p>
          <w:p>
            <w:pPr>
              <w:spacing w:before="160"/>
              <w:ind w:left="137"/>
              <w:jc w:val="both"/>
              <w:rPr>
                <w:rFonts w:hint="eastAsia"/>
                <w:color w:val="auto"/>
                <w:w w:val="103"/>
                <w:sz w:val="21"/>
                <w:szCs w:val="21"/>
                <w:highlight w:val="none"/>
                <w:u w:val="single"/>
              </w:rPr>
            </w:pPr>
            <w:r>
              <w:rPr>
                <w:color w:val="auto"/>
                <w:w w:val="103"/>
                <w:sz w:val="21"/>
                <w:szCs w:val="21"/>
                <w:highlight w:val="none"/>
              </w:rPr>
              <w:t>（</w:t>
            </w:r>
            <w:r>
              <w:rPr>
                <w:rFonts w:hint="eastAsia"/>
                <w:color w:val="auto"/>
                <w:w w:val="103"/>
                <w:sz w:val="21"/>
                <w:szCs w:val="21"/>
                <w:highlight w:val="none"/>
              </w:rPr>
              <w:t>10</w:t>
            </w:r>
            <w:r>
              <w:rPr>
                <w:color w:val="auto"/>
                <w:w w:val="103"/>
                <w:sz w:val="21"/>
                <w:szCs w:val="21"/>
                <w:highlight w:val="none"/>
              </w:rPr>
              <w:t>分）</w:t>
            </w:r>
          </w:p>
        </w:tc>
        <w:tc>
          <w:tcPr>
            <w:tcW w:w="5849" w:type="dxa"/>
            <w:tcBorders>
              <w:tl2br w:val="nil"/>
              <w:tr2bl w:val="nil"/>
            </w:tcBorders>
            <w:shd w:val="clear" w:color="auto" w:fill="auto"/>
            <w:noWrap w:val="0"/>
            <w:vAlign w:val="center"/>
          </w:tcPr>
          <w:p>
            <w:pPr>
              <w:spacing w:line="360" w:lineRule="exact"/>
              <w:jc w:val="both"/>
              <w:rPr>
                <w:rFonts w:hint="eastAsia"/>
                <w:color w:val="auto"/>
                <w:sz w:val="21"/>
                <w:szCs w:val="21"/>
                <w:highlight w:val="none"/>
              </w:rPr>
            </w:pPr>
            <w:r>
              <w:rPr>
                <w:rFonts w:hint="eastAsia"/>
                <w:color w:val="auto"/>
                <w:w w:val="105"/>
                <w:sz w:val="21"/>
                <w:szCs w:val="21"/>
                <w:highlight w:val="none"/>
              </w:rPr>
              <w:t>投标人作为合同签订</w:t>
            </w:r>
            <w:r>
              <w:rPr>
                <w:color w:val="auto"/>
                <w:w w:val="105"/>
                <w:sz w:val="21"/>
                <w:szCs w:val="21"/>
                <w:highlight w:val="none"/>
              </w:rPr>
              <w:t>方，</w:t>
            </w:r>
            <w:r>
              <w:rPr>
                <w:rFonts w:hint="eastAsia"/>
                <w:color w:val="auto"/>
                <w:w w:val="105"/>
                <w:sz w:val="21"/>
                <w:szCs w:val="21"/>
                <w:highlight w:val="none"/>
              </w:rPr>
              <w:t>自</w:t>
            </w:r>
            <w:r>
              <w:rPr>
                <w:color w:val="auto"/>
                <w:w w:val="105"/>
                <w:sz w:val="21"/>
                <w:szCs w:val="21"/>
                <w:highlight w:val="none"/>
              </w:rPr>
              <w:t>2019年</w:t>
            </w:r>
            <w:r>
              <w:rPr>
                <w:rFonts w:hint="eastAsia"/>
                <w:color w:val="auto"/>
                <w:w w:val="105"/>
                <w:sz w:val="21"/>
                <w:szCs w:val="21"/>
                <w:highlight w:val="none"/>
              </w:rPr>
              <w:t>以来承接</w:t>
            </w:r>
            <w:r>
              <w:rPr>
                <w:color w:val="auto"/>
                <w:w w:val="105"/>
                <w:sz w:val="21"/>
                <w:szCs w:val="21"/>
                <w:highlight w:val="none"/>
              </w:rPr>
              <w:t>的社区矫正类服务业绩</w:t>
            </w:r>
            <w:r>
              <w:rPr>
                <w:rFonts w:hint="eastAsia"/>
                <w:color w:val="auto"/>
                <w:w w:val="105"/>
                <w:sz w:val="21"/>
                <w:szCs w:val="21"/>
                <w:highlight w:val="none"/>
              </w:rPr>
              <w:t>（以</w:t>
            </w:r>
            <w:r>
              <w:rPr>
                <w:color w:val="auto"/>
                <w:w w:val="105"/>
                <w:sz w:val="21"/>
                <w:szCs w:val="21"/>
                <w:highlight w:val="none"/>
              </w:rPr>
              <w:t>合同</w:t>
            </w:r>
            <w:r>
              <w:rPr>
                <w:rFonts w:hint="eastAsia"/>
                <w:color w:val="auto"/>
                <w:w w:val="105"/>
                <w:sz w:val="21"/>
                <w:szCs w:val="21"/>
                <w:highlight w:val="none"/>
              </w:rPr>
              <w:t>签订日期</w:t>
            </w:r>
            <w:r>
              <w:rPr>
                <w:color w:val="auto"/>
                <w:w w:val="105"/>
                <w:sz w:val="21"/>
                <w:szCs w:val="21"/>
                <w:highlight w:val="none"/>
              </w:rPr>
              <w:t>为准</w:t>
            </w:r>
            <w:r>
              <w:rPr>
                <w:rFonts w:hint="eastAsia"/>
                <w:color w:val="auto"/>
                <w:w w:val="105"/>
                <w:sz w:val="21"/>
                <w:szCs w:val="21"/>
                <w:highlight w:val="none"/>
              </w:rPr>
              <w:t>）</w:t>
            </w:r>
            <w:r>
              <w:rPr>
                <w:color w:val="auto"/>
                <w:w w:val="105"/>
                <w:sz w:val="21"/>
                <w:szCs w:val="21"/>
                <w:highlight w:val="none"/>
              </w:rPr>
              <w:t>，每提供一个得2分，与同一项目购买方签署的合同不重复计分，最高得10分。（需提供完整合同复印件加盖投标人公章）</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vMerge w:val="continue"/>
            <w:tcBorders>
              <w:tl2br w:val="nil"/>
              <w:tr2bl w:val="nil"/>
            </w:tcBorders>
            <w:shd w:val="clear" w:color="auto" w:fill="auto"/>
            <w:noWrap w:val="0"/>
            <w:vAlign w:val="center"/>
          </w:tcPr>
          <w:p>
            <w:pPr>
              <w:pStyle w:val="22"/>
              <w:spacing w:before="6"/>
              <w:jc w:val="both"/>
              <w:rPr>
                <w:b/>
                <w:color w:val="auto"/>
                <w:sz w:val="21"/>
                <w:szCs w:val="21"/>
                <w:highlight w:val="none"/>
              </w:rPr>
            </w:pPr>
          </w:p>
        </w:tc>
        <w:tc>
          <w:tcPr>
            <w:tcW w:w="1237" w:type="dxa"/>
            <w:tcBorders>
              <w:tl2br w:val="nil"/>
              <w:tr2bl w:val="nil"/>
            </w:tcBorders>
            <w:shd w:val="clear" w:color="auto" w:fill="auto"/>
            <w:noWrap w:val="0"/>
            <w:vAlign w:val="center"/>
          </w:tcPr>
          <w:p>
            <w:pPr>
              <w:spacing w:before="160"/>
              <w:ind w:left="137"/>
              <w:jc w:val="both"/>
              <w:rPr>
                <w:color w:val="auto"/>
                <w:w w:val="103"/>
                <w:sz w:val="21"/>
                <w:szCs w:val="21"/>
                <w:highlight w:val="none"/>
              </w:rPr>
            </w:pPr>
            <w:r>
              <w:rPr>
                <w:rFonts w:hint="eastAsia"/>
                <w:color w:val="auto"/>
                <w:w w:val="103"/>
                <w:sz w:val="21"/>
                <w:szCs w:val="21"/>
                <w:highlight w:val="none"/>
              </w:rPr>
              <w:t>拟派项目负责人情况（10分）</w:t>
            </w:r>
          </w:p>
        </w:tc>
        <w:tc>
          <w:tcPr>
            <w:tcW w:w="5849" w:type="dxa"/>
            <w:tcBorders>
              <w:tl2br w:val="nil"/>
              <w:tr2bl w:val="nil"/>
            </w:tcBorders>
            <w:shd w:val="clear" w:color="auto" w:fill="auto"/>
            <w:noWrap w:val="0"/>
            <w:vAlign w:val="center"/>
          </w:tcPr>
          <w:p>
            <w:pPr>
              <w:spacing w:line="360" w:lineRule="exact"/>
              <w:jc w:val="both"/>
              <w:rPr>
                <w:rFonts w:hint="eastAsia"/>
                <w:color w:val="auto"/>
                <w:sz w:val="21"/>
                <w:szCs w:val="21"/>
                <w:highlight w:val="none"/>
              </w:rPr>
            </w:pPr>
            <w:r>
              <w:rPr>
                <w:rFonts w:hint="eastAsia"/>
                <w:color w:val="auto"/>
                <w:w w:val="103"/>
                <w:sz w:val="21"/>
                <w:szCs w:val="21"/>
                <w:highlight w:val="none"/>
              </w:rPr>
              <w:t>拟派项目负责人</w:t>
            </w:r>
            <w:r>
              <w:rPr>
                <w:color w:val="auto"/>
                <w:sz w:val="21"/>
                <w:szCs w:val="21"/>
                <w:highlight w:val="none"/>
              </w:rPr>
              <w:t>具有高级社会工作师资格证书，得</w:t>
            </w:r>
            <w:r>
              <w:rPr>
                <w:rFonts w:hint="eastAsia"/>
                <w:color w:val="auto"/>
                <w:sz w:val="21"/>
                <w:szCs w:val="21"/>
                <w:highlight w:val="none"/>
              </w:rPr>
              <w:t>10</w:t>
            </w:r>
            <w:r>
              <w:rPr>
                <w:color w:val="auto"/>
                <w:sz w:val="21"/>
                <w:szCs w:val="21"/>
                <w:highlight w:val="none"/>
              </w:rPr>
              <w:t>分</w:t>
            </w:r>
            <w:r>
              <w:rPr>
                <w:rFonts w:hint="eastAsia"/>
                <w:color w:val="auto"/>
                <w:sz w:val="21"/>
                <w:szCs w:val="21"/>
                <w:highlight w:val="none"/>
              </w:rPr>
              <w:t>，其他情况不得分</w:t>
            </w:r>
            <w:r>
              <w:rPr>
                <w:color w:val="auto"/>
                <w:sz w:val="21"/>
                <w:szCs w:val="21"/>
                <w:highlight w:val="none"/>
              </w:rPr>
              <w:t>。（须提供人员相关证书及距开标时间（不含当月）近</w:t>
            </w:r>
            <w:r>
              <w:rPr>
                <w:rFonts w:hint="eastAsia"/>
                <w:color w:val="auto"/>
                <w:sz w:val="21"/>
                <w:szCs w:val="21"/>
                <w:highlight w:val="none"/>
              </w:rPr>
              <w:t>一</w:t>
            </w:r>
            <w:r>
              <w:rPr>
                <w:color w:val="auto"/>
                <w:sz w:val="21"/>
                <w:szCs w:val="21"/>
                <w:highlight w:val="none"/>
              </w:rPr>
              <w:t>年内任意</w:t>
            </w:r>
            <w:r>
              <w:rPr>
                <w:rFonts w:hint="eastAsia"/>
                <w:color w:val="auto"/>
                <w:sz w:val="21"/>
                <w:szCs w:val="21"/>
                <w:highlight w:val="none"/>
              </w:rPr>
              <w:t>六</w:t>
            </w:r>
            <w:r>
              <w:rPr>
                <w:color w:val="auto"/>
                <w:sz w:val="21"/>
                <w:szCs w:val="21"/>
                <w:highlight w:val="none"/>
              </w:rPr>
              <w:t>个月投标人为其购买的社保证明复印件加盖投标人公章。）</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vMerge w:val="continue"/>
            <w:tcBorders>
              <w:tl2br w:val="nil"/>
              <w:tr2bl w:val="nil"/>
            </w:tcBorders>
            <w:shd w:val="clear" w:color="auto" w:fill="auto"/>
            <w:noWrap w:val="0"/>
            <w:vAlign w:val="center"/>
          </w:tcPr>
          <w:p>
            <w:pPr>
              <w:pStyle w:val="22"/>
              <w:spacing w:before="6"/>
              <w:jc w:val="both"/>
              <w:rPr>
                <w:b/>
                <w:color w:val="auto"/>
                <w:sz w:val="21"/>
                <w:szCs w:val="21"/>
                <w:highlight w:val="none"/>
              </w:rPr>
            </w:pPr>
          </w:p>
        </w:tc>
        <w:tc>
          <w:tcPr>
            <w:tcW w:w="1237" w:type="dxa"/>
            <w:tcBorders>
              <w:tl2br w:val="nil"/>
              <w:tr2bl w:val="nil"/>
            </w:tcBorders>
            <w:shd w:val="clear" w:color="auto" w:fill="auto"/>
            <w:noWrap w:val="0"/>
            <w:vAlign w:val="center"/>
          </w:tcPr>
          <w:p>
            <w:pPr>
              <w:spacing w:before="160"/>
              <w:ind w:left="137"/>
              <w:jc w:val="both"/>
              <w:rPr>
                <w:rFonts w:hint="eastAsia"/>
                <w:color w:val="auto"/>
                <w:w w:val="103"/>
                <w:sz w:val="21"/>
                <w:szCs w:val="21"/>
                <w:highlight w:val="none"/>
                <w:u w:val="single"/>
              </w:rPr>
            </w:pPr>
            <w:r>
              <w:rPr>
                <w:rFonts w:hint="eastAsia"/>
                <w:color w:val="auto"/>
                <w:w w:val="103"/>
                <w:sz w:val="21"/>
                <w:szCs w:val="21"/>
                <w:highlight w:val="none"/>
              </w:rPr>
              <w:t>拟派人员情况</w:t>
            </w:r>
            <w:r>
              <w:rPr>
                <w:color w:val="auto"/>
                <w:w w:val="103"/>
                <w:sz w:val="21"/>
                <w:szCs w:val="21"/>
                <w:highlight w:val="none"/>
              </w:rPr>
              <w:t>（</w:t>
            </w:r>
            <w:r>
              <w:rPr>
                <w:rFonts w:hint="eastAsia"/>
                <w:color w:val="auto"/>
                <w:w w:val="103"/>
                <w:sz w:val="21"/>
                <w:szCs w:val="21"/>
                <w:highlight w:val="none"/>
                <w:u w:val="single"/>
              </w:rPr>
              <w:t>15</w:t>
            </w:r>
            <w:r>
              <w:rPr>
                <w:color w:val="auto"/>
                <w:w w:val="103"/>
                <w:sz w:val="21"/>
                <w:szCs w:val="21"/>
                <w:highlight w:val="none"/>
              </w:rPr>
              <w:t>分）</w:t>
            </w:r>
          </w:p>
        </w:tc>
        <w:tc>
          <w:tcPr>
            <w:tcW w:w="5849" w:type="dxa"/>
            <w:tcBorders>
              <w:tl2br w:val="nil"/>
              <w:tr2bl w:val="nil"/>
            </w:tcBorders>
            <w:shd w:val="clear" w:color="auto" w:fill="auto"/>
            <w:noWrap w:val="0"/>
            <w:vAlign w:val="center"/>
          </w:tcPr>
          <w:p>
            <w:pPr>
              <w:numPr>
                <w:ilvl w:val="0"/>
                <w:numId w:val="5"/>
              </w:numPr>
              <w:spacing w:line="360" w:lineRule="exact"/>
              <w:jc w:val="both"/>
              <w:rPr>
                <w:color w:val="auto"/>
                <w:sz w:val="21"/>
                <w:szCs w:val="21"/>
                <w:highlight w:val="none"/>
              </w:rPr>
            </w:pPr>
            <w:r>
              <w:rPr>
                <w:color w:val="auto"/>
                <w:sz w:val="21"/>
                <w:szCs w:val="21"/>
                <w:highlight w:val="none"/>
              </w:rPr>
              <w:t>拟投入本项目人员</w:t>
            </w:r>
            <w:r>
              <w:rPr>
                <w:rFonts w:hint="eastAsia"/>
                <w:color w:val="auto"/>
                <w:sz w:val="21"/>
                <w:szCs w:val="21"/>
                <w:highlight w:val="none"/>
              </w:rPr>
              <w:t>（不含项目负责人）</w:t>
            </w:r>
            <w:r>
              <w:rPr>
                <w:color w:val="auto"/>
                <w:sz w:val="21"/>
                <w:szCs w:val="21"/>
                <w:highlight w:val="none"/>
              </w:rPr>
              <w:t>具有高级社会工作师资格证书</w:t>
            </w:r>
            <w:r>
              <w:rPr>
                <w:rFonts w:hint="eastAsia"/>
                <w:color w:val="auto"/>
                <w:sz w:val="21"/>
                <w:szCs w:val="21"/>
                <w:highlight w:val="none"/>
              </w:rPr>
              <w:t>的</w:t>
            </w:r>
            <w:r>
              <w:rPr>
                <w:color w:val="auto"/>
                <w:sz w:val="21"/>
                <w:szCs w:val="21"/>
                <w:highlight w:val="none"/>
              </w:rPr>
              <w:t>，每提供一人得</w:t>
            </w:r>
            <w:r>
              <w:rPr>
                <w:rFonts w:hint="eastAsia"/>
                <w:color w:val="auto"/>
                <w:sz w:val="21"/>
                <w:szCs w:val="21"/>
                <w:highlight w:val="none"/>
              </w:rPr>
              <w:t>5</w:t>
            </w:r>
            <w:r>
              <w:rPr>
                <w:color w:val="auto"/>
                <w:sz w:val="21"/>
                <w:szCs w:val="21"/>
                <w:highlight w:val="none"/>
              </w:rPr>
              <w:t>分</w:t>
            </w:r>
            <w:r>
              <w:rPr>
                <w:rFonts w:hint="eastAsia"/>
                <w:color w:val="auto"/>
                <w:sz w:val="21"/>
                <w:szCs w:val="21"/>
                <w:highlight w:val="none"/>
              </w:rPr>
              <w:t>，</w:t>
            </w:r>
            <w:r>
              <w:rPr>
                <w:color w:val="auto"/>
                <w:sz w:val="21"/>
                <w:szCs w:val="21"/>
                <w:highlight w:val="none"/>
              </w:rPr>
              <w:t>本项最高得</w:t>
            </w:r>
            <w:r>
              <w:rPr>
                <w:rFonts w:hint="eastAsia"/>
                <w:color w:val="auto"/>
                <w:sz w:val="21"/>
                <w:szCs w:val="21"/>
                <w:highlight w:val="none"/>
              </w:rPr>
              <w:t>5</w:t>
            </w:r>
            <w:r>
              <w:rPr>
                <w:color w:val="auto"/>
                <w:sz w:val="21"/>
                <w:szCs w:val="21"/>
                <w:highlight w:val="none"/>
              </w:rPr>
              <w:t>分</w:t>
            </w:r>
            <w:r>
              <w:rPr>
                <w:rFonts w:hint="eastAsia"/>
                <w:color w:val="auto"/>
                <w:sz w:val="21"/>
                <w:szCs w:val="21"/>
                <w:highlight w:val="none"/>
              </w:rPr>
              <w:t>。</w:t>
            </w:r>
            <w:r>
              <w:rPr>
                <w:color w:val="auto"/>
                <w:sz w:val="21"/>
                <w:szCs w:val="21"/>
                <w:highlight w:val="none"/>
              </w:rPr>
              <w:t>（须提供人员相关证书及距开标时间（不含当月）近</w:t>
            </w:r>
            <w:r>
              <w:rPr>
                <w:rFonts w:hint="eastAsia"/>
                <w:color w:val="auto"/>
                <w:sz w:val="21"/>
                <w:szCs w:val="21"/>
                <w:highlight w:val="none"/>
              </w:rPr>
              <w:t>一</w:t>
            </w:r>
            <w:r>
              <w:rPr>
                <w:color w:val="auto"/>
                <w:sz w:val="21"/>
                <w:szCs w:val="21"/>
                <w:highlight w:val="none"/>
              </w:rPr>
              <w:t>年内任意</w:t>
            </w:r>
            <w:r>
              <w:rPr>
                <w:rFonts w:hint="eastAsia"/>
                <w:color w:val="auto"/>
                <w:sz w:val="21"/>
                <w:szCs w:val="21"/>
                <w:highlight w:val="none"/>
              </w:rPr>
              <w:t>六</w:t>
            </w:r>
            <w:r>
              <w:rPr>
                <w:color w:val="auto"/>
                <w:sz w:val="21"/>
                <w:szCs w:val="21"/>
                <w:highlight w:val="none"/>
              </w:rPr>
              <w:t>个月投标人为其购买的社保证明复印件加盖投标人公章。） 注：同一个人员具有多个证书，只计算一次得分。</w:t>
            </w:r>
          </w:p>
          <w:p>
            <w:pPr>
              <w:numPr>
                <w:ilvl w:val="0"/>
                <w:numId w:val="5"/>
              </w:numPr>
              <w:spacing w:line="360" w:lineRule="exact"/>
              <w:jc w:val="both"/>
              <w:rPr>
                <w:color w:val="auto"/>
                <w:sz w:val="21"/>
                <w:szCs w:val="21"/>
                <w:highlight w:val="none"/>
              </w:rPr>
            </w:pPr>
            <w:r>
              <w:rPr>
                <w:color w:val="auto"/>
                <w:sz w:val="21"/>
                <w:szCs w:val="21"/>
                <w:highlight w:val="none"/>
              </w:rPr>
              <w:t>拟投入本项目人员</w:t>
            </w:r>
            <w:r>
              <w:rPr>
                <w:rFonts w:hint="eastAsia"/>
                <w:color w:val="auto"/>
                <w:sz w:val="21"/>
                <w:szCs w:val="21"/>
                <w:highlight w:val="none"/>
              </w:rPr>
              <w:t>（不含项目负责人）</w:t>
            </w:r>
            <w:r>
              <w:rPr>
                <w:color w:val="auto"/>
                <w:sz w:val="21"/>
                <w:szCs w:val="21"/>
                <w:highlight w:val="none"/>
              </w:rPr>
              <w:t>具有</w:t>
            </w:r>
            <w:r>
              <w:rPr>
                <w:rFonts w:hint="eastAsia"/>
                <w:color w:val="auto"/>
                <w:sz w:val="21"/>
                <w:szCs w:val="21"/>
                <w:highlight w:val="none"/>
              </w:rPr>
              <w:t>中级</w:t>
            </w:r>
            <w:r>
              <w:rPr>
                <w:color w:val="auto"/>
                <w:sz w:val="21"/>
                <w:szCs w:val="21"/>
                <w:highlight w:val="none"/>
              </w:rPr>
              <w:t>社会工作师资格证书</w:t>
            </w:r>
            <w:r>
              <w:rPr>
                <w:rFonts w:hint="eastAsia"/>
                <w:color w:val="auto"/>
                <w:sz w:val="21"/>
                <w:szCs w:val="21"/>
                <w:highlight w:val="none"/>
              </w:rPr>
              <w:t>的</w:t>
            </w:r>
            <w:r>
              <w:rPr>
                <w:color w:val="auto"/>
                <w:sz w:val="21"/>
                <w:szCs w:val="21"/>
                <w:highlight w:val="none"/>
              </w:rPr>
              <w:t>，每提供一人得</w:t>
            </w:r>
            <w:r>
              <w:rPr>
                <w:rFonts w:hint="eastAsia"/>
                <w:color w:val="auto"/>
                <w:sz w:val="21"/>
                <w:szCs w:val="21"/>
                <w:highlight w:val="none"/>
              </w:rPr>
              <w:t>1</w:t>
            </w:r>
            <w:r>
              <w:rPr>
                <w:color w:val="auto"/>
                <w:sz w:val="21"/>
                <w:szCs w:val="21"/>
                <w:highlight w:val="none"/>
              </w:rPr>
              <w:t>分 本项最高得</w:t>
            </w:r>
            <w:r>
              <w:rPr>
                <w:rFonts w:hint="eastAsia"/>
                <w:color w:val="auto"/>
                <w:sz w:val="21"/>
                <w:szCs w:val="21"/>
                <w:highlight w:val="none"/>
              </w:rPr>
              <w:t>5</w:t>
            </w:r>
            <w:r>
              <w:rPr>
                <w:color w:val="auto"/>
                <w:sz w:val="21"/>
                <w:szCs w:val="21"/>
                <w:highlight w:val="none"/>
              </w:rPr>
              <w:t>分。（须提供人员相关证书及距开标时间（不含当月）近</w:t>
            </w:r>
            <w:r>
              <w:rPr>
                <w:rFonts w:hint="eastAsia"/>
                <w:color w:val="auto"/>
                <w:sz w:val="21"/>
                <w:szCs w:val="21"/>
                <w:highlight w:val="none"/>
              </w:rPr>
              <w:t>一</w:t>
            </w:r>
            <w:r>
              <w:rPr>
                <w:color w:val="auto"/>
                <w:sz w:val="21"/>
                <w:szCs w:val="21"/>
                <w:highlight w:val="none"/>
              </w:rPr>
              <w:t>年内任意</w:t>
            </w:r>
            <w:r>
              <w:rPr>
                <w:rFonts w:hint="eastAsia"/>
                <w:color w:val="auto"/>
                <w:sz w:val="21"/>
                <w:szCs w:val="21"/>
                <w:highlight w:val="none"/>
              </w:rPr>
              <w:t>六</w:t>
            </w:r>
            <w:r>
              <w:rPr>
                <w:color w:val="auto"/>
                <w:sz w:val="21"/>
                <w:szCs w:val="21"/>
                <w:highlight w:val="none"/>
              </w:rPr>
              <w:t>个月投标人为其购买的社保证明复印件加盖投标人公章。） 注：同一个人员具有多个证书，只计算一次得分。</w:t>
            </w:r>
          </w:p>
          <w:p>
            <w:pPr>
              <w:spacing w:line="360" w:lineRule="exact"/>
              <w:jc w:val="both"/>
              <w:rPr>
                <w:rFonts w:hint="eastAsia"/>
                <w:color w:val="auto"/>
                <w:sz w:val="21"/>
                <w:szCs w:val="21"/>
                <w:highlight w:val="none"/>
              </w:rPr>
            </w:pPr>
            <w:r>
              <w:rPr>
                <w:rFonts w:hint="eastAsia"/>
                <w:color w:val="auto"/>
                <w:sz w:val="21"/>
                <w:szCs w:val="21"/>
                <w:highlight w:val="none"/>
              </w:rPr>
              <w:t>3）</w:t>
            </w:r>
            <w:r>
              <w:rPr>
                <w:color w:val="auto"/>
                <w:sz w:val="21"/>
                <w:szCs w:val="21"/>
                <w:highlight w:val="none"/>
              </w:rPr>
              <w:t>投标人拟投入本项目的人员曾获得市级（或以上）司法</w:t>
            </w:r>
            <w:r>
              <w:rPr>
                <w:rFonts w:hint="eastAsia"/>
                <w:color w:val="auto"/>
                <w:sz w:val="21"/>
                <w:szCs w:val="21"/>
                <w:highlight w:val="none"/>
              </w:rPr>
              <w:t>部门的</w:t>
            </w:r>
            <w:r>
              <w:rPr>
                <w:color w:val="auto"/>
                <w:sz w:val="21"/>
                <w:szCs w:val="21"/>
                <w:highlight w:val="none"/>
              </w:rPr>
              <w:t>表彰，表彰内容</w:t>
            </w:r>
            <w:r>
              <w:rPr>
                <w:rFonts w:hint="eastAsia"/>
                <w:color w:val="auto"/>
                <w:sz w:val="21"/>
                <w:szCs w:val="21"/>
                <w:highlight w:val="none"/>
              </w:rPr>
              <w:t>需</w:t>
            </w:r>
            <w:r>
              <w:rPr>
                <w:color w:val="auto"/>
                <w:sz w:val="21"/>
                <w:szCs w:val="21"/>
                <w:highlight w:val="none"/>
              </w:rPr>
              <w:t>为“社区矫正”</w:t>
            </w:r>
            <w:r>
              <w:rPr>
                <w:rFonts w:hint="eastAsia"/>
                <w:color w:val="auto"/>
                <w:sz w:val="21"/>
                <w:szCs w:val="21"/>
                <w:highlight w:val="none"/>
              </w:rPr>
              <w:t>相关</w:t>
            </w:r>
            <w:r>
              <w:rPr>
                <w:color w:val="auto"/>
                <w:sz w:val="21"/>
                <w:szCs w:val="21"/>
                <w:highlight w:val="none"/>
              </w:rPr>
              <w:t>的 ，每人得1分，满分5分。 （须提供表彰证明材料复印件及距开标时间（不含当月）近</w:t>
            </w:r>
            <w:r>
              <w:rPr>
                <w:rFonts w:hint="eastAsia"/>
                <w:color w:val="auto"/>
                <w:sz w:val="21"/>
                <w:szCs w:val="21"/>
                <w:highlight w:val="none"/>
              </w:rPr>
              <w:t>一</w:t>
            </w:r>
            <w:r>
              <w:rPr>
                <w:color w:val="auto"/>
                <w:sz w:val="21"/>
                <w:szCs w:val="21"/>
                <w:highlight w:val="none"/>
              </w:rPr>
              <w:t>年内任意</w:t>
            </w:r>
            <w:r>
              <w:rPr>
                <w:rFonts w:hint="eastAsia"/>
                <w:color w:val="auto"/>
                <w:sz w:val="21"/>
                <w:szCs w:val="21"/>
                <w:highlight w:val="none"/>
              </w:rPr>
              <w:t>六</w:t>
            </w:r>
            <w:r>
              <w:rPr>
                <w:color w:val="auto"/>
                <w:sz w:val="21"/>
                <w:szCs w:val="21"/>
                <w:highlight w:val="none"/>
              </w:rPr>
              <w:t>个月投标人为其购买的社保证明复印件加盖投标人公章。） 注：同一个人员</w:t>
            </w:r>
            <w:r>
              <w:rPr>
                <w:rFonts w:hint="eastAsia"/>
                <w:color w:val="auto"/>
                <w:sz w:val="21"/>
                <w:szCs w:val="21"/>
                <w:highlight w:val="none"/>
              </w:rPr>
              <w:t>获得多次</w:t>
            </w:r>
            <w:r>
              <w:rPr>
                <w:color w:val="auto"/>
                <w:sz w:val="21"/>
                <w:szCs w:val="21"/>
                <w:highlight w:val="none"/>
              </w:rPr>
              <w:t>表彰，只计算一次得分。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vMerge w:val="restart"/>
            <w:tcBorders>
              <w:tl2br w:val="nil"/>
              <w:tr2bl w:val="nil"/>
            </w:tcBorders>
            <w:shd w:val="clear" w:color="auto" w:fill="auto"/>
            <w:noWrap w:val="0"/>
            <w:vAlign w:val="center"/>
          </w:tcPr>
          <w:p>
            <w:pPr>
              <w:pStyle w:val="22"/>
              <w:spacing w:before="6"/>
              <w:jc w:val="both"/>
              <w:rPr>
                <w:b/>
                <w:color w:val="auto"/>
                <w:sz w:val="21"/>
                <w:szCs w:val="21"/>
                <w:highlight w:val="none"/>
              </w:rPr>
            </w:pPr>
          </w:p>
          <w:p>
            <w:pPr>
              <w:pStyle w:val="22"/>
              <w:ind w:left="324" w:right="332"/>
              <w:jc w:val="both"/>
              <w:rPr>
                <w:b/>
                <w:color w:val="auto"/>
                <w:sz w:val="21"/>
                <w:szCs w:val="21"/>
                <w:highlight w:val="none"/>
              </w:rPr>
            </w:pPr>
            <w:r>
              <w:rPr>
                <w:b/>
                <w:color w:val="auto"/>
                <w:w w:val="105"/>
                <w:sz w:val="21"/>
                <w:szCs w:val="21"/>
                <w:highlight w:val="none"/>
              </w:rPr>
              <w:t>技术部分</w:t>
            </w:r>
          </w:p>
        </w:tc>
        <w:tc>
          <w:tcPr>
            <w:tcW w:w="1237" w:type="dxa"/>
            <w:tcBorders>
              <w:tl2br w:val="nil"/>
              <w:tr2bl w:val="nil"/>
            </w:tcBorders>
            <w:shd w:val="clear" w:color="auto" w:fill="auto"/>
            <w:noWrap w:val="0"/>
            <w:vAlign w:val="center"/>
          </w:tcPr>
          <w:p>
            <w:pPr>
              <w:jc w:val="both"/>
              <w:rPr>
                <w:rFonts w:hint="eastAsia"/>
                <w:color w:val="auto"/>
                <w:sz w:val="21"/>
                <w:szCs w:val="21"/>
                <w:highlight w:val="none"/>
              </w:rPr>
            </w:pPr>
            <w:r>
              <w:rPr>
                <w:rFonts w:hint="eastAsia"/>
                <w:color w:val="auto"/>
                <w:sz w:val="21"/>
                <w:szCs w:val="21"/>
                <w:highlight w:val="none"/>
              </w:rPr>
              <w:t>服务需求调研</w:t>
            </w:r>
          </w:p>
          <w:p>
            <w:pPr>
              <w:jc w:val="both"/>
              <w:rPr>
                <w:rFonts w:hint="eastAsia"/>
                <w:color w:val="auto"/>
                <w:sz w:val="21"/>
                <w:szCs w:val="21"/>
                <w:highlight w:val="none"/>
              </w:rPr>
            </w:pPr>
            <w:r>
              <w:rPr>
                <w:rFonts w:hint="eastAsia"/>
                <w:color w:val="auto"/>
                <w:sz w:val="21"/>
                <w:szCs w:val="21"/>
                <w:highlight w:val="none"/>
              </w:rPr>
              <w:t>（10分）</w:t>
            </w:r>
          </w:p>
          <w:p>
            <w:pPr>
              <w:jc w:val="both"/>
              <w:rPr>
                <w:color w:val="auto"/>
                <w:sz w:val="21"/>
                <w:szCs w:val="21"/>
                <w:highlight w:val="none"/>
              </w:rPr>
            </w:pPr>
          </w:p>
        </w:tc>
        <w:tc>
          <w:tcPr>
            <w:tcW w:w="5849" w:type="dxa"/>
            <w:tcBorders>
              <w:tl2br w:val="nil"/>
              <w:tr2bl w:val="nil"/>
            </w:tcBorders>
            <w:shd w:val="clear" w:color="auto" w:fill="auto"/>
            <w:noWrap w:val="0"/>
            <w:vAlign w:val="center"/>
          </w:tcPr>
          <w:p>
            <w:pPr>
              <w:spacing w:line="360" w:lineRule="exact"/>
              <w:jc w:val="both"/>
              <w:rPr>
                <w:rFonts w:hint="eastAsia"/>
                <w:color w:val="auto"/>
                <w:sz w:val="21"/>
                <w:szCs w:val="21"/>
                <w:highlight w:val="none"/>
              </w:rPr>
            </w:pPr>
            <w:r>
              <w:rPr>
                <w:rFonts w:hint="eastAsia"/>
                <w:color w:val="auto"/>
                <w:sz w:val="21"/>
                <w:szCs w:val="21"/>
                <w:highlight w:val="none"/>
              </w:rPr>
              <w:t>根据投标人对本项目的服务调研及调研报告质量优劣、服务需求了解情况进行评分：</w:t>
            </w:r>
          </w:p>
          <w:p>
            <w:pPr>
              <w:spacing w:line="360" w:lineRule="exact"/>
              <w:jc w:val="both"/>
              <w:rPr>
                <w:rFonts w:hint="eastAsia"/>
                <w:color w:val="auto"/>
                <w:sz w:val="21"/>
                <w:szCs w:val="21"/>
                <w:highlight w:val="none"/>
              </w:rPr>
            </w:pPr>
            <w:r>
              <w:rPr>
                <w:rFonts w:hint="eastAsia"/>
                <w:color w:val="auto"/>
                <w:sz w:val="21"/>
                <w:szCs w:val="21"/>
                <w:highlight w:val="none"/>
              </w:rPr>
              <w:t>优：需求调研中使用了至少三种调研方法进行需求收集，并根据需求撰写了清晰完整的调研报告，调研报告能对应采购人设定的社区矫正人员和安置帮教人员两类服务对象的服务需求，得10分；</w:t>
            </w:r>
          </w:p>
          <w:p>
            <w:pPr>
              <w:spacing w:line="360" w:lineRule="exact"/>
              <w:jc w:val="both"/>
              <w:rPr>
                <w:rFonts w:hint="eastAsia"/>
                <w:color w:val="auto"/>
                <w:sz w:val="21"/>
                <w:szCs w:val="21"/>
                <w:highlight w:val="none"/>
              </w:rPr>
            </w:pPr>
            <w:r>
              <w:rPr>
                <w:rFonts w:hint="eastAsia"/>
                <w:color w:val="auto"/>
                <w:sz w:val="21"/>
                <w:szCs w:val="21"/>
                <w:highlight w:val="none"/>
              </w:rPr>
              <w:t>良：需求调研中使用了两种调研方法进行需求收集，并且撰写了调研报告，调研报告基本能对应采购人设定的社区矫正人员和安置帮教人员两类服务对象的服务需求，得6分；</w:t>
            </w:r>
          </w:p>
          <w:p>
            <w:pPr>
              <w:spacing w:line="360" w:lineRule="exact"/>
              <w:jc w:val="both"/>
              <w:rPr>
                <w:rFonts w:hint="eastAsia"/>
                <w:color w:val="auto"/>
                <w:sz w:val="21"/>
                <w:szCs w:val="21"/>
                <w:highlight w:val="none"/>
              </w:rPr>
            </w:pPr>
            <w:r>
              <w:rPr>
                <w:rFonts w:hint="eastAsia"/>
                <w:color w:val="auto"/>
                <w:sz w:val="21"/>
                <w:szCs w:val="21"/>
                <w:highlight w:val="none"/>
              </w:rPr>
              <w:t>差：需求调研只使用了一种调研方法进行需求收集，调研报告不太能对应采购人设定的社区矫正人员和安置帮教人员两类服务对象的服务需求，得3分；</w:t>
            </w:r>
          </w:p>
          <w:p>
            <w:pPr>
              <w:spacing w:line="360" w:lineRule="exact"/>
              <w:jc w:val="both"/>
              <w:rPr>
                <w:rFonts w:hint="eastAsia"/>
                <w:color w:val="auto"/>
                <w:sz w:val="21"/>
                <w:szCs w:val="21"/>
                <w:highlight w:val="none"/>
              </w:rPr>
            </w:pPr>
            <w:r>
              <w:rPr>
                <w:rFonts w:hint="eastAsia"/>
                <w:color w:val="auto"/>
                <w:sz w:val="21"/>
                <w:szCs w:val="21"/>
                <w:highlight w:val="none"/>
              </w:rPr>
              <w:t>无提供不得分。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vMerge w:val="continue"/>
            <w:tcBorders>
              <w:tl2br w:val="nil"/>
              <w:tr2bl w:val="nil"/>
            </w:tcBorders>
            <w:shd w:val="clear" w:color="auto" w:fill="auto"/>
            <w:noWrap w:val="0"/>
            <w:vAlign w:val="center"/>
          </w:tcPr>
          <w:p>
            <w:pPr>
              <w:pStyle w:val="22"/>
              <w:ind w:left="324" w:right="332"/>
              <w:jc w:val="both"/>
              <w:rPr>
                <w:b/>
                <w:color w:val="auto"/>
                <w:w w:val="105"/>
                <w:sz w:val="21"/>
                <w:szCs w:val="21"/>
                <w:highlight w:val="none"/>
              </w:rPr>
            </w:pPr>
          </w:p>
        </w:tc>
        <w:tc>
          <w:tcPr>
            <w:tcW w:w="1237" w:type="dxa"/>
            <w:tcBorders>
              <w:tl2br w:val="nil"/>
              <w:tr2bl w:val="nil"/>
            </w:tcBorders>
            <w:shd w:val="clear" w:color="auto" w:fill="auto"/>
            <w:noWrap w:val="0"/>
            <w:vAlign w:val="center"/>
          </w:tcPr>
          <w:p>
            <w:pPr>
              <w:jc w:val="both"/>
              <w:rPr>
                <w:rFonts w:hint="eastAsia"/>
                <w:color w:val="auto"/>
                <w:sz w:val="21"/>
                <w:szCs w:val="21"/>
                <w:highlight w:val="none"/>
              </w:rPr>
            </w:pPr>
            <w:r>
              <w:rPr>
                <w:rFonts w:hint="eastAsia"/>
                <w:color w:val="auto"/>
                <w:sz w:val="21"/>
                <w:szCs w:val="21"/>
                <w:highlight w:val="none"/>
              </w:rPr>
              <w:t>服务实施计划</w:t>
            </w:r>
            <w:r>
              <w:rPr>
                <w:color w:val="auto"/>
                <w:sz w:val="21"/>
                <w:szCs w:val="21"/>
                <w:highlight w:val="none"/>
              </w:rPr>
              <w:t xml:space="preserve"> </w:t>
            </w:r>
            <w:r>
              <w:rPr>
                <w:color w:val="auto"/>
                <w:sz w:val="21"/>
                <w:szCs w:val="21"/>
                <w:highlight w:val="none"/>
                <w:u w:val="none"/>
              </w:rPr>
              <w:t>(</w:t>
            </w:r>
            <w:r>
              <w:rPr>
                <w:rFonts w:hint="eastAsia"/>
                <w:color w:val="auto"/>
                <w:sz w:val="21"/>
                <w:szCs w:val="21"/>
                <w:highlight w:val="none"/>
                <w:u w:val="none"/>
              </w:rPr>
              <w:t>15</w:t>
            </w:r>
            <w:r>
              <w:rPr>
                <w:color w:val="auto"/>
                <w:sz w:val="21"/>
                <w:szCs w:val="21"/>
                <w:highlight w:val="none"/>
                <w:u w:val="none"/>
              </w:rPr>
              <w:t>分)</w:t>
            </w:r>
            <w:bookmarkStart w:id="232" w:name="_GoBack"/>
            <w:bookmarkEnd w:id="232"/>
          </w:p>
        </w:tc>
        <w:tc>
          <w:tcPr>
            <w:tcW w:w="5849" w:type="dxa"/>
            <w:tcBorders>
              <w:tl2br w:val="nil"/>
              <w:tr2bl w:val="nil"/>
            </w:tcBorders>
            <w:shd w:val="clear" w:color="auto" w:fill="auto"/>
            <w:noWrap w:val="0"/>
            <w:vAlign w:val="center"/>
          </w:tcPr>
          <w:p>
            <w:pPr>
              <w:spacing w:line="360" w:lineRule="exact"/>
              <w:jc w:val="both"/>
              <w:rPr>
                <w:rFonts w:hint="eastAsia"/>
                <w:color w:val="auto"/>
                <w:sz w:val="21"/>
                <w:szCs w:val="21"/>
                <w:highlight w:val="none"/>
              </w:rPr>
            </w:pPr>
            <w:r>
              <w:rPr>
                <w:rFonts w:hint="eastAsia"/>
                <w:color w:val="auto"/>
                <w:sz w:val="21"/>
                <w:szCs w:val="21"/>
                <w:highlight w:val="none"/>
              </w:rPr>
              <w:t>根据投标人提供的项目具体服务实施计划进行评分：</w:t>
            </w:r>
          </w:p>
          <w:p>
            <w:pPr>
              <w:spacing w:line="360" w:lineRule="exact"/>
              <w:jc w:val="both"/>
              <w:rPr>
                <w:rFonts w:hint="eastAsia"/>
                <w:color w:val="auto"/>
                <w:sz w:val="21"/>
                <w:szCs w:val="21"/>
                <w:highlight w:val="none"/>
              </w:rPr>
            </w:pPr>
            <w:r>
              <w:rPr>
                <w:rFonts w:hint="eastAsia"/>
                <w:color w:val="auto"/>
                <w:sz w:val="21"/>
                <w:szCs w:val="21"/>
                <w:highlight w:val="none"/>
              </w:rPr>
              <w:t>优：服务计划根据项目周期进行制定，基本内容包括服务政策支持、服务理论支持、服务目标、人员构成、服务指标、服务内容和实施步骤，服务计划完整、详细，能较好响应采购人设定的服务内容，得15分；</w:t>
            </w:r>
          </w:p>
          <w:p>
            <w:pPr>
              <w:spacing w:line="360" w:lineRule="exact"/>
              <w:jc w:val="both"/>
              <w:rPr>
                <w:rFonts w:hint="eastAsia"/>
                <w:color w:val="auto"/>
                <w:sz w:val="21"/>
                <w:szCs w:val="21"/>
                <w:highlight w:val="none"/>
              </w:rPr>
            </w:pPr>
            <w:r>
              <w:rPr>
                <w:rFonts w:hint="eastAsia"/>
                <w:color w:val="auto"/>
                <w:sz w:val="21"/>
                <w:szCs w:val="21"/>
                <w:highlight w:val="none"/>
              </w:rPr>
              <w:t>良：服务计划根据项目周期进行制定，基本内容包括服务目标、服务指标、服务内容和实施步骤，服务计划较为完整、详细，能响应采购人设定的服务内容，得10分；</w:t>
            </w:r>
          </w:p>
          <w:p>
            <w:pPr>
              <w:spacing w:line="360" w:lineRule="exact"/>
              <w:jc w:val="both"/>
              <w:rPr>
                <w:rFonts w:hint="eastAsia"/>
                <w:color w:val="auto"/>
                <w:sz w:val="21"/>
                <w:szCs w:val="21"/>
                <w:highlight w:val="none"/>
              </w:rPr>
            </w:pPr>
            <w:r>
              <w:rPr>
                <w:rFonts w:hint="eastAsia"/>
                <w:color w:val="auto"/>
                <w:sz w:val="21"/>
                <w:szCs w:val="21"/>
                <w:highlight w:val="none"/>
              </w:rPr>
              <w:t>差：服务计划根据项目周期进行制定，基本内容包括服务目标、服务内容和实施步骤，服务计划不太完整、不够详细，基本能响应采购人设定的服务内容，得5分。</w:t>
            </w:r>
          </w:p>
          <w:p>
            <w:pPr>
              <w:spacing w:line="360" w:lineRule="exact"/>
              <w:jc w:val="both"/>
              <w:rPr>
                <w:rFonts w:hint="eastAsia"/>
                <w:color w:val="auto"/>
                <w:sz w:val="21"/>
                <w:szCs w:val="21"/>
                <w:highlight w:val="none"/>
              </w:rPr>
            </w:pPr>
            <w:r>
              <w:rPr>
                <w:rFonts w:hint="eastAsia"/>
                <w:color w:val="auto"/>
                <w:sz w:val="21"/>
                <w:szCs w:val="21"/>
                <w:highlight w:val="none"/>
              </w:rPr>
              <w:t>无提供不得分。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vMerge w:val="continue"/>
            <w:tcBorders>
              <w:tl2br w:val="nil"/>
              <w:tr2bl w:val="nil"/>
            </w:tcBorders>
            <w:shd w:val="clear" w:color="auto" w:fill="auto"/>
            <w:noWrap w:val="0"/>
            <w:vAlign w:val="center"/>
          </w:tcPr>
          <w:p>
            <w:pPr>
              <w:pStyle w:val="22"/>
              <w:spacing w:before="6"/>
              <w:jc w:val="both"/>
              <w:rPr>
                <w:b/>
                <w:color w:val="auto"/>
                <w:sz w:val="21"/>
                <w:szCs w:val="21"/>
                <w:highlight w:val="none"/>
              </w:rPr>
            </w:pPr>
          </w:p>
        </w:tc>
        <w:tc>
          <w:tcPr>
            <w:tcW w:w="1237" w:type="dxa"/>
            <w:tcBorders>
              <w:tl2br w:val="nil"/>
              <w:tr2bl w:val="nil"/>
            </w:tcBorders>
            <w:shd w:val="clear" w:color="auto" w:fill="auto"/>
            <w:noWrap w:val="0"/>
            <w:vAlign w:val="center"/>
          </w:tcPr>
          <w:p>
            <w:pPr>
              <w:jc w:val="both"/>
              <w:rPr>
                <w:color w:val="auto"/>
                <w:sz w:val="21"/>
                <w:szCs w:val="21"/>
                <w:highlight w:val="none"/>
              </w:rPr>
            </w:pPr>
            <w:r>
              <w:rPr>
                <w:rFonts w:hint="eastAsia"/>
                <w:color w:val="auto"/>
                <w:sz w:val="21"/>
                <w:szCs w:val="21"/>
                <w:highlight w:val="none"/>
              </w:rPr>
              <w:t>服务质量保证措施方案</w:t>
            </w:r>
            <w:r>
              <w:rPr>
                <w:color w:val="auto"/>
                <w:sz w:val="21"/>
                <w:szCs w:val="21"/>
                <w:highlight w:val="none"/>
              </w:rPr>
              <w:t xml:space="preserve"> </w:t>
            </w:r>
            <w:r>
              <w:rPr>
                <w:rFonts w:hint="eastAsia"/>
                <w:color w:val="auto"/>
                <w:sz w:val="21"/>
                <w:szCs w:val="21"/>
                <w:highlight w:val="none"/>
              </w:rPr>
              <w:t>（</w:t>
            </w:r>
            <w:r>
              <w:rPr>
                <w:rFonts w:hint="eastAsia"/>
                <w:color w:val="auto"/>
                <w:sz w:val="21"/>
                <w:szCs w:val="21"/>
                <w:highlight w:val="none"/>
                <w:lang w:val="en-US" w:eastAsia="zh-CN"/>
              </w:rPr>
              <w:t>10</w:t>
            </w:r>
            <w:r>
              <w:rPr>
                <w:rFonts w:hint="eastAsia"/>
                <w:color w:val="auto"/>
                <w:sz w:val="21"/>
                <w:szCs w:val="21"/>
                <w:highlight w:val="none"/>
              </w:rPr>
              <w:t>分）</w:t>
            </w:r>
          </w:p>
        </w:tc>
        <w:tc>
          <w:tcPr>
            <w:tcW w:w="5849" w:type="dxa"/>
            <w:tcBorders>
              <w:tl2br w:val="nil"/>
              <w:tr2bl w:val="nil"/>
            </w:tcBorders>
            <w:shd w:val="clear" w:color="auto" w:fill="auto"/>
            <w:noWrap w:val="0"/>
            <w:vAlign w:val="center"/>
          </w:tcPr>
          <w:p>
            <w:pPr>
              <w:spacing w:line="360" w:lineRule="exact"/>
              <w:jc w:val="both"/>
              <w:rPr>
                <w:rFonts w:hint="eastAsia"/>
                <w:color w:val="auto"/>
                <w:sz w:val="21"/>
                <w:szCs w:val="21"/>
                <w:highlight w:val="none"/>
              </w:rPr>
            </w:pPr>
            <w:r>
              <w:rPr>
                <w:rFonts w:hint="eastAsia"/>
                <w:color w:val="auto"/>
                <w:sz w:val="21"/>
                <w:szCs w:val="21"/>
                <w:highlight w:val="none"/>
              </w:rPr>
              <w:t>根据投标人提供制订的服务质量保证措施方案进行评分：</w:t>
            </w:r>
          </w:p>
          <w:p>
            <w:pPr>
              <w:spacing w:line="360" w:lineRule="exact"/>
              <w:jc w:val="both"/>
              <w:rPr>
                <w:rFonts w:hint="eastAsia"/>
                <w:color w:val="auto"/>
                <w:sz w:val="21"/>
                <w:szCs w:val="21"/>
                <w:highlight w:val="none"/>
              </w:rPr>
            </w:pPr>
            <w:r>
              <w:rPr>
                <w:rFonts w:hint="eastAsia"/>
                <w:color w:val="auto"/>
                <w:sz w:val="21"/>
                <w:szCs w:val="21"/>
                <w:highlight w:val="none"/>
              </w:rPr>
              <w:t>优：服务质量保证措施方案包括至少有人事管理制度、日常行为准则、服务质量保证制度、服务指标指引制度、服务支持制度、服务成效监测机制、应急事件处理办法、资源库管理制度等8个部分的内容，能较好对应采购人的需求，得10分；</w:t>
            </w:r>
          </w:p>
          <w:p>
            <w:pPr>
              <w:spacing w:line="360" w:lineRule="exact"/>
              <w:jc w:val="both"/>
              <w:rPr>
                <w:rFonts w:hint="eastAsia"/>
                <w:color w:val="auto"/>
                <w:sz w:val="21"/>
                <w:szCs w:val="21"/>
                <w:highlight w:val="none"/>
              </w:rPr>
            </w:pPr>
            <w:r>
              <w:rPr>
                <w:rFonts w:hint="eastAsia"/>
                <w:color w:val="auto"/>
                <w:sz w:val="21"/>
                <w:szCs w:val="21"/>
                <w:highlight w:val="none"/>
              </w:rPr>
              <w:t>良：服务质量保证措施方案包括至少有人事管理制度、服务质量保证制度、服务支持制度、服务成效监测机制、资源库管理制度等5个部分的内容，能对应采购人的需求，得6分；</w:t>
            </w:r>
          </w:p>
          <w:p>
            <w:pPr>
              <w:spacing w:line="360" w:lineRule="exact"/>
              <w:jc w:val="both"/>
              <w:rPr>
                <w:rFonts w:hint="eastAsia"/>
                <w:color w:val="auto"/>
                <w:sz w:val="21"/>
                <w:szCs w:val="21"/>
                <w:highlight w:val="none"/>
              </w:rPr>
            </w:pPr>
            <w:r>
              <w:rPr>
                <w:rFonts w:hint="eastAsia"/>
                <w:color w:val="auto"/>
                <w:sz w:val="21"/>
                <w:szCs w:val="21"/>
                <w:highlight w:val="none"/>
              </w:rPr>
              <w:t>差：服务质量保证措施方案包括至少有人事管理制度、服务成效监测机制、资源库管理制度等3个部分的内容，基本能对应采购人的需求，得3分。</w:t>
            </w:r>
          </w:p>
          <w:p>
            <w:pPr>
              <w:spacing w:line="360" w:lineRule="exact"/>
              <w:jc w:val="both"/>
              <w:rPr>
                <w:rFonts w:hint="eastAsia"/>
                <w:color w:val="auto"/>
                <w:sz w:val="21"/>
                <w:szCs w:val="21"/>
                <w:highlight w:val="none"/>
              </w:rPr>
            </w:pPr>
            <w:r>
              <w:rPr>
                <w:rFonts w:hint="eastAsia"/>
                <w:color w:val="auto"/>
                <w:sz w:val="21"/>
                <w:szCs w:val="21"/>
                <w:highlight w:val="none"/>
              </w:rPr>
              <w:t>无提供不得分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259" w:hRule="atLeast"/>
        </w:trPr>
        <w:tc>
          <w:tcPr>
            <w:tcW w:w="870" w:type="dxa"/>
            <w:tcBorders>
              <w:tl2br w:val="nil"/>
              <w:tr2bl w:val="nil"/>
            </w:tcBorders>
            <w:shd w:val="clear" w:color="auto" w:fill="auto"/>
            <w:noWrap w:val="0"/>
            <w:vAlign w:val="center"/>
          </w:tcPr>
          <w:p>
            <w:pPr>
              <w:pStyle w:val="22"/>
              <w:spacing w:before="6"/>
              <w:jc w:val="both"/>
              <w:rPr>
                <w:b/>
                <w:color w:val="auto"/>
                <w:sz w:val="21"/>
                <w:szCs w:val="21"/>
                <w:highlight w:val="none"/>
              </w:rPr>
            </w:pPr>
          </w:p>
        </w:tc>
        <w:tc>
          <w:tcPr>
            <w:tcW w:w="1237" w:type="dxa"/>
            <w:tcBorders>
              <w:tl2br w:val="nil"/>
              <w:tr2bl w:val="nil"/>
            </w:tcBorders>
            <w:shd w:val="clear" w:color="auto" w:fill="auto"/>
            <w:noWrap w:val="0"/>
            <w:vAlign w:val="center"/>
          </w:tcPr>
          <w:p>
            <w:pPr>
              <w:jc w:val="both"/>
              <w:rPr>
                <w:rFonts w:hint="eastAsia"/>
                <w:color w:val="auto"/>
                <w:sz w:val="21"/>
                <w:szCs w:val="21"/>
                <w:highlight w:val="none"/>
              </w:rPr>
            </w:pPr>
            <w:r>
              <w:rPr>
                <w:rFonts w:hint="eastAsia"/>
                <w:color w:val="auto"/>
                <w:sz w:val="21"/>
                <w:szCs w:val="21"/>
                <w:highlight w:val="none"/>
              </w:rPr>
              <w:t>具体服务流程</w:t>
            </w:r>
          </w:p>
          <w:p>
            <w:pPr>
              <w:jc w:val="both"/>
              <w:rPr>
                <w:rFonts w:hint="eastAsia"/>
                <w:color w:val="auto"/>
                <w:sz w:val="21"/>
                <w:szCs w:val="21"/>
                <w:highlight w:val="none"/>
              </w:rPr>
            </w:pPr>
            <w:r>
              <w:rPr>
                <w:rFonts w:hint="eastAsia"/>
                <w:color w:val="auto"/>
                <w:sz w:val="21"/>
                <w:szCs w:val="21"/>
                <w:highlight w:val="none"/>
              </w:rPr>
              <w:t>（10分）</w:t>
            </w:r>
          </w:p>
          <w:p>
            <w:pPr>
              <w:spacing w:line="360" w:lineRule="exact"/>
              <w:jc w:val="both"/>
              <w:rPr>
                <w:color w:val="auto"/>
                <w:sz w:val="21"/>
                <w:szCs w:val="21"/>
                <w:highlight w:val="none"/>
              </w:rPr>
            </w:pPr>
          </w:p>
        </w:tc>
        <w:tc>
          <w:tcPr>
            <w:tcW w:w="5849" w:type="dxa"/>
            <w:tcBorders>
              <w:tl2br w:val="nil"/>
              <w:tr2bl w:val="nil"/>
            </w:tcBorders>
            <w:shd w:val="clear" w:color="auto" w:fill="auto"/>
            <w:noWrap w:val="0"/>
            <w:vAlign w:val="center"/>
          </w:tcPr>
          <w:p>
            <w:pPr>
              <w:spacing w:line="360" w:lineRule="exact"/>
              <w:jc w:val="both"/>
              <w:rPr>
                <w:rFonts w:hint="eastAsia"/>
                <w:color w:val="auto"/>
                <w:sz w:val="21"/>
                <w:szCs w:val="21"/>
                <w:highlight w:val="none"/>
              </w:rPr>
            </w:pPr>
            <w:r>
              <w:rPr>
                <w:rFonts w:hint="eastAsia"/>
                <w:color w:val="auto"/>
                <w:sz w:val="21"/>
                <w:szCs w:val="21"/>
                <w:highlight w:val="none"/>
              </w:rPr>
              <w:t>根据投标人提供针对项目制定的具体服务流程进行评分：</w:t>
            </w:r>
          </w:p>
          <w:p>
            <w:pPr>
              <w:spacing w:line="360" w:lineRule="exact"/>
              <w:jc w:val="both"/>
              <w:rPr>
                <w:rFonts w:hint="eastAsia"/>
                <w:color w:val="auto"/>
                <w:sz w:val="21"/>
                <w:szCs w:val="21"/>
                <w:highlight w:val="none"/>
              </w:rPr>
            </w:pPr>
            <w:r>
              <w:rPr>
                <w:rFonts w:hint="eastAsia"/>
                <w:color w:val="auto"/>
                <w:sz w:val="21"/>
                <w:szCs w:val="21"/>
                <w:highlight w:val="none"/>
              </w:rPr>
              <w:t>优：投标人能够结合司法领域社会工作服务的特点，制定个案、小组和活动三大专业工作手法的服务程序与指引，除此外还制定了探访服务流程，服务流程具有针对性，适合采购人的工作，得10分；</w:t>
            </w:r>
          </w:p>
          <w:p>
            <w:pPr>
              <w:spacing w:line="360" w:lineRule="exact"/>
              <w:jc w:val="both"/>
              <w:rPr>
                <w:rFonts w:hint="eastAsia"/>
                <w:color w:val="auto"/>
                <w:sz w:val="21"/>
                <w:szCs w:val="21"/>
                <w:highlight w:val="none"/>
              </w:rPr>
            </w:pPr>
            <w:r>
              <w:rPr>
                <w:rFonts w:hint="eastAsia"/>
                <w:color w:val="auto"/>
                <w:sz w:val="21"/>
                <w:szCs w:val="21"/>
                <w:highlight w:val="none"/>
              </w:rPr>
              <w:t>良：投标人仅制定个案、小组和活动三大专业工作手法的服务程序与指引，服务流程较为全面，得6分；</w:t>
            </w:r>
          </w:p>
          <w:p>
            <w:pPr>
              <w:spacing w:line="360" w:lineRule="exact"/>
              <w:jc w:val="both"/>
              <w:rPr>
                <w:rFonts w:hint="eastAsia"/>
                <w:color w:val="auto"/>
                <w:sz w:val="21"/>
                <w:szCs w:val="21"/>
                <w:highlight w:val="none"/>
              </w:rPr>
            </w:pPr>
            <w:r>
              <w:rPr>
                <w:rFonts w:hint="eastAsia"/>
                <w:color w:val="auto"/>
                <w:sz w:val="21"/>
                <w:szCs w:val="21"/>
                <w:highlight w:val="none"/>
              </w:rPr>
              <w:t>差：投标人制定的个案、小组和活动三大专业工作守法服务流程不全面的，得3分。</w:t>
            </w:r>
          </w:p>
          <w:p>
            <w:pPr>
              <w:spacing w:line="360" w:lineRule="exact"/>
              <w:jc w:val="both"/>
              <w:rPr>
                <w:color w:val="auto"/>
                <w:sz w:val="21"/>
                <w:szCs w:val="21"/>
                <w:highlight w:val="none"/>
              </w:rPr>
            </w:pPr>
            <w:r>
              <w:rPr>
                <w:rFonts w:hint="eastAsia"/>
                <w:color w:val="auto"/>
                <w:sz w:val="21"/>
                <w:szCs w:val="21"/>
                <w:highlight w:val="none"/>
              </w:rPr>
              <w:t>无提供不得分</w:t>
            </w:r>
          </w:p>
        </w:tc>
      </w:tr>
    </w:tbl>
    <w:p>
      <w:pPr>
        <w:rPr>
          <w:color w:val="auto"/>
          <w:highlight w:val="none"/>
        </w:rPr>
      </w:pPr>
    </w:p>
    <w:p>
      <w:pPr>
        <w:rPr>
          <w:rFonts w:hint="eastAsia"/>
          <w:color w:val="auto"/>
          <w:highlight w:val="none"/>
        </w:rPr>
      </w:pPr>
      <w:r>
        <w:rPr>
          <w:b/>
          <w:color w:val="auto"/>
          <w:sz w:val="24"/>
          <w:highlight w:val="none"/>
        </w:rPr>
        <w:t>4.汇总、排序</w:t>
      </w:r>
    </w:p>
    <w:p>
      <w:pPr>
        <w:rPr>
          <w:rFonts w:hint="eastAsia"/>
          <w:color w:val="auto"/>
          <w:highlight w:val="none"/>
        </w:rPr>
      </w:pPr>
      <w:r>
        <w:rPr>
          <w:rFonts w:hint="eastAsia"/>
          <w:color w:val="auto"/>
          <w:highlight w:val="none"/>
        </w:rPr>
        <w:t>采购包1：</w:t>
      </w:r>
    </w:p>
    <w:p>
      <w:pPr>
        <w:rPr>
          <w:color w:val="auto"/>
          <w:highlight w:val="none"/>
        </w:rPr>
      </w:pPr>
      <w:r>
        <w:rPr>
          <w:rFonts w:hint="eastAsia"/>
          <w:color w:val="auto"/>
          <w:highlight w:val="none"/>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对评审报告有异议的，应当在评审报告上签署不同意见，并说明理由，否则视为同意评审报告。</w:t>
      </w:r>
    </w:p>
    <w:p>
      <w:pPr>
        <w:rPr>
          <w:color w:val="auto"/>
          <w:highlight w:val="none"/>
        </w:rPr>
      </w:pPr>
    </w:p>
    <w:p>
      <w:pPr>
        <w:rPr>
          <w:color w:val="auto"/>
          <w:highlight w:val="none"/>
        </w:rPr>
      </w:pPr>
      <w:r>
        <w:rPr>
          <w:b/>
          <w:color w:val="auto"/>
          <w:sz w:val="24"/>
          <w:highlight w:val="none"/>
        </w:rPr>
        <w:t>5.中标价的确定</w:t>
      </w:r>
    </w:p>
    <w:p>
      <w:pPr>
        <w:ind w:firstLine="480"/>
        <w:rPr>
          <w:color w:val="auto"/>
          <w:highlight w:val="none"/>
        </w:rPr>
      </w:pPr>
      <w:r>
        <w:rPr>
          <w:color w:val="auto"/>
          <w:highlight w:val="none"/>
        </w:rPr>
        <w:t>除了按第四章第一点第7条修正并经投标人确认的投标报价作为中标价外，中标价以开标时公开唱标价为准。</w:t>
      </w:r>
    </w:p>
    <w:p>
      <w:pPr>
        <w:rPr>
          <w:color w:val="auto"/>
          <w:highlight w:val="none"/>
        </w:rPr>
      </w:pPr>
      <w:r>
        <w:rPr>
          <w:b/>
          <w:color w:val="auto"/>
          <w:sz w:val="24"/>
          <w:highlight w:val="none"/>
        </w:rPr>
        <w:t>6.其他无效投标的情形：</w:t>
      </w:r>
    </w:p>
    <w:p>
      <w:pPr>
        <w:ind w:firstLine="480"/>
        <w:rPr>
          <w:color w:val="auto"/>
          <w:highlight w:val="none"/>
        </w:rPr>
      </w:pPr>
      <w:r>
        <w:rPr>
          <w:color w:val="auto"/>
          <w:highlight w:val="none"/>
        </w:rPr>
        <w:t>(1)评标期间，投标人没有按评标委员会的要求提交法定代表人或其委托代理人签字的澄清、说明、补正或改变了投标文件的实质性内容的。</w:t>
      </w:r>
    </w:p>
    <w:p>
      <w:pPr>
        <w:ind w:firstLine="480"/>
        <w:rPr>
          <w:color w:val="auto"/>
          <w:highlight w:val="none"/>
        </w:rPr>
      </w:pPr>
      <w:r>
        <w:rPr>
          <w:color w:val="auto"/>
          <w:highlight w:val="none"/>
        </w:rPr>
        <w:t>(2)投标文件提供虚假材料的。</w:t>
      </w:r>
    </w:p>
    <w:p>
      <w:pPr>
        <w:ind w:firstLine="480"/>
        <w:rPr>
          <w:color w:val="auto"/>
          <w:highlight w:val="none"/>
        </w:rPr>
      </w:pPr>
      <w:r>
        <w:rPr>
          <w:color w:val="auto"/>
          <w:highlight w:val="none"/>
        </w:rPr>
        <w:t>(3)投标人以他人名义投标、串通投标、以行贿手段谋取中标或者以其他弄虚作假方式投标的。</w:t>
      </w:r>
    </w:p>
    <w:p>
      <w:pPr>
        <w:ind w:firstLine="480"/>
        <w:rPr>
          <w:color w:val="auto"/>
          <w:highlight w:val="none"/>
        </w:rPr>
      </w:pPr>
      <w:r>
        <w:rPr>
          <w:color w:val="auto"/>
          <w:highlight w:val="none"/>
        </w:rPr>
        <w:t>(4)投标人对采购人、采购代理机构、评标委员会及其工作人员施加影响，有碍招标公平、公正的。</w:t>
      </w:r>
    </w:p>
    <w:p>
      <w:pPr>
        <w:ind w:firstLine="480"/>
        <w:rPr>
          <w:color w:val="auto"/>
          <w:highlight w:val="none"/>
        </w:rPr>
      </w:pPr>
      <w:r>
        <w:rPr>
          <w:color w:val="auto"/>
          <w:highlight w:val="none"/>
        </w:rPr>
        <w:t>(5)投标文件含有采购人不能接受的附加条件的。</w:t>
      </w:r>
    </w:p>
    <w:p>
      <w:pPr>
        <w:ind w:firstLine="480"/>
        <w:rPr>
          <w:color w:val="auto"/>
          <w:highlight w:val="none"/>
        </w:rPr>
      </w:pPr>
      <w:r>
        <w:rPr>
          <w:color w:val="auto"/>
          <w:highlight w:val="none"/>
        </w:rPr>
        <w:t>(6)法律、法规和招标文件规定的其他无效情形。</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b/>
          <w:color w:val="auto"/>
          <w:sz w:val="36"/>
          <w:highlight w:val="none"/>
        </w:rPr>
      </w:pPr>
      <w:r>
        <w:rPr>
          <w:b/>
          <w:color w:val="auto"/>
          <w:sz w:val="36"/>
          <w:highlight w:val="none"/>
        </w:rPr>
        <w:br w:type="page"/>
      </w:r>
    </w:p>
    <w:p>
      <w:pPr>
        <w:jc w:val="center"/>
        <w:rPr>
          <w:color w:val="auto"/>
          <w:highlight w:val="none"/>
        </w:rPr>
      </w:pPr>
      <w:r>
        <w:rPr>
          <w:b/>
          <w:color w:val="auto"/>
          <w:sz w:val="36"/>
          <w:highlight w:val="none"/>
        </w:rPr>
        <w:t>第五章 合同文本</w:t>
      </w:r>
    </w:p>
    <w:p>
      <w:pPr>
        <w:ind w:firstLine="480"/>
        <w:rPr>
          <w:color w:val="auto"/>
          <w:highlight w:val="none"/>
        </w:rPr>
      </w:pPr>
    </w:p>
    <w:p>
      <w:pPr>
        <w:rPr>
          <w:color w:val="auto"/>
          <w:highlight w:val="none"/>
        </w:rPr>
      </w:pPr>
    </w:p>
    <w:p>
      <w:pPr>
        <w:jc w:val="cente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 xml:space="preserve"> </w:t>
      </w:r>
    </w:p>
    <w:p>
      <w:pPr>
        <w:ind w:firstLine="2520" w:firstLineChars="900"/>
        <w:rPr>
          <w:rFonts w:hint="eastAsia" w:ascii="仿宋_GB2312" w:eastAsia="仿宋_GB2312"/>
          <w:color w:val="auto"/>
          <w:highlight w:val="none"/>
        </w:rPr>
      </w:pPr>
      <w:r>
        <w:rPr>
          <w:rFonts w:hint="eastAsia" w:ascii="仿宋_GB2312" w:eastAsia="仿宋_GB2312"/>
          <w:color w:val="auto"/>
          <w:sz w:val="28"/>
          <w:highlight w:val="none"/>
        </w:rPr>
        <w:t>采购计划编号：</w:t>
      </w:r>
      <w:r>
        <w:rPr>
          <w:rFonts w:hint="eastAsia" w:ascii="仿宋_GB2312" w:eastAsia="仿宋_GB2312"/>
          <w:color w:val="auto"/>
          <w:highlight w:val="none"/>
          <w:u w:val="single"/>
        </w:rPr>
        <w:t xml:space="preserve">                          </w:t>
      </w:r>
    </w:p>
    <w:p>
      <w:pPr>
        <w:jc w:val="both"/>
        <w:rPr>
          <w:rFonts w:hint="eastAsia" w:ascii="仿宋_GB2312" w:eastAsia="仿宋_GB2312"/>
          <w:color w:val="auto"/>
          <w:highlight w:val="none"/>
        </w:rPr>
      </w:pPr>
      <w:r>
        <w:rPr>
          <w:rFonts w:hint="eastAsia" w:ascii="仿宋_GB2312" w:eastAsia="仿宋_GB2312"/>
          <w:color w:val="auto"/>
          <w:sz w:val="27"/>
          <w:highlight w:val="none"/>
        </w:rPr>
        <w:t xml:space="preserve"> </w:t>
      </w:r>
    </w:p>
    <w:p>
      <w:pPr>
        <w:ind w:firstLine="3080" w:firstLineChars="1100"/>
        <w:rPr>
          <w:rFonts w:hint="eastAsia" w:ascii="仿宋_GB2312" w:eastAsia="仿宋_GB2312"/>
          <w:color w:val="auto"/>
          <w:highlight w:val="none"/>
        </w:rPr>
      </w:pPr>
      <w:r>
        <w:rPr>
          <w:rFonts w:hint="eastAsia" w:ascii="仿宋_GB2312" w:eastAsia="仿宋_GB2312"/>
          <w:color w:val="auto"/>
          <w:sz w:val="28"/>
          <w:highlight w:val="none"/>
        </w:rPr>
        <w:t>项目编号：</w:t>
      </w:r>
      <w:r>
        <w:rPr>
          <w:rFonts w:hint="eastAsia" w:ascii="仿宋_GB2312" w:eastAsia="仿宋_GB2312"/>
          <w:color w:val="auto"/>
          <w:highlight w:val="none"/>
          <w:u w:val="single"/>
        </w:rPr>
        <w:t xml:space="preserve">                          </w:t>
      </w:r>
    </w:p>
    <w:p>
      <w:pPr>
        <w:jc w:val="both"/>
        <w:rPr>
          <w:rFonts w:hint="eastAsia" w:ascii="仿宋_GB2312" w:eastAsia="仿宋_GB2312"/>
          <w:color w:val="auto"/>
          <w:highlight w:val="none"/>
        </w:rPr>
      </w:pPr>
      <w:r>
        <w:rPr>
          <w:rFonts w:hint="eastAsia" w:ascii="仿宋_GB2312" w:eastAsia="仿宋_GB2312"/>
          <w:color w:val="auto"/>
          <w:sz w:val="27"/>
          <w:highlight w:val="none"/>
        </w:rPr>
        <w:t xml:space="preserve"> </w:t>
      </w:r>
    </w:p>
    <w:p>
      <w:pPr>
        <w:ind w:firstLine="3080" w:firstLineChars="1100"/>
        <w:rPr>
          <w:rFonts w:hint="eastAsia" w:ascii="仿宋_GB2312" w:eastAsia="仿宋_GB2312"/>
          <w:color w:val="auto"/>
          <w:highlight w:val="none"/>
        </w:rPr>
      </w:pPr>
      <w:r>
        <w:rPr>
          <w:rFonts w:hint="eastAsia" w:ascii="仿宋_GB2312" w:eastAsia="仿宋_GB2312"/>
          <w:color w:val="auto"/>
          <w:sz w:val="28"/>
          <w:highlight w:val="none"/>
        </w:rPr>
        <w:t>项目名称：</w:t>
      </w:r>
      <w:r>
        <w:rPr>
          <w:rFonts w:hint="eastAsia" w:ascii="仿宋_GB2312" w:eastAsia="仿宋_GB2312"/>
          <w:color w:val="auto"/>
          <w:highlight w:val="none"/>
          <w:u w:val="single"/>
        </w:rPr>
        <w:t xml:space="preserve">                          </w:t>
      </w:r>
    </w:p>
    <w:p>
      <w:pPr>
        <w:rPr>
          <w:rFonts w:hint="eastAsia" w:ascii="仿宋_GB2312" w:eastAsia="仿宋_GB2312"/>
          <w:color w:val="auto"/>
          <w:highlight w:val="none"/>
        </w:rPr>
      </w:pPr>
      <w:r>
        <w:rPr>
          <w:rFonts w:hint="eastAsia" w:ascii="仿宋_GB2312" w:eastAsia="仿宋_GB2312"/>
          <w:color w:val="auto"/>
          <w:sz w:val="27"/>
          <w:highlight w:val="none"/>
        </w:rPr>
        <w:t xml:space="preserve"> </w:t>
      </w:r>
    </w:p>
    <w:p>
      <w:pPr>
        <w:rPr>
          <w:color w:val="auto"/>
          <w:highlight w:val="none"/>
        </w:rPr>
      </w:pPr>
      <w:r>
        <w:rPr>
          <w:color w:val="auto"/>
          <w:sz w:val="27"/>
          <w:highlight w:val="none"/>
        </w:rPr>
        <w:t xml:space="preserve"> </w:t>
      </w:r>
    </w:p>
    <w:p>
      <w:pPr>
        <w:rPr>
          <w:color w:val="auto"/>
          <w:highlight w:val="none"/>
        </w:rPr>
      </w:pPr>
      <w:r>
        <w:rPr>
          <w:color w:val="auto"/>
          <w:sz w:val="27"/>
          <w:highlight w:val="none"/>
        </w:rPr>
        <w:t xml:space="preserve"> </w:t>
      </w:r>
    </w:p>
    <w:p>
      <w:pPr>
        <w:rPr>
          <w:color w:val="auto"/>
          <w:highlight w:val="none"/>
        </w:rPr>
      </w:pPr>
      <w:r>
        <w:rPr>
          <w:color w:val="auto"/>
          <w:sz w:val="27"/>
          <w:highlight w:val="none"/>
        </w:rPr>
        <w:t xml:space="preserve"> </w:t>
      </w:r>
    </w:p>
    <w:p>
      <w:pPr>
        <w:rPr>
          <w:color w:val="auto"/>
          <w:highlight w:val="none"/>
        </w:rPr>
      </w:pPr>
      <w:r>
        <w:rPr>
          <w:color w:val="auto"/>
          <w:sz w:val="27"/>
          <w:highlight w:val="none"/>
        </w:rPr>
        <w:t xml:space="preserve"> </w:t>
      </w:r>
    </w:p>
    <w:p>
      <w:pPr>
        <w:rPr>
          <w:color w:val="auto"/>
          <w:highlight w:val="none"/>
        </w:rPr>
      </w:pPr>
      <w:r>
        <w:rPr>
          <w:color w:val="auto"/>
          <w:sz w:val="27"/>
          <w:highlight w:val="none"/>
        </w:rPr>
        <w:t xml:space="preserve"> </w:t>
      </w:r>
    </w:p>
    <w:p>
      <w:pPr>
        <w:rPr>
          <w:color w:val="auto"/>
          <w:highlight w:val="none"/>
        </w:rPr>
      </w:pPr>
      <w:r>
        <w:rPr>
          <w:color w:val="auto"/>
          <w:sz w:val="27"/>
          <w:highlight w:val="none"/>
        </w:rPr>
        <w:t xml:space="preserve"> </w:t>
      </w:r>
    </w:p>
    <w:p>
      <w:pPr>
        <w:rPr>
          <w:color w:val="auto"/>
          <w:highlight w:val="none"/>
        </w:rPr>
      </w:pPr>
      <w:r>
        <w:rPr>
          <w:color w:val="auto"/>
          <w:sz w:val="27"/>
          <w:highlight w:val="none"/>
        </w:rPr>
        <w:t xml:space="preserve"> </w:t>
      </w:r>
    </w:p>
    <w:p>
      <w:pPr>
        <w:rPr>
          <w:color w:val="auto"/>
          <w:highlight w:val="none"/>
        </w:rPr>
      </w:pPr>
      <w:r>
        <w:rPr>
          <w:color w:val="auto"/>
          <w:sz w:val="27"/>
          <w:highlight w:val="none"/>
        </w:rPr>
        <w:t xml:space="preserve"> </w:t>
      </w:r>
    </w:p>
    <w:p>
      <w:pPr>
        <w:jc w:val="center"/>
        <w:rPr>
          <w:color w:val="auto"/>
          <w:highlight w:val="none"/>
        </w:rPr>
      </w:pPr>
    </w:p>
    <w:p>
      <w:pPr>
        <w:rPr>
          <w:color w:val="auto"/>
          <w:highlight w:val="none"/>
        </w:rPr>
      </w:pPr>
    </w:p>
    <w:p>
      <w:pPr>
        <w:spacing w:line="560" w:lineRule="exact"/>
        <w:rPr>
          <w:color w:val="auto"/>
          <w:sz w:val="28"/>
          <w:szCs w:val="28"/>
          <w:highlight w:val="none"/>
        </w:rPr>
      </w:pPr>
      <w:r>
        <w:rPr>
          <w:color w:val="auto"/>
          <w:highlight w:val="none"/>
        </w:rPr>
        <w:br w:type="page"/>
      </w:r>
    </w:p>
    <w:p>
      <w:pPr>
        <w:adjustRightInd w:val="0"/>
        <w:spacing w:line="560" w:lineRule="exact"/>
        <w:ind w:firstLine="560" w:firstLineChars="200"/>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甲方</w:t>
      </w:r>
      <w:r>
        <w:rPr>
          <w:rFonts w:ascii="仿宋_GB2312" w:hAnsi="Calibri" w:eastAsia="仿宋_GB2312"/>
          <w:color w:val="auto"/>
          <w:sz w:val="28"/>
          <w:szCs w:val="28"/>
          <w:highlight w:val="none"/>
        </w:rPr>
        <w:t>：</w:t>
      </w:r>
    </w:p>
    <w:p>
      <w:pPr>
        <w:pStyle w:val="8"/>
        <w:spacing w:line="560" w:lineRule="exact"/>
        <w:ind w:firstLine="560" w:firstLineChars="200"/>
        <w:rPr>
          <w:rFonts w:hint="eastAsia" w:ascii="仿宋_GB2312" w:hAnsi="Calibri" w:eastAsia="仿宋_GB2312"/>
          <w:b w:val="0"/>
          <w:bCs w:val="0"/>
          <w:color w:val="auto"/>
          <w:sz w:val="28"/>
          <w:szCs w:val="28"/>
          <w:highlight w:val="none"/>
        </w:rPr>
      </w:pPr>
      <w:r>
        <w:rPr>
          <w:rFonts w:hint="eastAsia" w:ascii="仿宋_GB2312" w:hAnsi="Calibri" w:eastAsia="仿宋_GB2312"/>
          <w:b w:val="0"/>
          <w:bCs w:val="0"/>
          <w:color w:val="auto"/>
          <w:sz w:val="28"/>
          <w:szCs w:val="28"/>
          <w:highlight w:val="none"/>
        </w:rPr>
        <w:t>乙方：</w:t>
      </w:r>
    </w:p>
    <w:p>
      <w:pPr>
        <w:adjustRightInd w:val="0"/>
        <w:spacing w:line="560" w:lineRule="exact"/>
        <w:ind w:firstLine="560" w:firstLineChars="200"/>
        <w:rPr>
          <w:rFonts w:ascii="仿宋_GB2312" w:hAnsi="Calibri" w:eastAsia="仿宋_GB2312"/>
          <w:color w:val="auto"/>
          <w:sz w:val="28"/>
          <w:szCs w:val="28"/>
          <w:highlight w:val="none"/>
        </w:rPr>
      </w:pP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根据</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项目的采购结果，按照《中华人民共和国政府采购法》，《中华人民共和国民法典</w:t>
      </w:r>
      <w:r>
        <w:rPr>
          <w:rFonts w:hint="eastAsia" w:ascii="仿宋_GB2312" w:eastAsia="仿宋_GB2312"/>
          <w:color w:val="auto"/>
          <w:sz w:val="28"/>
          <w:szCs w:val="28"/>
          <w:highlight w:val="none"/>
        </w:rPr>
        <w:t>（</w:t>
      </w:r>
      <w:r>
        <w:rPr>
          <w:rFonts w:hint="eastAsia" w:ascii="仿宋_GB2312" w:hAnsi="Calibri" w:eastAsia="仿宋_GB2312"/>
          <w:color w:val="auto"/>
          <w:sz w:val="28"/>
          <w:szCs w:val="28"/>
          <w:highlight w:val="none"/>
        </w:rPr>
        <w:t>合同编</w:t>
      </w:r>
      <w:r>
        <w:rPr>
          <w:rFonts w:hint="eastAsia" w:ascii="仿宋_GB2312" w:eastAsia="仿宋_GB2312"/>
          <w:color w:val="auto"/>
          <w:sz w:val="28"/>
          <w:szCs w:val="28"/>
          <w:highlight w:val="none"/>
        </w:rPr>
        <w:t>）</w:t>
      </w:r>
      <w:r>
        <w:rPr>
          <w:rFonts w:hint="eastAsia" w:ascii="仿宋_GB2312" w:hAnsi="Calibri" w:eastAsia="仿宋_GB2312"/>
          <w:color w:val="auto"/>
          <w:sz w:val="28"/>
          <w:szCs w:val="28"/>
          <w:highlight w:val="none"/>
        </w:rPr>
        <w:t>》的规定，经双方协商，本着平等互利和诚实信用的原则，一致同意遵守本合同如下。</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一、合同金额</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合同金额为（大写）：</w:t>
      </w:r>
      <w:r>
        <w:rPr>
          <w:rFonts w:hint="eastAsia" w:ascii="仿宋_GB2312" w:hAnsi="Cambria" w:eastAsia="仿宋_GB2312" w:cs="DejaVuSans"/>
          <w:color w:val="auto"/>
          <w:sz w:val="28"/>
          <w:szCs w:val="28"/>
          <w:highlight w:val="none"/>
          <w:u w:val="single"/>
        </w:rPr>
        <w:t xml:space="preserve">                     </w:t>
      </w:r>
      <w:r>
        <w:rPr>
          <w:rFonts w:hint="eastAsia" w:ascii="仿宋_GB2312" w:hAnsi="Calibri" w:eastAsia="仿宋_GB2312"/>
          <w:color w:val="auto"/>
          <w:sz w:val="28"/>
          <w:szCs w:val="28"/>
          <w:highlight w:val="none"/>
        </w:rPr>
        <w:t>元（￥</w:t>
      </w:r>
      <w:r>
        <w:rPr>
          <w:rFonts w:hint="eastAsia" w:ascii="仿宋_GB2312" w:hAnsi="Cambria" w:eastAsia="仿宋_GB2312" w:cs="DejaVuSans"/>
          <w:color w:val="auto"/>
          <w:sz w:val="28"/>
          <w:szCs w:val="28"/>
          <w:highlight w:val="none"/>
          <w:u w:val="single"/>
        </w:rPr>
        <w:t xml:space="preserve">        </w:t>
      </w:r>
      <w:r>
        <w:rPr>
          <w:rFonts w:hint="eastAsia" w:ascii="仿宋_GB2312" w:hAnsi="Calibri" w:eastAsia="仿宋_GB2312"/>
          <w:color w:val="auto"/>
          <w:sz w:val="28"/>
          <w:szCs w:val="28"/>
          <w:highlight w:val="none"/>
        </w:rPr>
        <w:t>元）人民币。</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二、服务范围</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乙方为</w:t>
      </w:r>
      <w:r>
        <w:rPr>
          <w:rFonts w:ascii="仿宋_GB2312" w:hAnsi="Calibri" w:eastAsia="仿宋_GB2312"/>
          <w:color w:val="auto"/>
          <w:sz w:val="28"/>
          <w:szCs w:val="28"/>
          <w:highlight w:val="none"/>
        </w:rPr>
        <w:t>甲方</w:t>
      </w:r>
      <w:r>
        <w:rPr>
          <w:rFonts w:hint="eastAsia" w:ascii="仿宋_GB2312" w:hAnsi="Calibri" w:eastAsia="仿宋_GB2312"/>
          <w:color w:val="auto"/>
          <w:sz w:val="28"/>
          <w:szCs w:val="28"/>
          <w:highlight w:val="none"/>
        </w:rPr>
        <w:t>提供以下服务：</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（一）针对社区矫正人员的具体服务内容</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ascii="仿宋_GB2312" w:hAnsi="Calibri" w:eastAsia="仿宋_GB2312" w:cs="DejaVuSans"/>
          <w:color w:val="auto"/>
          <w:sz w:val="28"/>
          <w:szCs w:val="28"/>
          <w:highlight w:val="none"/>
        </w:rPr>
        <w:t>1、协助司法行政部门对社区矫正人员的管理和教育</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通过个别教育、集体教育、社区教育等多样化的教育方式，使矫正对象提高对所犯行为的认识，逐步养成良好的行为习惯，使他们在思想上、素质上、行为习惯和道德习惯上都能适应社会的需要，顺利地回归社会。</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管理的主要内容包括：根据相关的法律法规加强对矫正对象的有效管理，规范他们的行为，确保社区矫正工作的正常秩序，确保非监禁刑罚的有效执行。</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教育的主要内容包括：法律法规教育、文化和职业技术教育、生活和社会功能教育等。</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ascii="仿宋_GB2312" w:hAnsi="Calibri" w:eastAsia="仿宋_GB2312" w:cs="DejaVuSans"/>
          <w:color w:val="auto"/>
          <w:sz w:val="28"/>
          <w:szCs w:val="28"/>
          <w:highlight w:val="none"/>
        </w:rPr>
        <w:t>2、协助组织参与公益劳动和实践活动</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根据矫正对象的身体、技能状况，安排一定时间的社区公益劳动，公益劳动情况记入档案，作为考核与鉴定的依据。通过参加公益劳动，使他们增强与社区环境的联系，加强与社区居民的互动，增强对社会的责任感，回报社会。</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（二）协助社区矫正工作机构开展对拟判处社区矫正的被告人、罪犯进行社会调查</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社工的主要工作是协助社区矫正工作机构工作人员开展对拟适用社区矫正的被告人罪犯的个人、家庭、社会环境进行社会调查和评估，全面了解被告人的居所情况、家庭和社会关系、一贯表现、犯罪行为的后果和影响、居住地村（居）民委员和被害人意见、拟禁止的事项等情况，形成评估意见，提交给委托机关。</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（三）针对安置帮教人员的具体服务内容</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ascii="仿宋_GB2312" w:hAnsi="Calibri" w:eastAsia="仿宋_GB2312" w:cs="DejaVuSans"/>
          <w:color w:val="auto"/>
          <w:sz w:val="28"/>
          <w:szCs w:val="28"/>
          <w:highlight w:val="none"/>
        </w:rPr>
        <w:t>1、协助司法行政部门对安置帮教人员的跟踪帮扶</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管理的主要内容包括：对辖区安置帮教人员进行走访调查摸底，形成动态管理资料，根据安置帮教人员的实际需要提供个别化服务。</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ascii="仿宋_GB2312" w:hAnsi="Calibri" w:eastAsia="仿宋_GB2312" w:cs="DejaVuSans"/>
          <w:color w:val="auto"/>
          <w:sz w:val="28"/>
          <w:szCs w:val="28"/>
          <w:highlight w:val="none"/>
        </w:rPr>
        <w:t>2、提供资源链接，为安置帮教人员回归创造有利条件</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安置帮教人员的顺利回归需要家庭及社会等系统的支持与援助，社工将根据安置帮教人员的资源系统，作为各个资源系统的链接者，对安置帮教人员的家庭及社会系统进行修复、维护及加强。同时注重整合社区各成员单位的资源优势，包括劳动保障部门、民政部门、司法行政部门等，积极协助安置帮教人员解决生活、就业、心理等方面存在的问题和困难，从而激发其潜能，促使其顺利回归社会。</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ascii="仿宋_GB2312" w:hAnsi="Calibri" w:eastAsia="仿宋_GB2312" w:cs="DejaVuSans"/>
          <w:color w:val="auto"/>
          <w:sz w:val="28"/>
          <w:szCs w:val="28"/>
          <w:highlight w:val="none"/>
        </w:rPr>
        <w:t>3、协助司法行政部门对安置帮教人员的法治教育</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通过社区教育、成长小组等多样化的教育方式，对安置帮教人员进行法治教育，提高他们的法律意识，预防再违法犯罪。</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（四）个案辅导</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根据服务对象的需求，运用社会工作专业的知识、方法和技巧，帮助服务对象个人或家庭发掘和运用自身及其周围的资源，改善个人与社会环境之间的适应状况，实现服务对象对自我的尊重、肯定和能力的重塑及社区居民对服务对象的接纳和肯定。</w:t>
      </w:r>
    </w:p>
    <w:p>
      <w:pPr>
        <w:adjustRightInd w:val="0"/>
        <w:spacing w:line="560" w:lineRule="exact"/>
        <w:ind w:firstLine="560" w:firstLineChars="200"/>
        <w:rPr>
          <w:rFonts w:ascii="仿宋_GB2312" w:hAnsi="Calibri" w:eastAsia="仿宋_GB2312" w:cs="DejaVuSans"/>
          <w:color w:val="auto"/>
          <w:sz w:val="28"/>
          <w:szCs w:val="28"/>
          <w:highlight w:val="none"/>
        </w:rPr>
      </w:pPr>
      <w:r>
        <w:rPr>
          <w:rFonts w:hint="eastAsia" w:ascii="仿宋_GB2312" w:hAnsi="Calibri" w:eastAsia="仿宋_GB2312" w:cs="DejaVuSans"/>
          <w:color w:val="auto"/>
          <w:sz w:val="28"/>
          <w:szCs w:val="28"/>
          <w:highlight w:val="none"/>
        </w:rPr>
        <w:t>（五）社区服务</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通过定期安排矫正对象参与社区服务，培养他们的责任感以及让社会人士对他们有正当认识。在社区进行宣传，消除居民对服务对象的歧视和排斥，调动居民积极参与和协助服务对象，使他们感受到社会的关怀与温暖，重新为社会再贡献。</w:t>
      </w:r>
      <w:r>
        <w:rPr>
          <w:rFonts w:hint="eastAsia" w:ascii="仿宋_GB2312" w:hAnsi="Calibri" w:eastAsia="仿宋_GB2312"/>
          <w:color w:val="auto"/>
          <w:sz w:val="28"/>
          <w:szCs w:val="28"/>
          <w:highlight w:val="none"/>
        </w:rPr>
        <w:t>　　　　　　　　　　</w:t>
      </w:r>
    </w:p>
    <w:p>
      <w:pPr>
        <w:adjustRightInd w:val="0"/>
        <w:spacing w:line="560" w:lineRule="exact"/>
        <w:ind w:firstLine="560" w:firstLineChars="200"/>
        <w:rPr>
          <w:rFonts w:hint="eastAsia" w:ascii="仿宋_GB2312" w:hAnsi="Calibri" w:eastAsia="仿宋_GB2312" w:cs="DejaVuSans"/>
          <w:color w:val="auto"/>
          <w:sz w:val="28"/>
          <w:szCs w:val="28"/>
          <w:highlight w:val="none"/>
        </w:rPr>
      </w:pPr>
      <w:r>
        <w:rPr>
          <w:rFonts w:hint="eastAsia" w:ascii="仿宋_GB2312" w:eastAsia="仿宋_GB2312"/>
          <w:color w:val="auto"/>
          <w:sz w:val="28"/>
          <w:szCs w:val="28"/>
          <w:highlight w:val="none"/>
        </w:rPr>
        <w:t>……</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三</w:t>
      </w:r>
      <w:r>
        <w:rPr>
          <w:rFonts w:ascii="黑体" w:hAnsi="黑体" w:eastAsia="黑体"/>
          <w:color w:val="auto"/>
          <w:sz w:val="28"/>
          <w:szCs w:val="28"/>
          <w:highlight w:val="none"/>
        </w:rPr>
        <w:t>、服务标准</w:t>
      </w:r>
    </w:p>
    <w:tbl>
      <w:tblPr>
        <w:tblStyle w:val="1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2"/>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872" w:type="dxa"/>
            <w:noWrap w:val="0"/>
            <w:vAlign w:val="center"/>
          </w:tcPr>
          <w:p>
            <w:pPr>
              <w:spacing w:line="360" w:lineRule="auto"/>
              <w:ind w:firstLine="422" w:firstLineChars="200"/>
              <w:jc w:val="center"/>
              <w:rPr>
                <w:rFonts w:hint="eastAsia"/>
                <w:b/>
                <w:bCs/>
                <w:color w:val="auto"/>
                <w:highlight w:val="none"/>
                <w:shd w:val="clear" w:color="auto" w:fill="FFFFFF"/>
              </w:rPr>
            </w:pPr>
            <w:r>
              <w:rPr>
                <w:rFonts w:hint="eastAsia"/>
                <w:b/>
                <w:bCs/>
                <w:color w:val="auto"/>
                <w:highlight w:val="none"/>
                <w:shd w:val="clear" w:color="auto" w:fill="FFFFFF"/>
              </w:rPr>
              <w:t>服务指标</w:t>
            </w:r>
          </w:p>
        </w:tc>
        <w:tc>
          <w:tcPr>
            <w:tcW w:w="3075" w:type="dxa"/>
            <w:noWrap w:val="0"/>
            <w:vAlign w:val="center"/>
          </w:tcPr>
          <w:p>
            <w:pPr>
              <w:spacing w:line="360" w:lineRule="auto"/>
              <w:jc w:val="center"/>
              <w:rPr>
                <w:rFonts w:hint="eastAsia"/>
                <w:color w:val="auto"/>
                <w:highlight w:val="none"/>
              </w:rPr>
            </w:pPr>
            <w:r>
              <w:rPr>
                <w:rFonts w:hint="eastAsia"/>
                <w:b/>
                <w:bCs/>
                <w:color w:val="auto"/>
                <w:highlight w:val="none"/>
                <w:shd w:val="clear" w:color="auto" w:fill="FFFFFF"/>
              </w:rPr>
              <w:t>指标量化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1、个案工作</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不少于40个/年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2、小组工作</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不少于4个/年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3、社区工作</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不少于24个/年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4、咨询、社区走访、家访</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不少于640人次/年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5、参与开展非监禁刑判前调查，撰写庭前调查意见报告</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不少于20份/年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6、帮助矫正机构为社区矫正人员或安置帮教人员建立档案</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不少于100%建档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7、协调有关部门和单位，为社区矫正人员和安置帮教人员生活中遇到的问题提供职责范围内的指导和帮助</w:t>
            </w:r>
          </w:p>
        </w:tc>
        <w:tc>
          <w:tcPr>
            <w:tcW w:w="3075" w:type="dxa"/>
            <w:noWrap w:val="0"/>
            <w:vAlign w:val="center"/>
          </w:tcPr>
          <w:p>
            <w:pPr>
              <w:autoSpaceDE/>
              <w:autoSpaceDN/>
              <w:spacing w:line="360" w:lineRule="auto"/>
              <w:jc w:val="center"/>
              <w:rPr>
                <w:color w:val="auto"/>
                <w:highlight w:val="none"/>
              </w:rPr>
            </w:pPr>
            <w:r>
              <w:rPr>
                <w:rFonts w:hint="eastAsia"/>
                <w:color w:val="auto"/>
                <w:highlight w:val="none"/>
              </w:rPr>
              <w:t>不少于100%协助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72" w:type="dxa"/>
            <w:noWrap w:val="0"/>
            <w:vAlign w:val="center"/>
          </w:tcPr>
          <w:p>
            <w:pPr>
              <w:autoSpaceDE/>
              <w:autoSpaceDN/>
              <w:spacing w:line="360" w:lineRule="auto"/>
              <w:rPr>
                <w:rFonts w:hint="eastAsia"/>
                <w:color w:val="auto"/>
                <w:highlight w:val="none"/>
                <w:shd w:val="clear" w:color="auto" w:fill="FFFFFF"/>
              </w:rPr>
            </w:pPr>
            <w:r>
              <w:rPr>
                <w:rFonts w:hint="eastAsia"/>
                <w:color w:val="auto"/>
                <w:highlight w:val="none"/>
                <w:shd w:val="clear" w:color="auto" w:fill="FFFFFF"/>
              </w:rPr>
              <w:t>8、定期向镇（街）矫正机构反馈工作开展情况</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每月不少于1次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72" w:type="dxa"/>
            <w:noWrap w:val="0"/>
            <w:vAlign w:val="center"/>
          </w:tcPr>
          <w:p>
            <w:pPr>
              <w:autoSpaceDE/>
              <w:autoSpaceDN/>
              <w:spacing w:line="360" w:lineRule="auto"/>
              <w:rPr>
                <w:color w:val="auto"/>
                <w:highlight w:val="none"/>
                <w:shd w:val="clear" w:color="auto" w:fill="FFFFFF"/>
              </w:rPr>
            </w:pPr>
            <w:r>
              <w:rPr>
                <w:rFonts w:hint="eastAsia"/>
                <w:color w:val="auto"/>
                <w:highlight w:val="none"/>
                <w:shd w:val="clear" w:color="auto" w:fill="FFFFFF"/>
              </w:rPr>
              <w:t>9、季度工作总结、年终（中）工作总结</w:t>
            </w:r>
          </w:p>
        </w:tc>
        <w:tc>
          <w:tcPr>
            <w:tcW w:w="3075" w:type="dxa"/>
            <w:noWrap w:val="0"/>
            <w:vAlign w:val="center"/>
          </w:tcPr>
          <w:p>
            <w:pPr>
              <w:autoSpaceDE/>
              <w:autoSpaceDN/>
              <w:spacing w:line="360" w:lineRule="auto"/>
              <w:jc w:val="center"/>
              <w:rPr>
                <w:rFonts w:hint="eastAsia"/>
                <w:color w:val="auto"/>
                <w:highlight w:val="none"/>
              </w:rPr>
            </w:pPr>
            <w:r>
              <w:rPr>
                <w:rFonts w:hint="eastAsia"/>
                <w:color w:val="auto"/>
                <w:highlight w:val="none"/>
              </w:rPr>
              <w:t>6份</w:t>
            </w:r>
          </w:p>
        </w:tc>
      </w:tr>
    </w:tbl>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四、权利和义务</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w:t>
      </w:r>
      <w:r>
        <w:rPr>
          <w:rFonts w:hint="eastAsia" w:ascii="仿宋_GB2312" w:hAnsi="Calibri" w:eastAsia="仿宋_GB2312" w:cs="DejaVuSans"/>
          <w:color w:val="auto"/>
          <w:sz w:val="28"/>
          <w:szCs w:val="28"/>
          <w:highlight w:val="none"/>
        </w:rPr>
        <w:t>1.</w:t>
      </w:r>
      <w:r>
        <w:rPr>
          <w:rFonts w:hint="eastAsia" w:ascii="仿宋_GB2312" w:hAnsi="Calibri" w:eastAsia="仿宋_GB2312"/>
          <w:color w:val="auto"/>
          <w:sz w:val="28"/>
          <w:szCs w:val="28"/>
          <w:highlight w:val="none"/>
        </w:rPr>
        <w:t>甲方的权利和义务</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w:t>
      </w:r>
      <w:r>
        <w:rPr>
          <w:rFonts w:hint="eastAsia" w:ascii="仿宋_GB2312" w:hAnsi="Calibri" w:eastAsia="仿宋_GB2312" w:cs="DejaVuSans"/>
          <w:color w:val="auto"/>
          <w:sz w:val="28"/>
          <w:szCs w:val="28"/>
          <w:highlight w:val="none"/>
        </w:rPr>
        <w:t>2.</w:t>
      </w:r>
      <w:r>
        <w:rPr>
          <w:rFonts w:hint="eastAsia" w:ascii="仿宋_GB2312" w:hAnsi="Calibri" w:eastAsia="仿宋_GB2312"/>
          <w:color w:val="auto"/>
          <w:sz w:val="28"/>
          <w:szCs w:val="28"/>
          <w:highlight w:val="none"/>
        </w:rPr>
        <w:t>乙方的权利和义务</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五、服务期间（项目完成期限）</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委托服务期间自</w:t>
      </w:r>
      <w:r>
        <w:rPr>
          <w:rFonts w:hint="eastAsia" w:ascii="仿宋_GB2312" w:hAnsi="Cambria" w:eastAsia="仿宋_GB2312" w:cs="DejaVuSans"/>
          <w:color w:val="auto"/>
          <w:sz w:val="28"/>
          <w:szCs w:val="28"/>
          <w:highlight w:val="none"/>
          <w:u w:val="single"/>
        </w:rPr>
        <w:t xml:space="preserve">       </w:t>
      </w:r>
      <w:r>
        <w:rPr>
          <w:rFonts w:hint="eastAsia" w:ascii="仿宋_GB2312" w:hAnsi="Calibri" w:eastAsia="仿宋_GB2312"/>
          <w:color w:val="auto"/>
          <w:sz w:val="28"/>
          <w:szCs w:val="28"/>
          <w:highlight w:val="none"/>
        </w:rPr>
        <w:t>年</w:t>
      </w:r>
      <w:r>
        <w:rPr>
          <w:rFonts w:hint="eastAsia" w:ascii="仿宋_GB2312" w:hAnsi="Cambria" w:eastAsia="仿宋_GB2312" w:cs="DejaVuSans"/>
          <w:color w:val="auto"/>
          <w:sz w:val="28"/>
          <w:szCs w:val="28"/>
          <w:highlight w:val="none"/>
          <w:u w:val="single"/>
        </w:rPr>
        <w:t xml:space="preserve">    </w:t>
      </w:r>
      <w:r>
        <w:rPr>
          <w:rFonts w:hint="eastAsia" w:ascii="仿宋_GB2312" w:hAnsi="Calibri" w:eastAsia="仿宋_GB2312"/>
          <w:color w:val="auto"/>
          <w:sz w:val="28"/>
          <w:szCs w:val="28"/>
          <w:highlight w:val="none"/>
        </w:rPr>
        <w:t>月</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日至</w:t>
      </w:r>
      <w:r>
        <w:rPr>
          <w:rFonts w:hint="eastAsia" w:ascii="仿宋_GB2312" w:hAnsi="Cambria" w:eastAsia="仿宋_GB2312" w:cs="DejaVuSans"/>
          <w:color w:val="auto"/>
          <w:sz w:val="28"/>
          <w:szCs w:val="28"/>
          <w:highlight w:val="none"/>
          <w:u w:val="single"/>
        </w:rPr>
        <w:t xml:space="preserve">       </w:t>
      </w:r>
      <w:r>
        <w:rPr>
          <w:rFonts w:hint="eastAsia" w:ascii="仿宋_GB2312" w:hAnsi="Calibri" w:eastAsia="仿宋_GB2312"/>
          <w:color w:val="auto"/>
          <w:sz w:val="28"/>
          <w:szCs w:val="28"/>
          <w:highlight w:val="none"/>
        </w:rPr>
        <w:t>年</w:t>
      </w:r>
      <w:r>
        <w:rPr>
          <w:rFonts w:hint="eastAsia" w:ascii="仿宋_GB2312" w:hAnsi="Cambria" w:eastAsia="仿宋_GB2312" w:cs="DejaVuSans"/>
          <w:color w:val="auto"/>
          <w:sz w:val="28"/>
          <w:szCs w:val="28"/>
          <w:highlight w:val="none"/>
          <w:u w:val="single"/>
        </w:rPr>
        <w:t xml:space="preserve">    </w:t>
      </w:r>
      <w:r>
        <w:rPr>
          <w:rFonts w:hint="eastAsia" w:ascii="仿宋_GB2312" w:hAnsi="Calibri" w:eastAsia="仿宋_GB2312"/>
          <w:color w:val="auto"/>
          <w:sz w:val="28"/>
          <w:szCs w:val="28"/>
          <w:highlight w:val="none"/>
        </w:rPr>
        <w:t>月</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日止。</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六、付款方式</w:t>
      </w:r>
    </w:p>
    <w:p>
      <w:pPr>
        <w:adjustRightInd w:val="0"/>
        <w:spacing w:line="560" w:lineRule="exact"/>
        <w:ind w:firstLine="560" w:firstLineChars="200"/>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甲方分四期向</w:t>
      </w:r>
      <w:r>
        <w:rPr>
          <w:rFonts w:ascii="仿宋_GB2312" w:hAnsi="Calibri" w:eastAsia="仿宋_GB2312"/>
          <w:color w:val="auto"/>
          <w:sz w:val="28"/>
          <w:szCs w:val="28"/>
          <w:highlight w:val="none"/>
        </w:rPr>
        <w:t>乙方</w:t>
      </w:r>
      <w:r>
        <w:rPr>
          <w:rFonts w:hint="eastAsia" w:ascii="仿宋_GB2312" w:hAnsi="Calibri" w:eastAsia="仿宋_GB2312"/>
          <w:color w:val="auto"/>
          <w:sz w:val="28"/>
          <w:szCs w:val="28"/>
          <w:highlight w:val="none"/>
        </w:rPr>
        <w:t>支付服务费，按季度支付，每期支付比例不多于</w:t>
      </w:r>
      <w:r>
        <w:rPr>
          <w:rFonts w:ascii="仿宋_GB2312" w:hAnsi="Calibri" w:eastAsia="仿宋_GB2312"/>
          <w:color w:val="auto"/>
          <w:sz w:val="28"/>
          <w:szCs w:val="28"/>
          <w:highlight w:val="none"/>
        </w:rPr>
        <w:t>25%，实际支付比例根据考核验收结果而定。</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七、考核验收</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甲方每季度对乙方提供的具体服务进行考核，过程考核和结果考核均采用百分制，设置优秀、良好、合格、不合格</w:t>
      </w:r>
      <w:r>
        <w:rPr>
          <w:rFonts w:ascii="仿宋_GB2312" w:hAnsi="Calibri" w:eastAsia="仿宋_GB2312"/>
          <w:color w:val="auto"/>
          <w:sz w:val="28"/>
          <w:szCs w:val="28"/>
          <w:highlight w:val="none"/>
        </w:rPr>
        <w:t>4个等次，90分及以上为优秀、76-89分为良好、60-75分为合格、60分以下为不合格。经费支付与考核评估挂钩。考核结果为良好或以上的，当季度服务经费全额支付；评估结果为合格的，当季度服务经费80%支付，评估结果为不合格的，当季度服务经费50%支付，并且</w:t>
      </w:r>
      <w:r>
        <w:rPr>
          <w:rFonts w:hint="eastAsia" w:ascii="仿宋_GB2312" w:hAnsi="Calibri" w:eastAsia="仿宋_GB2312"/>
          <w:color w:val="auto"/>
          <w:sz w:val="28"/>
          <w:szCs w:val="28"/>
          <w:highlight w:val="none"/>
        </w:rPr>
        <w:t>甲方</w:t>
      </w:r>
      <w:r>
        <w:rPr>
          <w:rFonts w:ascii="仿宋_GB2312" w:hAnsi="Calibri" w:eastAsia="仿宋_GB2312"/>
          <w:color w:val="auto"/>
          <w:sz w:val="28"/>
          <w:szCs w:val="28"/>
          <w:highlight w:val="none"/>
        </w:rPr>
        <w:t>有权终止合同。（考核标准</w:t>
      </w:r>
      <w:r>
        <w:rPr>
          <w:rFonts w:hint="eastAsia" w:ascii="仿宋_GB2312" w:hAnsi="Calibri" w:eastAsia="仿宋_GB2312"/>
          <w:color w:val="auto"/>
          <w:sz w:val="28"/>
          <w:szCs w:val="28"/>
          <w:highlight w:val="none"/>
        </w:rPr>
        <w:t>详见</w:t>
      </w:r>
      <w:r>
        <w:rPr>
          <w:rFonts w:ascii="仿宋_GB2312" w:hAnsi="Calibri" w:eastAsia="仿宋_GB2312"/>
          <w:color w:val="auto"/>
          <w:sz w:val="28"/>
          <w:szCs w:val="28"/>
          <w:highlight w:val="none"/>
        </w:rPr>
        <w:t>附件一）</w:t>
      </w:r>
    </w:p>
    <w:p>
      <w:pPr>
        <w:adjustRightInd w:val="0"/>
        <w:spacing w:line="360" w:lineRule="auto"/>
        <w:ind w:firstLine="211" w:firstLineChars="100"/>
        <w:rPr>
          <w:b/>
          <w:bCs/>
          <w:color w:val="auto"/>
          <w:highlight w:val="none"/>
        </w:rPr>
      </w:pPr>
    </w:p>
    <w:p>
      <w:pPr>
        <w:adjustRightInd w:val="0"/>
        <w:spacing w:line="360" w:lineRule="auto"/>
        <w:ind w:firstLine="211" w:firstLineChars="100"/>
        <w:rPr>
          <w:color w:val="auto"/>
          <w:highlight w:val="none"/>
        </w:rPr>
      </w:pPr>
      <w:r>
        <w:rPr>
          <w:rFonts w:hint="eastAsia"/>
          <w:b/>
          <w:bCs/>
          <w:color w:val="auto"/>
          <w:highlight w:val="none"/>
        </w:rPr>
        <w:t>附件一、东莞市司法局万江分局2023年购买社工服务项目运作季度考核表</w:t>
      </w:r>
      <w:r>
        <w:rPr>
          <w:rFonts w:hint="eastAsia"/>
          <w:b/>
          <w:color w:val="auto"/>
          <w:highlight w:val="none"/>
        </w:rPr>
        <w:t>(对项目整体进行测评)</w:t>
      </w:r>
    </w:p>
    <w:tbl>
      <w:tblPr>
        <w:tblStyle w:val="14"/>
        <w:tblW w:w="49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1"/>
        <w:gridCol w:w="1319"/>
        <w:gridCol w:w="1585"/>
        <w:gridCol w:w="2615"/>
        <w:gridCol w:w="336"/>
        <w:gridCol w:w="1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7" w:type="pct"/>
            <w:noWrap w:val="0"/>
            <w:vAlign w:val="center"/>
          </w:tcPr>
          <w:p>
            <w:pPr>
              <w:spacing w:line="360" w:lineRule="exact"/>
              <w:jc w:val="center"/>
              <w:rPr>
                <w:rFonts w:cs="仿宋_GB2312"/>
                <w:b/>
                <w:color w:val="auto"/>
                <w:highlight w:val="none"/>
              </w:rPr>
            </w:pPr>
            <w:r>
              <w:rPr>
                <w:rFonts w:hint="eastAsia" w:cs="仿宋_GB2312"/>
                <w:b/>
                <w:color w:val="auto"/>
                <w:highlight w:val="none"/>
              </w:rPr>
              <w:t>一级指标</w:t>
            </w:r>
          </w:p>
        </w:tc>
        <w:tc>
          <w:tcPr>
            <w:tcW w:w="802" w:type="pct"/>
            <w:noWrap w:val="0"/>
            <w:vAlign w:val="center"/>
          </w:tcPr>
          <w:p>
            <w:pPr>
              <w:spacing w:line="360" w:lineRule="exact"/>
              <w:jc w:val="center"/>
              <w:rPr>
                <w:rFonts w:cs="仿宋_GB2312"/>
                <w:b/>
                <w:color w:val="auto"/>
                <w:highlight w:val="none"/>
              </w:rPr>
            </w:pPr>
            <w:r>
              <w:rPr>
                <w:rFonts w:hint="eastAsia" w:cs="仿宋_GB2312"/>
                <w:b/>
                <w:color w:val="auto"/>
                <w:highlight w:val="none"/>
              </w:rPr>
              <w:t>二级指标</w:t>
            </w:r>
          </w:p>
        </w:tc>
        <w:tc>
          <w:tcPr>
            <w:tcW w:w="963" w:type="pct"/>
            <w:noWrap w:val="0"/>
            <w:vAlign w:val="center"/>
          </w:tcPr>
          <w:p>
            <w:pPr>
              <w:spacing w:line="360" w:lineRule="exact"/>
              <w:jc w:val="center"/>
              <w:rPr>
                <w:rFonts w:cs="仿宋_GB2312"/>
                <w:b/>
                <w:color w:val="auto"/>
                <w:highlight w:val="none"/>
              </w:rPr>
            </w:pPr>
            <w:r>
              <w:rPr>
                <w:rFonts w:hint="eastAsia" w:cs="仿宋_GB2312"/>
                <w:b/>
                <w:color w:val="auto"/>
                <w:highlight w:val="none"/>
              </w:rPr>
              <w:t>三级指标</w:t>
            </w:r>
          </w:p>
        </w:tc>
        <w:tc>
          <w:tcPr>
            <w:tcW w:w="1589" w:type="pct"/>
            <w:noWrap w:val="0"/>
            <w:vAlign w:val="center"/>
          </w:tcPr>
          <w:p>
            <w:pPr>
              <w:spacing w:line="360" w:lineRule="exact"/>
              <w:jc w:val="center"/>
              <w:rPr>
                <w:rFonts w:cs="仿宋_GB2312"/>
                <w:b/>
                <w:color w:val="auto"/>
                <w:highlight w:val="none"/>
              </w:rPr>
            </w:pPr>
            <w:r>
              <w:rPr>
                <w:rFonts w:hint="eastAsia" w:cs="仿宋_GB2312"/>
                <w:b/>
                <w:color w:val="auto"/>
                <w:highlight w:val="none"/>
              </w:rPr>
              <w:t>指标说明</w:t>
            </w:r>
          </w:p>
        </w:tc>
        <w:tc>
          <w:tcPr>
            <w:tcW w:w="204" w:type="pct"/>
            <w:noWrap w:val="0"/>
            <w:vAlign w:val="center"/>
          </w:tcPr>
          <w:p>
            <w:pPr>
              <w:spacing w:line="360" w:lineRule="exact"/>
              <w:jc w:val="center"/>
              <w:rPr>
                <w:rFonts w:cs="仿宋_GB2312"/>
                <w:b/>
                <w:color w:val="auto"/>
                <w:highlight w:val="none"/>
              </w:rPr>
            </w:pPr>
            <w:r>
              <w:rPr>
                <w:rFonts w:hint="eastAsia" w:cs="仿宋_GB2312"/>
                <w:b/>
                <w:color w:val="auto"/>
                <w:highlight w:val="none"/>
              </w:rPr>
              <w:t>分值</w:t>
            </w:r>
          </w:p>
        </w:tc>
        <w:tc>
          <w:tcPr>
            <w:tcW w:w="814" w:type="pct"/>
            <w:noWrap w:val="0"/>
            <w:vAlign w:val="center"/>
          </w:tcPr>
          <w:p>
            <w:pPr>
              <w:spacing w:line="360" w:lineRule="exact"/>
              <w:jc w:val="center"/>
              <w:rPr>
                <w:rFonts w:cs="仿宋_GB2312"/>
                <w:b/>
                <w:color w:val="auto"/>
                <w:highlight w:val="none"/>
              </w:rPr>
            </w:pPr>
            <w:r>
              <w:rPr>
                <w:rFonts w:hint="eastAsia" w:cs="仿宋_GB2312"/>
                <w:b/>
                <w:color w:val="auto"/>
                <w:highlight w:val="none"/>
              </w:rPr>
              <w:t>评价主体及评估结果所占比例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7" w:type="pct"/>
            <w:tcBorders>
              <w:top w:val="nil"/>
            </w:tcBorders>
            <w:noWrap w:val="0"/>
            <w:vAlign w:val="center"/>
          </w:tcPr>
          <w:p>
            <w:pPr>
              <w:spacing w:line="360" w:lineRule="exact"/>
              <w:ind w:left="220" w:hanging="210" w:hangingChars="100"/>
              <w:rPr>
                <w:rFonts w:hint="eastAsia" w:cs="仿宋_GB2312"/>
                <w:color w:val="auto"/>
                <w:highlight w:val="none"/>
              </w:rPr>
            </w:pPr>
            <w:r>
              <w:rPr>
                <w:rFonts w:hint="eastAsia" w:cs="仿宋_GB2312"/>
                <w:color w:val="auto"/>
                <w:highlight w:val="none"/>
              </w:rPr>
              <w:t>1.人员</w:t>
            </w:r>
            <w:r>
              <w:rPr>
                <w:rFonts w:cs="仿宋_GB2312"/>
                <w:color w:val="auto"/>
                <w:highlight w:val="none"/>
              </w:rPr>
              <w:t>配置</w:t>
            </w:r>
            <w:r>
              <w:rPr>
                <w:rFonts w:hint="eastAsia" w:cs="仿宋_GB2312"/>
                <w:color w:val="auto"/>
                <w:highlight w:val="none"/>
              </w:rPr>
              <w:t>（</w:t>
            </w:r>
            <w:r>
              <w:rPr>
                <w:rFonts w:cs="仿宋_GB2312"/>
                <w:color w:val="auto"/>
                <w:highlight w:val="none"/>
              </w:rPr>
              <w:t>2</w:t>
            </w:r>
            <w:r>
              <w:rPr>
                <w:rFonts w:hint="eastAsia" w:cs="仿宋_GB2312"/>
                <w:color w:val="auto"/>
                <w:highlight w:val="none"/>
              </w:rPr>
              <w:t>0分）</w:t>
            </w:r>
          </w:p>
        </w:tc>
        <w:tc>
          <w:tcPr>
            <w:tcW w:w="802" w:type="pct"/>
            <w:tcBorders>
              <w:top w:val="nil"/>
            </w:tcBorders>
            <w:noWrap w:val="0"/>
            <w:vAlign w:val="center"/>
          </w:tcPr>
          <w:p>
            <w:pPr>
              <w:spacing w:line="360" w:lineRule="exact"/>
              <w:rPr>
                <w:rFonts w:hint="eastAsia" w:cs="仿宋_GB2312"/>
                <w:color w:val="auto"/>
                <w:highlight w:val="none"/>
              </w:rPr>
            </w:pPr>
            <w:r>
              <w:rPr>
                <w:rFonts w:hint="eastAsia" w:cs="仿宋_GB2312"/>
                <w:color w:val="auto"/>
                <w:highlight w:val="none"/>
              </w:rPr>
              <w:t>1.1</w:t>
            </w:r>
            <w:r>
              <w:rPr>
                <w:rFonts w:cs="仿宋_GB2312"/>
                <w:color w:val="auto"/>
                <w:highlight w:val="none"/>
              </w:rPr>
              <w:t xml:space="preserve"> </w:t>
            </w:r>
            <w:r>
              <w:rPr>
                <w:rFonts w:hint="eastAsia" w:cs="仿宋_GB2312"/>
                <w:color w:val="auto"/>
                <w:highlight w:val="none"/>
              </w:rPr>
              <w:t>人员</w:t>
            </w:r>
            <w:r>
              <w:rPr>
                <w:rFonts w:cs="仿宋_GB2312"/>
                <w:color w:val="auto"/>
                <w:highlight w:val="none"/>
              </w:rPr>
              <w:t>配置</w:t>
            </w:r>
          </w:p>
        </w:tc>
        <w:tc>
          <w:tcPr>
            <w:tcW w:w="963" w:type="pct"/>
            <w:noWrap w:val="0"/>
            <w:vAlign w:val="center"/>
          </w:tcPr>
          <w:p>
            <w:pPr>
              <w:spacing w:line="360" w:lineRule="exact"/>
              <w:rPr>
                <w:rFonts w:cs="仿宋_GB2312"/>
                <w:color w:val="auto"/>
                <w:highlight w:val="none"/>
              </w:rPr>
            </w:pPr>
            <w:r>
              <w:rPr>
                <w:rFonts w:hint="eastAsia" w:cs="仿宋_GB2312"/>
                <w:color w:val="auto"/>
                <w:highlight w:val="none"/>
              </w:rPr>
              <w:t>1.1.</w:t>
            </w:r>
            <w:r>
              <w:rPr>
                <w:rFonts w:cs="仿宋_GB2312"/>
                <w:color w:val="auto"/>
                <w:highlight w:val="none"/>
              </w:rPr>
              <w:t>1</w:t>
            </w:r>
            <w:r>
              <w:rPr>
                <w:rFonts w:cs="仿宋_GB2312"/>
                <w:color w:val="auto"/>
                <w:spacing w:val="-63"/>
                <w:highlight w:val="none"/>
              </w:rPr>
              <w:t xml:space="preserve"> </w:t>
            </w:r>
            <w:r>
              <w:rPr>
                <w:rFonts w:hint="eastAsia" w:cs="仿宋_GB2312"/>
                <w:color w:val="auto"/>
                <w:spacing w:val="-12"/>
                <w:highlight w:val="none"/>
              </w:rPr>
              <w:t>人员</w:t>
            </w:r>
            <w:r>
              <w:rPr>
                <w:rFonts w:hint="eastAsia" w:cs="仿宋_GB2312"/>
                <w:color w:val="auto"/>
                <w:highlight w:val="none"/>
              </w:rPr>
              <w:t>稳定性</w:t>
            </w:r>
          </w:p>
        </w:tc>
        <w:tc>
          <w:tcPr>
            <w:tcW w:w="1589" w:type="pct"/>
            <w:noWrap w:val="0"/>
            <w:vAlign w:val="center"/>
          </w:tcPr>
          <w:p>
            <w:pPr>
              <w:spacing w:line="360" w:lineRule="exact"/>
              <w:rPr>
                <w:rFonts w:cs="仿宋_GB2312"/>
                <w:color w:val="auto"/>
                <w:highlight w:val="none"/>
              </w:rPr>
            </w:pPr>
            <w:r>
              <w:rPr>
                <w:rFonts w:hint="eastAsia" w:cs="仿宋_GB2312"/>
                <w:color w:val="auto"/>
                <w:highlight w:val="none"/>
              </w:rPr>
              <w:t>项目人员稳定，没有出现变动或出现变动乙方也能及时补上接替人员，没有造成空岗。</w:t>
            </w:r>
          </w:p>
        </w:tc>
        <w:tc>
          <w:tcPr>
            <w:tcW w:w="204" w:type="pct"/>
            <w:noWrap w:val="0"/>
            <w:vAlign w:val="center"/>
          </w:tcPr>
          <w:p>
            <w:pPr>
              <w:spacing w:line="360" w:lineRule="exact"/>
              <w:jc w:val="center"/>
              <w:rPr>
                <w:rFonts w:cs="仿宋_GB2312"/>
                <w:color w:val="auto"/>
                <w:highlight w:val="none"/>
              </w:rPr>
            </w:pPr>
            <w:r>
              <w:rPr>
                <w:rFonts w:cs="仿宋_GB2312"/>
                <w:color w:val="auto"/>
                <w:highlight w:val="none"/>
              </w:rPr>
              <w:t>20</w:t>
            </w:r>
          </w:p>
        </w:tc>
        <w:tc>
          <w:tcPr>
            <w:tcW w:w="814" w:type="pct"/>
            <w:noWrap w:val="0"/>
            <w:vAlign w:val="center"/>
          </w:tcPr>
          <w:p>
            <w:pPr>
              <w:spacing w:line="360" w:lineRule="exact"/>
              <w:jc w:val="center"/>
              <w:rPr>
                <w:rFonts w:cs="仿宋_GB2312"/>
                <w:color w:val="auto"/>
                <w:highlight w:val="none"/>
              </w:rPr>
            </w:pPr>
            <w:r>
              <w:rPr>
                <w:rFonts w:hint="eastAsia" w:cs="仿宋_GB2312"/>
                <w:color w:val="auto"/>
                <w:highlight w:val="none"/>
              </w:rPr>
              <w:t>甲方100%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7" w:type="pct"/>
            <w:vMerge w:val="restart"/>
            <w:noWrap w:val="0"/>
            <w:vAlign w:val="center"/>
          </w:tcPr>
          <w:p>
            <w:pPr>
              <w:spacing w:line="360" w:lineRule="exact"/>
              <w:rPr>
                <w:rFonts w:cs="仿宋_GB2312"/>
                <w:color w:val="auto"/>
                <w:highlight w:val="none"/>
              </w:rPr>
            </w:pPr>
            <w:r>
              <w:rPr>
                <w:rFonts w:cs="仿宋_GB2312"/>
                <w:color w:val="auto"/>
                <w:spacing w:val="-7"/>
                <w:highlight w:val="none"/>
              </w:rPr>
              <w:t>2</w:t>
            </w:r>
            <w:r>
              <w:rPr>
                <w:rFonts w:hint="eastAsia" w:cs="仿宋_GB2312"/>
                <w:color w:val="auto"/>
                <w:spacing w:val="-7"/>
                <w:highlight w:val="none"/>
              </w:rPr>
              <w:t>.服务产</w:t>
            </w:r>
            <w:r>
              <w:rPr>
                <w:rFonts w:hint="eastAsia" w:cs="仿宋_GB2312"/>
                <w:color w:val="auto"/>
                <w:spacing w:val="-5"/>
                <w:highlight w:val="none"/>
              </w:rPr>
              <w:t>出与成效</w:t>
            </w:r>
          </w:p>
          <w:p>
            <w:pPr>
              <w:spacing w:line="360" w:lineRule="exact"/>
              <w:ind w:firstLine="105" w:firstLineChars="50"/>
              <w:rPr>
                <w:rFonts w:cs="仿宋_GB2312"/>
                <w:color w:val="auto"/>
                <w:highlight w:val="none"/>
              </w:rPr>
            </w:pPr>
            <w:r>
              <w:rPr>
                <w:rFonts w:hint="eastAsia" w:cs="仿宋_GB2312"/>
                <w:color w:val="auto"/>
                <w:highlight w:val="none"/>
              </w:rPr>
              <w:t>（55</w:t>
            </w:r>
            <w:r>
              <w:rPr>
                <w:rFonts w:hint="eastAsia" w:cs="仿宋_GB2312"/>
                <w:color w:val="auto"/>
                <w:spacing w:val="-52"/>
                <w:highlight w:val="none"/>
              </w:rPr>
              <w:t xml:space="preserve"> </w:t>
            </w:r>
            <w:r>
              <w:rPr>
                <w:rFonts w:hint="eastAsia" w:cs="仿宋_GB2312"/>
                <w:color w:val="auto"/>
                <w:highlight w:val="none"/>
              </w:rPr>
              <w:t>分）</w:t>
            </w:r>
          </w:p>
        </w:tc>
        <w:tc>
          <w:tcPr>
            <w:tcW w:w="802" w:type="pct"/>
            <w:vMerge w:val="restart"/>
            <w:noWrap w:val="0"/>
            <w:vAlign w:val="center"/>
          </w:tcPr>
          <w:p>
            <w:pPr>
              <w:spacing w:line="360" w:lineRule="exact"/>
              <w:rPr>
                <w:rFonts w:cs="仿宋_GB2312"/>
                <w:color w:val="auto"/>
                <w:highlight w:val="none"/>
              </w:rPr>
            </w:pPr>
            <w:r>
              <w:rPr>
                <w:rFonts w:hint="eastAsia" w:cs="仿宋_GB2312"/>
                <w:color w:val="auto"/>
                <w:highlight w:val="none"/>
              </w:rPr>
              <w:t>2.1</w:t>
            </w:r>
            <w:r>
              <w:rPr>
                <w:rFonts w:hint="eastAsia" w:cs="仿宋_GB2312"/>
                <w:color w:val="auto"/>
                <w:spacing w:val="-52"/>
                <w:highlight w:val="none"/>
              </w:rPr>
              <w:t xml:space="preserve"> </w:t>
            </w:r>
            <w:r>
              <w:rPr>
                <w:rFonts w:hint="eastAsia" w:cs="仿宋_GB2312"/>
                <w:color w:val="auto"/>
                <w:highlight w:val="none"/>
              </w:rPr>
              <w:t>合</w:t>
            </w:r>
            <w:r>
              <w:rPr>
                <w:rFonts w:hint="eastAsia" w:cs="仿宋_GB2312"/>
                <w:color w:val="auto"/>
                <w:spacing w:val="-7"/>
                <w:highlight w:val="none"/>
              </w:rPr>
              <w:t>同完成</w:t>
            </w:r>
            <w:r>
              <w:rPr>
                <w:rFonts w:hint="eastAsia" w:cs="仿宋_GB2312"/>
                <w:color w:val="auto"/>
                <w:highlight w:val="none"/>
              </w:rPr>
              <w:t>情况</w:t>
            </w:r>
          </w:p>
        </w:tc>
        <w:tc>
          <w:tcPr>
            <w:tcW w:w="963" w:type="pct"/>
            <w:noWrap w:val="0"/>
            <w:vAlign w:val="center"/>
          </w:tcPr>
          <w:p>
            <w:pPr>
              <w:spacing w:line="360" w:lineRule="exact"/>
              <w:rPr>
                <w:rFonts w:cs="仿宋_GB2312"/>
                <w:color w:val="auto"/>
                <w:highlight w:val="none"/>
              </w:rPr>
            </w:pPr>
            <w:r>
              <w:rPr>
                <w:rFonts w:cs="仿宋_GB2312"/>
                <w:color w:val="auto"/>
                <w:highlight w:val="none"/>
              </w:rPr>
              <w:t>2</w:t>
            </w:r>
            <w:r>
              <w:rPr>
                <w:rFonts w:hint="eastAsia" w:cs="仿宋_GB2312"/>
                <w:color w:val="auto"/>
                <w:highlight w:val="none"/>
              </w:rPr>
              <w:t>.1.1</w:t>
            </w:r>
            <w:r>
              <w:rPr>
                <w:rFonts w:cs="仿宋_GB2312"/>
                <w:color w:val="auto"/>
                <w:spacing w:val="-63"/>
                <w:highlight w:val="none"/>
              </w:rPr>
              <w:t xml:space="preserve"> </w:t>
            </w:r>
            <w:r>
              <w:rPr>
                <w:rFonts w:hint="eastAsia" w:cs="仿宋_GB2312"/>
                <w:color w:val="auto"/>
                <w:spacing w:val="-12"/>
                <w:highlight w:val="none"/>
              </w:rPr>
              <w:t>合同</w:t>
            </w:r>
            <w:r>
              <w:rPr>
                <w:rFonts w:hint="eastAsia" w:cs="仿宋_GB2312"/>
                <w:color w:val="auto"/>
                <w:spacing w:val="-1"/>
                <w:highlight w:val="none"/>
              </w:rPr>
              <w:t>服务指标完成情况</w:t>
            </w:r>
          </w:p>
        </w:tc>
        <w:tc>
          <w:tcPr>
            <w:tcW w:w="1589" w:type="pct"/>
            <w:noWrap w:val="0"/>
            <w:vAlign w:val="center"/>
          </w:tcPr>
          <w:p>
            <w:pPr>
              <w:spacing w:line="360" w:lineRule="exact"/>
              <w:rPr>
                <w:rFonts w:cs="仿宋_GB2312"/>
                <w:color w:val="auto"/>
                <w:highlight w:val="none"/>
              </w:rPr>
            </w:pPr>
            <w:r>
              <w:rPr>
                <w:rFonts w:hint="eastAsia" w:cs="仿宋_GB2312"/>
                <w:color w:val="auto"/>
                <w:highlight w:val="none"/>
              </w:rPr>
              <w:t>对乙方完成合同规定服务指标的情况进行评价。</w:t>
            </w:r>
          </w:p>
        </w:tc>
        <w:tc>
          <w:tcPr>
            <w:tcW w:w="204" w:type="pct"/>
            <w:noWrap w:val="0"/>
            <w:vAlign w:val="center"/>
          </w:tcPr>
          <w:p>
            <w:pPr>
              <w:spacing w:line="360" w:lineRule="exact"/>
              <w:jc w:val="center"/>
              <w:rPr>
                <w:rFonts w:cs="仿宋_GB2312"/>
                <w:color w:val="auto"/>
                <w:highlight w:val="none"/>
              </w:rPr>
            </w:pPr>
            <w:r>
              <w:rPr>
                <w:rFonts w:cs="仿宋_GB2312"/>
                <w:color w:val="auto"/>
                <w:highlight w:val="none"/>
              </w:rPr>
              <w:t>25</w:t>
            </w:r>
          </w:p>
        </w:tc>
        <w:tc>
          <w:tcPr>
            <w:tcW w:w="814" w:type="pct"/>
            <w:noWrap w:val="0"/>
            <w:vAlign w:val="center"/>
          </w:tcPr>
          <w:p>
            <w:pPr>
              <w:jc w:val="center"/>
              <w:rPr>
                <w:color w:val="auto"/>
                <w:highlight w:val="none"/>
              </w:rPr>
            </w:pPr>
            <w:r>
              <w:rPr>
                <w:rFonts w:hint="eastAsia" w:cs="仿宋_GB2312"/>
                <w:color w:val="auto"/>
                <w:highlight w:val="none"/>
              </w:rPr>
              <w:t>甲方100%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7" w:type="pct"/>
            <w:vMerge w:val="continue"/>
            <w:noWrap w:val="0"/>
            <w:vAlign w:val="center"/>
          </w:tcPr>
          <w:p>
            <w:pPr>
              <w:spacing w:line="360" w:lineRule="exact"/>
              <w:rPr>
                <w:rFonts w:cs="仿宋_GB2312"/>
                <w:color w:val="auto"/>
                <w:highlight w:val="none"/>
              </w:rPr>
            </w:pPr>
          </w:p>
        </w:tc>
        <w:tc>
          <w:tcPr>
            <w:tcW w:w="802" w:type="pct"/>
            <w:vMerge w:val="continue"/>
            <w:tcBorders>
              <w:top w:val="nil"/>
            </w:tcBorders>
            <w:noWrap w:val="0"/>
            <w:vAlign w:val="center"/>
          </w:tcPr>
          <w:p>
            <w:pPr>
              <w:spacing w:line="360" w:lineRule="exact"/>
              <w:rPr>
                <w:rFonts w:cs="仿宋_GB2312"/>
                <w:color w:val="auto"/>
                <w:highlight w:val="none"/>
              </w:rPr>
            </w:pPr>
          </w:p>
        </w:tc>
        <w:tc>
          <w:tcPr>
            <w:tcW w:w="963" w:type="pct"/>
            <w:noWrap w:val="0"/>
            <w:vAlign w:val="center"/>
          </w:tcPr>
          <w:p>
            <w:pPr>
              <w:spacing w:line="360" w:lineRule="exact"/>
              <w:rPr>
                <w:rFonts w:cs="仿宋_GB2312"/>
                <w:color w:val="auto"/>
                <w:highlight w:val="none"/>
              </w:rPr>
            </w:pPr>
            <w:r>
              <w:rPr>
                <w:rFonts w:cs="仿宋_GB2312"/>
                <w:color w:val="auto"/>
                <w:highlight w:val="none"/>
              </w:rPr>
              <w:t>2</w:t>
            </w:r>
            <w:r>
              <w:rPr>
                <w:rFonts w:hint="eastAsia" w:cs="仿宋_GB2312"/>
                <w:color w:val="auto"/>
                <w:highlight w:val="none"/>
              </w:rPr>
              <w:t>.1.2</w:t>
            </w:r>
            <w:r>
              <w:rPr>
                <w:rFonts w:cs="仿宋_GB2312"/>
                <w:color w:val="auto"/>
                <w:spacing w:val="-63"/>
                <w:highlight w:val="none"/>
              </w:rPr>
              <w:t xml:space="preserve"> </w:t>
            </w:r>
            <w:r>
              <w:rPr>
                <w:rFonts w:hint="eastAsia" w:cs="仿宋_GB2312"/>
                <w:color w:val="auto"/>
                <w:spacing w:val="-12"/>
                <w:highlight w:val="none"/>
              </w:rPr>
              <w:t>合同</w:t>
            </w:r>
            <w:r>
              <w:rPr>
                <w:rFonts w:hint="eastAsia" w:cs="仿宋_GB2312"/>
                <w:color w:val="auto"/>
                <w:spacing w:val="-1"/>
                <w:highlight w:val="none"/>
              </w:rPr>
              <w:t>服务内容实现情况</w:t>
            </w:r>
          </w:p>
        </w:tc>
        <w:tc>
          <w:tcPr>
            <w:tcW w:w="1589" w:type="pct"/>
            <w:noWrap w:val="0"/>
            <w:vAlign w:val="center"/>
          </w:tcPr>
          <w:p>
            <w:pPr>
              <w:spacing w:line="360" w:lineRule="exact"/>
              <w:rPr>
                <w:rFonts w:cs="仿宋_GB2312"/>
                <w:color w:val="auto"/>
                <w:highlight w:val="none"/>
              </w:rPr>
            </w:pPr>
            <w:r>
              <w:rPr>
                <w:rFonts w:hint="eastAsia" w:cs="仿宋_GB2312"/>
                <w:color w:val="auto"/>
                <w:highlight w:val="none"/>
              </w:rPr>
              <w:t>对乙方的实际工作情况进行评价。</w:t>
            </w:r>
          </w:p>
        </w:tc>
        <w:tc>
          <w:tcPr>
            <w:tcW w:w="204" w:type="pct"/>
            <w:noWrap w:val="0"/>
            <w:vAlign w:val="center"/>
          </w:tcPr>
          <w:p>
            <w:pPr>
              <w:spacing w:line="360" w:lineRule="exact"/>
              <w:jc w:val="center"/>
              <w:rPr>
                <w:rFonts w:cs="仿宋_GB2312"/>
                <w:color w:val="auto"/>
                <w:highlight w:val="none"/>
              </w:rPr>
            </w:pPr>
            <w:r>
              <w:rPr>
                <w:rFonts w:cs="仿宋_GB2312"/>
                <w:color w:val="auto"/>
                <w:highlight w:val="none"/>
              </w:rPr>
              <w:t>2</w:t>
            </w:r>
            <w:r>
              <w:rPr>
                <w:rFonts w:hint="eastAsia" w:cs="仿宋_GB2312"/>
                <w:color w:val="auto"/>
                <w:highlight w:val="none"/>
              </w:rPr>
              <w:t>0</w:t>
            </w:r>
          </w:p>
        </w:tc>
        <w:tc>
          <w:tcPr>
            <w:tcW w:w="814" w:type="pct"/>
            <w:noWrap w:val="0"/>
            <w:vAlign w:val="center"/>
          </w:tcPr>
          <w:p>
            <w:pPr>
              <w:jc w:val="center"/>
              <w:rPr>
                <w:color w:val="auto"/>
                <w:highlight w:val="none"/>
              </w:rPr>
            </w:pPr>
            <w:r>
              <w:rPr>
                <w:rFonts w:hint="eastAsia" w:cs="仿宋_GB2312"/>
                <w:color w:val="auto"/>
                <w:highlight w:val="none"/>
              </w:rPr>
              <w:t>甲方100%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7" w:type="pct"/>
            <w:vMerge w:val="continue"/>
            <w:noWrap w:val="0"/>
            <w:vAlign w:val="center"/>
          </w:tcPr>
          <w:p>
            <w:pPr>
              <w:spacing w:line="360" w:lineRule="exact"/>
              <w:rPr>
                <w:rFonts w:cs="仿宋_GB2312"/>
                <w:color w:val="auto"/>
                <w:highlight w:val="none"/>
              </w:rPr>
            </w:pPr>
          </w:p>
        </w:tc>
        <w:tc>
          <w:tcPr>
            <w:tcW w:w="802" w:type="pct"/>
            <w:noWrap w:val="0"/>
            <w:vAlign w:val="center"/>
          </w:tcPr>
          <w:p>
            <w:pPr>
              <w:spacing w:line="360" w:lineRule="exact"/>
              <w:rPr>
                <w:rFonts w:cs="仿宋_GB2312"/>
                <w:color w:val="auto"/>
                <w:highlight w:val="none"/>
              </w:rPr>
            </w:pPr>
            <w:r>
              <w:rPr>
                <w:rFonts w:cs="仿宋_GB2312"/>
                <w:color w:val="auto"/>
                <w:highlight w:val="none"/>
              </w:rPr>
              <w:t>2</w:t>
            </w:r>
            <w:r>
              <w:rPr>
                <w:rFonts w:hint="eastAsia" w:cs="仿宋_GB2312"/>
                <w:color w:val="auto"/>
                <w:highlight w:val="none"/>
              </w:rPr>
              <w:t>.2</w:t>
            </w:r>
            <w:r>
              <w:rPr>
                <w:rFonts w:hint="eastAsia" w:cs="仿宋_GB2312"/>
                <w:color w:val="auto"/>
                <w:spacing w:val="-52"/>
                <w:highlight w:val="none"/>
              </w:rPr>
              <w:t xml:space="preserve"> </w:t>
            </w:r>
            <w:r>
              <w:rPr>
                <w:rFonts w:hint="eastAsia" w:cs="仿宋_GB2312"/>
                <w:color w:val="auto"/>
                <w:highlight w:val="none"/>
              </w:rPr>
              <w:t>服</w:t>
            </w:r>
            <w:r>
              <w:rPr>
                <w:rFonts w:hint="eastAsia" w:cs="仿宋_GB2312"/>
                <w:color w:val="auto"/>
                <w:spacing w:val="-7"/>
                <w:highlight w:val="none"/>
              </w:rPr>
              <w:t>务总结</w:t>
            </w:r>
            <w:r>
              <w:rPr>
                <w:rFonts w:hint="eastAsia" w:cs="仿宋_GB2312"/>
                <w:color w:val="auto"/>
                <w:highlight w:val="none"/>
              </w:rPr>
              <w:t>与反思</w:t>
            </w:r>
          </w:p>
        </w:tc>
        <w:tc>
          <w:tcPr>
            <w:tcW w:w="963" w:type="pct"/>
            <w:noWrap w:val="0"/>
            <w:vAlign w:val="center"/>
          </w:tcPr>
          <w:p>
            <w:pPr>
              <w:spacing w:line="360" w:lineRule="exact"/>
              <w:rPr>
                <w:rFonts w:cs="仿宋_GB2312"/>
                <w:color w:val="auto"/>
                <w:highlight w:val="none"/>
              </w:rPr>
            </w:pPr>
            <w:r>
              <w:rPr>
                <w:rFonts w:cs="仿宋_GB2312"/>
                <w:color w:val="auto"/>
                <w:highlight w:val="none"/>
              </w:rPr>
              <w:t>2</w:t>
            </w:r>
            <w:r>
              <w:rPr>
                <w:rFonts w:hint="eastAsia" w:cs="仿宋_GB2312"/>
                <w:color w:val="auto"/>
                <w:highlight w:val="none"/>
              </w:rPr>
              <w:t>.2.1</w:t>
            </w:r>
            <w:r>
              <w:rPr>
                <w:rFonts w:cs="仿宋_GB2312"/>
                <w:color w:val="auto"/>
                <w:spacing w:val="-63"/>
                <w:highlight w:val="none"/>
              </w:rPr>
              <w:t xml:space="preserve"> </w:t>
            </w:r>
            <w:r>
              <w:rPr>
                <w:rFonts w:hint="eastAsia" w:cs="仿宋_GB2312"/>
                <w:color w:val="auto"/>
                <w:spacing w:val="-12"/>
                <w:highlight w:val="none"/>
              </w:rPr>
              <w:t>服务</w:t>
            </w:r>
            <w:r>
              <w:rPr>
                <w:rFonts w:hint="eastAsia" w:cs="仿宋_GB2312"/>
                <w:color w:val="auto"/>
                <w:spacing w:val="-1"/>
                <w:highlight w:val="none"/>
              </w:rPr>
              <w:t>总结与反</w:t>
            </w:r>
            <w:r>
              <w:rPr>
                <w:rFonts w:hint="eastAsia" w:cs="仿宋_GB2312"/>
                <w:color w:val="auto"/>
                <w:highlight w:val="none"/>
              </w:rPr>
              <w:t>思</w:t>
            </w:r>
          </w:p>
        </w:tc>
        <w:tc>
          <w:tcPr>
            <w:tcW w:w="1589" w:type="pct"/>
            <w:noWrap w:val="0"/>
            <w:vAlign w:val="center"/>
          </w:tcPr>
          <w:p>
            <w:pPr>
              <w:spacing w:line="360" w:lineRule="exact"/>
              <w:rPr>
                <w:rFonts w:cs="仿宋_GB2312"/>
                <w:color w:val="auto"/>
                <w:highlight w:val="none"/>
              </w:rPr>
            </w:pPr>
            <w:r>
              <w:rPr>
                <w:rFonts w:hint="eastAsia" w:cs="仿宋_GB2312"/>
                <w:color w:val="auto"/>
                <w:highlight w:val="none"/>
              </w:rPr>
              <w:t>乙方需定期对项目服务开展情况进行总结与反思，并按时提交总结。</w:t>
            </w:r>
          </w:p>
        </w:tc>
        <w:tc>
          <w:tcPr>
            <w:tcW w:w="204" w:type="pct"/>
            <w:noWrap w:val="0"/>
            <w:vAlign w:val="center"/>
          </w:tcPr>
          <w:p>
            <w:pPr>
              <w:spacing w:line="360" w:lineRule="exact"/>
              <w:jc w:val="center"/>
              <w:rPr>
                <w:rFonts w:cs="仿宋_GB2312"/>
                <w:color w:val="auto"/>
                <w:highlight w:val="none"/>
              </w:rPr>
            </w:pPr>
            <w:r>
              <w:rPr>
                <w:rFonts w:cs="仿宋_GB2312"/>
                <w:color w:val="auto"/>
                <w:highlight w:val="none"/>
              </w:rPr>
              <w:t>1</w:t>
            </w:r>
            <w:r>
              <w:rPr>
                <w:rFonts w:hint="eastAsia" w:cs="仿宋_GB2312"/>
                <w:color w:val="auto"/>
                <w:highlight w:val="none"/>
              </w:rPr>
              <w:t>0</w:t>
            </w:r>
          </w:p>
        </w:tc>
        <w:tc>
          <w:tcPr>
            <w:tcW w:w="814" w:type="pct"/>
            <w:noWrap w:val="0"/>
            <w:vAlign w:val="center"/>
          </w:tcPr>
          <w:p>
            <w:pPr>
              <w:jc w:val="center"/>
              <w:rPr>
                <w:color w:val="auto"/>
                <w:highlight w:val="none"/>
              </w:rPr>
            </w:pPr>
            <w:r>
              <w:rPr>
                <w:rFonts w:hint="eastAsia" w:cs="仿宋_GB2312"/>
                <w:color w:val="auto"/>
                <w:highlight w:val="none"/>
              </w:rPr>
              <w:t>甲方100%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7" w:type="pct"/>
            <w:vMerge w:val="restart"/>
            <w:noWrap w:val="0"/>
            <w:vAlign w:val="center"/>
          </w:tcPr>
          <w:p>
            <w:pPr>
              <w:spacing w:line="360" w:lineRule="exact"/>
              <w:ind w:left="110" w:hanging="105" w:hangingChars="50"/>
              <w:rPr>
                <w:rFonts w:hint="eastAsia" w:cs="仿宋_GB2312"/>
                <w:color w:val="auto"/>
                <w:highlight w:val="none"/>
              </w:rPr>
            </w:pPr>
            <w:r>
              <w:rPr>
                <w:rFonts w:cs="仿宋_GB2312"/>
                <w:color w:val="auto"/>
                <w:highlight w:val="none"/>
              </w:rPr>
              <w:t>3</w:t>
            </w:r>
            <w:r>
              <w:rPr>
                <w:rFonts w:hint="eastAsia" w:cs="仿宋_GB2312"/>
                <w:color w:val="auto"/>
                <w:highlight w:val="none"/>
              </w:rPr>
              <w:t>.服务</w:t>
            </w:r>
            <w:r>
              <w:rPr>
                <w:rFonts w:cs="仿宋_GB2312"/>
                <w:color w:val="auto"/>
                <w:highlight w:val="none"/>
              </w:rPr>
              <w:t>整改</w:t>
            </w:r>
            <w:r>
              <w:rPr>
                <w:rFonts w:hint="eastAsia" w:cs="仿宋_GB2312"/>
                <w:color w:val="auto"/>
                <w:highlight w:val="none"/>
              </w:rPr>
              <w:t>（</w:t>
            </w:r>
            <w:r>
              <w:rPr>
                <w:rFonts w:cs="仿宋_GB2312"/>
                <w:color w:val="auto"/>
                <w:highlight w:val="none"/>
              </w:rPr>
              <w:t>2</w:t>
            </w:r>
            <w:r>
              <w:rPr>
                <w:rFonts w:hint="eastAsia" w:cs="仿宋_GB2312"/>
                <w:color w:val="auto"/>
                <w:highlight w:val="none"/>
              </w:rPr>
              <w:t>5</w:t>
            </w:r>
            <w:r>
              <w:rPr>
                <w:rFonts w:hint="eastAsia" w:cs="仿宋_GB2312"/>
                <w:color w:val="auto"/>
                <w:spacing w:val="-52"/>
                <w:highlight w:val="none"/>
              </w:rPr>
              <w:t xml:space="preserve"> </w:t>
            </w:r>
            <w:r>
              <w:rPr>
                <w:rFonts w:hint="eastAsia" w:cs="仿宋_GB2312"/>
                <w:color w:val="auto"/>
                <w:highlight w:val="none"/>
              </w:rPr>
              <w:t>分）</w:t>
            </w:r>
          </w:p>
        </w:tc>
        <w:tc>
          <w:tcPr>
            <w:tcW w:w="802" w:type="pct"/>
            <w:vMerge w:val="restart"/>
            <w:noWrap w:val="0"/>
            <w:vAlign w:val="center"/>
          </w:tcPr>
          <w:p>
            <w:pPr>
              <w:spacing w:line="360" w:lineRule="exact"/>
              <w:rPr>
                <w:rFonts w:hint="eastAsia" w:cs="仿宋_GB2312"/>
                <w:color w:val="auto"/>
                <w:highlight w:val="none"/>
              </w:rPr>
            </w:pPr>
            <w:r>
              <w:rPr>
                <w:rFonts w:cs="仿宋_GB2312"/>
                <w:color w:val="auto"/>
                <w:highlight w:val="none"/>
              </w:rPr>
              <w:t>3</w:t>
            </w:r>
            <w:r>
              <w:rPr>
                <w:rFonts w:hint="eastAsia" w:cs="仿宋_GB2312"/>
                <w:color w:val="auto"/>
                <w:highlight w:val="none"/>
              </w:rPr>
              <w:t>.1</w:t>
            </w:r>
            <w:r>
              <w:rPr>
                <w:rFonts w:cs="仿宋_GB2312"/>
                <w:color w:val="auto"/>
                <w:highlight w:val="none"/>
              </w:rPr>
              <w:t xml:space="preserve"> </w:t>
            </w:r>
            <w:r>
              <w:rPr>
                <w:rFonts w:hint="eastAsia" w:cs="仿宋_GB2312"/>
                <w:color w:val="auto"/>
                <w:highlight w:val="none"/>
              </w:rPr>
              <w:t>服务</w:t>
            </w:r>
            <w:r>
              <w:rPr>
                <w:rFonts w:cs="仿宋_GB2312"/>
                <w:color w:val="auto"/>
                <w:highlight w:val="none"/>
              </w:rPr>
              <w:t>整改</w:t>
            </w:r>
          </w:p>
        </w:tc>
        <w:tc>
          <w:tcPr>
            <w:tcW w:w="963" w:type="pct"/>
            <w:noWrap w:val="0"/>
            <w:vAlign w:val="center"/>
          </w:tcPr>
          <w:p>
            <w:pPr>
              <w:spacing w:line="360" w:lineRule="exact"/>
              <w:rPr>
                <w:rFonts w:hint="eastAsia" w:cs="仿宋_GB2312"/>
                <w:color w:val="auto"/>
                <w:highlight w:val="none"/>
              </w:rPr>
            </w:pPr>
            <w:r>
              <w:rPr>
                <w:rFonts w:cs="仿宋_GB2312"/>
                <w:color w:val="auto"/>
                <w:highlight w:val="none"/>
              </w:rPr>
              <w:t>3</w:t>
            </w:r>
            <w:r>
              <w:rPr>
                <w:rFonts w:hint="eastAsia" w:cs="仿宋_GB2312"/>
                <w:color w:val="auto"/>
                <w:highlight w:val="none"/>
              </w:rPr>
              <w:t>.1.1</w:t>
            </w:r>
            <w:r>
              <w:rPr>
                <w:rFonts w:cs="仿宋_GB2312"/>
                <w:color w:val="auto"/>
                <w:highlight w:val="none"/>
              </w:rPr>
              <w:t xml:space="preserve"> </w:t>
            </w:r>
            <w:r>
              <w:rPr>
                <w:rFonts w:hint="eastAsia" w:cs="仿宋_GB2312"/>
                <w:color w:val="auto"/>
                <w:highlight w:val="none"/>
              </w:rPr>
              <w:t>响应</w:t>
            </w:r>
            <w:r>
              <w:rPr>
                <w:rFonts w:cs="仿宋_GB2312"/>
                <w:color w:val="auto"/>
                <w:highlight w:val="none"/>
              </w:rPr>
              <w:t>速度</w:t>
            </w:r>
          </w:p>
        </w:tc>
        <w:tc>
          <w:tcPr>
            <w:tcW w:w="1589" w:type="pct"/>
            <w:noWrap w:val="0"/>
            <w:vAlign w:val="center"/>
          </w:tcPr>
          <w:p>
            <w:pPr>
              <w:spacing w:line="360" w:lineRule="exact"/>
              <w:rPr>
                <w:rFonts w:hint="eastAsia" w:cs="仿宋_GB2312"/>
                <w:color w:val="auto"/>
                <w:highlight w:val="none"/>
              </w:rPr>
            </w:pPr>
            <w:r>
              <w:rPr>
                <w:rFonts w:hint="eastAsia" w:cs="仿宋_GB2312"/>
                <w:color w:val="auto"/>
                <w:highlight w:val="none"/>
              </w:rPr>
              <w:t>乙方</w:t>
            </w:r>
            <w:r>
              <w:rPr>
                <w:rFonts w:cs="仿宋_GB2312"/>
                <w:color w:val="auto"/>
                <w:highlight w:val="none"/>
              </w:rPr>
              <w:t>对</w:t>
            </w:r>
            <w:r>
              <w:rPr>
                <w:rFonts w:hint="eastAsia" w:cs="仿宋_GB2312"/>
                <w:color w:val="auto"/>
                <w:highlight w:val="none"/>
              </w:rPr>
              <w:t>甲方</w:t>
            </w:r>
            <w:r>
              <w:rPr>
                <w:rFonts w:cs="仿宋_GB2312"/>
                <w:color w:val="auto"/>
                <w:highlight w:val="none"/>
              </w:rPr>
              <w:t>提出的整改要求能在</w:t>
            </w:r>
            <w:r>
              <w:rPr>
                <w:rFonts w:hint="eastAsia" w:cs="仿宋_GB2312"/>
                <w:color w:val="auto"/>
                <w:highlight w:val="none"/>
              </w:rPr>
              <w:t>1小时内</w:t>
            </w:r>
            <w:r>
              <w:rPr>
                <w:rFonts w:cs="仿宋_GB2312"/>
                <w:color w:val="auto"/>
                <w:highlight w:val="none"/>
              </w:rPr>
              <w:t>响应，</w:t>
            </w:r>
            <w:r>
              <w:rPr>
                <w:rFonts w:hint="eastAsia" w:cs="仿宋_GB2312"/>
                <w:color w:val="auto"/>
                <w:highlight w:val="none"/>
              </w:rPr>
              <w:t>1个</w:t>
            </w:r>
            <w:r>
              <w:rPr>
                <w:rFonts w:cs="仿宋_GB2312"/>
                <w:color w:val="auto"/>
                <w:highlight w:val="none"/>
              </w:rPr>
              <w:t>工作日内出具</w:t>
            </w:r>
            <w:r>
              <w:rPr>
                <w:rFonts w:hint="eastAsia" w:cs="仿宋_GB2312"/>
                <w:color w:val="auto"/>
                <w:highlight w:val="none"/>
              </w:rPr>
              <w:t>整改</w:t>
            </w:r>
            <w:r>
              <w:rPr>
                <w:rFonts w:cs="仿宋_GB2312"/>
                <w:color w:val="auto"/>
                <w:highlight w:val="none"/>
              </w:rPr>
              <w:t>方案。</w:t>
            </w:r>
          </w:p>
        </w:tc>
        <w:tc>
          <w:tcPr>
            <w:tcW w:w="204" w:type="pct"/>
            <w:noWrap w:val="0"/>
            <w:vAlign w:val="center"/>
          </w:tcPr>
          <w:p>
            <w:pPr>
              <w:spacing w:line="360" w:lineRule="exact"/>
              <w:jc w:val="center"/>
              <w:rPr>
                <w:rFonts w:hint="eastAsia" w:cs="仿宋_GB2312"/>
                <w:color w:val="auto"/>
                <w:highlight w:val="none"/>
              </w:rPr>
            </w:pPr>
            <w:r>
              <w:rPr>
                <w:rFonts w:hint="eastAsia" w:cs="仿宋_GB2312"/>
                <w:color w:val="auto"/>
                <w:highlight w:val="none"/>
              </w:rPr>
              <w:t>5</w:t>
            </w:r>
          </w:p>
        </w:tc>
        <w:tc>
          <w:tcPr>
            <w:tcW w:w="814" w:type="pct"/>
            <w:noWrap w:val="0"/>
            <w:vAlign w:val="center"/>
          </w:tcPr>
          <w:p>
            <w:pPr>
              <w:jc w:val="center"/>
              <w:rPr>
                <w:color w:val="auto"/>
                <w:highlight w:val="none"/>
              </w:rPr>
            </w:pPr>
            <w:r>
              <w:rPr>
                <w:rFonts w:hint="eastAsia" w:cs="仿宋_GB2312"/>
                <w:color w:val="auto"/>
                <w:highlight w:val="none"/>
              </w:rPr>
              <w:t>甲方100%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7" w:type="pct"/>
            <w:vMerge w:val="continue"/>
            <w:noWrap w:val="0"/>
            <w:vAlign w:val="center"/>
          </w:tcPr>
          <w:p>
            <w:pPr>
              <w:spacing w:line="360" w:lineRule="exact"/>
              <w:rPr>
                <w:rFonts w:hint="eastAsia" w:cs="仿宋_GB2312"/>
                <w:color w:val="auto"/>
                <w:highlight w:val="none"/>
              </w:rPr>
            </w:pPr>
          </w:p>
        </w:tc>
        <w:tc>
          <w:tcPr>
            <w:tcW w:w="802" w:type="pct"/>
            <w:vMerge w:val="continue"/>
            <w:noWrap w:val="0"/>
            <w:vAlign w:val="center"/>
          </w:tcPr>
          <w:p>
            <w:pPr>
              <w:spacing w:line="360" w:lineRule="exact"/>
              <w:rPr>
                <w:rFonts w:hint="eastAsia" w:cs="仿宋_GB2312"/>
                <w:color w:val="auto"/>
                <w:highlight w:val="none"/>
              </w:rPr>
            </w:pPr>
          </w:p>
        </w:tc>
        <w:tc>
          <w:tcPr>
            <w:tcW w:w="963" w:type="pct"/>
            <w:noWrap w:val="0"/>
            <w:vAlign w:val="center"/>
          </w:tcPr>
          <w:p>
            <w:pPr>
              <w:spacing w:line="360" w:lineRule="exact"/>
              <w:rPr>
                <w:rFonts w:hint="eastAsia" w:cs="仿宋_GB2312"/>
                <w:color w:val="auto"/>
                <w:highlight w:val="none"/>
              </w:rPr>
            </w:pPr>
            <w:r>
              <w:rPr>
                <w:rFonts w:cs="仿宋_GB2312"/>
                <w:color w:val="auto"/>
                <w:highlight w:val="none"/>
              </w:rPr>
              <w:t>3</w:t>
            </w:r>
            <w:r>
              <w:rPr>
                <w:rFonts w:hint="eastAsia" w:cs="仿宋_GB2312"/>
                <w:color w:val="auto"/>
                <w:highlight w:val="none"/>
              </w:rPr>
              <w:t>.1.2 整改</w:t>
            </w:r>
            <w:r>
              <w:rPr>
                <w:rFonts w:cs="仿宋_GB2312"/>
                <w:color w:val="auto"/>
                <w:highlight w:val="none"/>
              </w:rPr>
              <w:t>措施</w:t>
            </w:r>
          </w:p>
        </w:tc>
        <w:tc>
          <w:tcPr>
            <w:tcW w:w="1589" w:type="pct"/>
            <w:noWrap w:val="0"/>
            <w:vAlign w:val="center"/>
          </w:tcPr>
          <w:p>
            <w:pPr>
              <w:spacing w:line="360" w:lineRule="exact"/>
              <w:rPr>
                <w:rFonts w:hint="eastAsia" w:cs="仿宋_GB2312"/>
                <w:color w:val="auto"/>
                <w:highlight w:val="none"/>
              </w:rPr>
            </w:pPr>
            <w:r>
              <w:rPr>
                <w:rFonts w:hint="eastAsia" w:cs="仿宋_GB2312"/>
                <w:color w:val="auto"/>
                <w:highlight w:val="none"/>
              </w:rPr>
              <w:t>整改</w:t>
            </w:r>
            <w:r>
              <w:rPr>
                <w:rFonts w:cs="仿宋_GB2312"/>
                <w:color w:val="auto"/>
                <w:highlight w:val="none"/>
              </w:rPr>
              <w:t>方案提出的整改</w:t>
            </w:r>
            <w:r>
              <w:rPr>
                <w:rFonts w:hint="eastAsia" w:cs="仿宋_GB2312"/>
                <w:color w:val="auto"/>
                <w:highlight w:val="none"/>
              </w:rPr>
              <w:t>措施清晰</w:t>
            </w:r>
            <w:r>
              <w:rPr>
                <w:rFonts w:cs="仿宋_GB2312"/>
                <w:color w:val="auto"/>
                <w:highlight w:val="none"/>
              </w:rPr>
              <w:t>明确，针对性强，且</w:t>
            </w:r>
            <w:r>
              <w:rPr>
                <w:rFonts w:hint="eastAsia" w:cs="仿宋_GB2312"/>
                <w:color w:val="auto"/>
                <w:highlight w:val="none"/>
              </w:rPr>
              <w:t>能</w:t>
            </w:r>
            <w:r>
              <w:rPr>
                <w:rFonts w:cs="仿宋_GB2312"/>
                <w:color w:val="auto"/>
                <w:highlight w:val="none"/>
              </w:rPr>
              <w:t>付诸实施。</w:t>
            </w:r>
          </w:p>
        </w:tc>
        <w:tc>
          <w:tcPr>
            <w:tcW w:w="204" w:type="pct"/>
            <w:noWrap w:val="0"/>
            <w:vAlign w:val="center"/>
          </w:tcPr>
          <w:p>
            <w:pPr>
              <w:spacing w:line="360" w:lineRule="exact"/>
              <w:jc w:val="center"/>
              <w:rPr>
                <w:rFonts w:hint="eastAsia" w:cs="仿宋_GB2312"/>
                <w:color w:val="auto"/>
                <w:highlight w:val="none"/>
              </w:rPr>
            </w:pPr>
            <w:r>
              <w:rPr>
                <w:rFonts w:cs="仿宋_GB2312"/>
                <w:color w:val="auto"/>
                <w:highlight w:val="none"/>
              </w:rPr>
              <w:t>10</w:t>
            </w:r>
          </w:p>
        </w:tc>
        <w:tc>
          <w:tcPr>
            <w:tcW w:w="814" w:type="pct"/>
            <w:noWrap w:val="0"/>
            <w:vAlign w:val="center"/>
          </w:tcPr>
          <w:p>
            <w:pPr>
              <w:jc w:val="center"/>
              <w:rPr>
                <w:color w:val="auto"/>
                <w:highlight w:val="none"/>
              </w:rPr>
            </w:pPr>
            <w:r>
              <w:rPr>
                <w:rFonts w:hint="eastAsia" w:cs="仿宋_GB2312"/>
                <w:color w:val="auto"/>
                <w:highlight w:val="none"/>
              </w:rPr>
              <w:t>甲方100%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7" w:type="pct"/>
            <w:vMerge w:val="continue"/>
            <w:noWrap w:val="0"/>
            <w:vAlign w:val="center"/>
          </w:tcPr>
          <w:p>
            <w:pPr>
              <w:spacing w:line="360" w:lineRule="exact"/>
              <w:rPr>
                <w:rFonts w:hint="eastAsia" w:cs="仿宋_GB2312"/>
                <w:color w:val="auto"/>
                <w:highlight w:val="none"/>
              </w:rPr>
            </w:pPr>
          </w:p>
        </w:tc>
        <w:tc>
          <w:tcPr>
            <w:tcW w:w="802" w:type="pct"/>
            <w:vMerge w:val="continue"/>
            <w:noWrap w:val="0"/>
            <w:vAlign w:val="center"/>
          </w:tcPr>
          <w:p>
            <w:pPr>
              <w:spacing w:line="360" w:lineRule="exact"/>
              <w:rPr>
                <w:rFonts w:hint="eastAsia" w:cs="仿宋_GB2312"/>
                <w:color w:val="auto"/>
                <w:highlight w:val="none"/>
              </w:rPr>
            </w:pPr>
          </w:p>
        </w:tc>
        <w:tc>
          <w:tcPr>
            <w:tcW w:w="963" w:type="pct"/>
            <w:noWrap w:val="0"/>
            <w:vAlign w:val="center"/>
          </w:tcPr>
          <w:p>
            <w:pPr>
              <w:spacing w:line="360" w:lineRule="exact"/>
              <w:rPr>
                <w:rFonts w:hint="eastAsia" w:cs="仿宋_GB2312"/>
                <w:color w:val="auto"/>
                <w:highlight w:val="none"/>
              </w:rPr>
            </w:pPr>
            <w:r>
              <w:rPr>
                <w:rFonts w:cs="仿宋_GB2312"/>
                <w:color w:val="auto"/>
                <w:highlight w:val="none"/>
              </w:rPr>
              <w:t>3</w:t>
            </w:r>
            <w:r>
              <w:rPr>
                <w:rFonts w:hint="eastAsia" w:cs="仿宋_GB2312"/>
                <w:color w:val="auto"/>
                <w:highlight w:val="none"/>
              </w:rPr>
              <w:t>.1.3 整改</w:t>
            </w:r>
            <w:r>
              <w:rPr>
                <w:rFonts w:cs="仿宋_GB2312"/>
                <w:color w:val="auto"/>
                <w:highlight w:val="none"/>
              </w:rPr>
              <w:t>效果</w:t>
            </w:r>
          </w:p>
        </w:tc>
        <w:tc>
          <w:tcPr>
            <w:tcW w:w="1589" w:type="pct"/>
            <w:noWrap w:val="0"/>
            <w:vAlign w:val="center"/>
          </w:tcPr>
          <w:p>
            <w:pPr>
              <w:spacing w:line="360" w:lineRule="exact"/>
              <w:rPr>
                <w:rFonts w:hint="eastAsia" w:cs="仿宋_GB2312"/>
                <w:color w:val="auto"/>
                <w:highlight w:val="none"/>
              </w:rPr>
            </w:pPr>
            <w:r>
              <w:rPr>
                <w:rFonts w:hint="eastAsia" w:cs="仿宋_GB2312"/>
                <w:color w:val="auto"/>
                <w:highlight w:val="none"/>
              </w:rPr>
              <w:t>乙方</w:t>
            </w:r>
            <w:r>
              <w:rPr>
                <w:rFonts w:cs="仿宋_GB2312"/>
                <w:color w:val="auto"/>
                <w:highlight w:val="none"/>
              </w:rPr>
              <w:t>按整改方案落实措施，且成效明显，</w:t>
            </w:r>
            <w:r>
              <w:rPr>
                <w:rFonts w:hint="eastAsia" w:cs="仿宋_GB2312"/>
                <w:color w:val="auto"/>
                <w:highlight w:val="none"/>
              </w:rPr>
              <w:t>让甲方</w:t>
            </w:r>
            <w:r>
              <w:rPr>
                <w:rFonts w:cs="仿宋_GB2312"/>
                <w:color w:val="auto"/>
                <w:highlight w:val="none"/>
              </w:rPr>
              <w:t>满意。</w:t>
            </w:r>
          </w:p>
        </w:tc>
        <w:tc>
          <w:tcPr>
            <w:tcW w:w="204" w:type="pct"/>
            <w:noWrap w:val="0"/>
            <w:vAlign w:val="center"/>
          </w:tcPr>
          <w:p>
            <w:pPr>
              <w:spacing w:line="360" w:lineRule="exact"/>
              <w:jc w:val="center"/>
              <w:rPr>
                <w:rFonts w:hint="eastAsia" w:cs="仿宋_GB2312"/>
                <w:color w:val="auto"/>
                <w:highlight w:val="none"/>
              </w:rPr>
            </w:pPr>
            <w:r>
              <w:rPr>
                <w:rFonts w:hint="eastAsia" w:cs="仿宋_GB2312"/>
                <w:color w:val="auto"/>
                <w:highlight w:val="none"/>
              </w:rPr>
              <w:t>10</w:t>
            </w:r>
          </w:p>
        </w:tc>
        <w:tc>
          <w:tcPr>
            <w:tcW w:w="814" w:type="pct"/>
            <w:noWrap w:val="0"/>
            <w:vAlign w:val="center"/>
          </w:tcPr>
          <w:p>
            <w:pPr>
              <w:jc w:val="center"/>
              <w:rPr>
                <w:color w:val="auto"/>
                <w:highlight w:val="none"/>
              </w:rPr>
            </w:pPr>
            <w:r>
              <w:rPr>
                <w:rFonts w:hint="eastAsia" w:cs="仿宋_GB2312"/>
                <w:color w:val="auto"/>
                <w:highlight w:val="none"/>
              </w:rPr>
              <w:t>甲方100%</w:t>
            </w:r>
          </w:p>
        </w:tc>
      </w:tr>
    </w:tbl>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八、保密</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九、违约责任与赔偿损失</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1.</w:t>
      </w:r>
      <w:r>
        <w:rPr>
          <w:rFonts w:hint="eastAsia" w:ascii="仿宋_GB2312" w:hAnsi="Calibri" w:eastAsia="仿宋_GB2312"/>
          <w:color w:val="auto"/>
          <w:sz w:val="28"/>
          <w:szCs w:val="28"/>
          <w:highlight w:val="none"/>
        </w:rPr>
        <w:t>乙方提供的服务不符合本合同规定的，甲方有权拒收，并且乙方须向甲方方支付本合同总价</w:t>
      </w:r>
      <w:r>
        <w:rPr>
          <w:rFonts w:hint="eastAsia" w:ascii="仿宋_GB2312" w:hAnsi="Calibri" w:eastAsia="仿宋_GB2312" w:cs="DejaVuSans"/>
          <w:color w:val="auto"/>
          <w:sz w:val="28"/>
          <w:szCs w:val="28"/>
          <w:highlight w:val="none"/>
        </w:rPr>
        <w:t>5%</w:t>
      </w:r>
      <w:r>
        <w:rPr>
          <w:rFonts w:hint="eastAsia" w:ascii="仿宋_GB2312" w:hAnsi="Calibri" w:eastAsia="仿宋_GB2312"/>
          <w:color w:val="auto"/>
          <w:sz w:val="28"/>
          <w:szCs w:val="28"/>
          <w:highlight w:val="none"/>
        </w:rPr>
        <w:t>的违约金。</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2.</w:t>
      </w:r>
      <w:r>
        <w:rPr>
          <w:rFonts w:hint="eastAsia" w:ascii="仿宋_GB2312" w:hAnsi="Calibri" w:eastAsia="仿宋_GB2312"/>
          <w:color w:val="auto"/>
          <w:sz w:val="28"/>
          <w:szCs w:val="28"/>
          <w:highlight w:val="none"/>
        </w:rPr>
        <w:t>乙方未能按本合同规定的时间提供服务，从逾期之日起每日按本合同总价</w:t>
      </w:r>
      <w:r>
        <w:rPr>
          <w:rFonts w:hint="eastAsia" w:ascii="仿宋_GB2312" w:hAnsi="Calibri" w:eastAsia="仿宋_GB2312" w:cs="DejaVuSans"/>
          <w:color w:val="auto"/>
          <w:sz w:val="28"/>
          <w:szCs w:val="28"/>
          <w:highlight w:val="none"/>
        </w:rPr>
        <w:t>3</w:t>
      </w:r>
      <w:r>
        <w:rPr>
          <w:rFonts w:hint="eastAsia" w:ascii="仿宋_GB2312" w:eastAsia="仿宋_GB2312"/>
          <w:color w:val="auto"/>
          <w:sz w:val="28"/>
          <w:szCs w:val="28"/>
          <w:highlight w:val="none"/>
        </w:rPr>
        <w:t>‰</w:t>
      </w:r>
      <w:r>
        <w:rPr>
          <w:rFonts w:hint="eastAsia" w:ascii="仿宋_GB2312" w:hAnsi="Calibri" w:eastAsia="仿宋_GB2312"/>
          <w:color w:val="auto"/>
          <w:sz w:val="28"/>
          <w:szCs w:val="28"/>
          <w:highlight w:val="none"/>
        </w:rPr>
        <w:t>的数额向甲方支付违约金；逾期半个月以上的，甲方有权终止合同，由此造成的甲方经济损失由乙方承担。</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3.</w:t>
      </w:r>
      <w:r>
        <w:rPr>
          <w:rFonts w:hint="eastAsia" w:ascii="仿宋_GB2312" w:hAnsi="Calibri" w:eastAsia="仿宋_GB2312"/>
          <w:color w:val="auto"/>
          <w:sz w:val="28"/>
          <w:szCs w:val="28"/>
          <w:highlight w:val="none"/>
        </w:rPr>
        <w:t>甲方无正当理由拒绝接受服务，到期拒付服务款项的，甲方向乙方偿付本合同总价的</w:t>
      </w:r>
      <w:r>
        <w:rPr>
          <w:rFonts w:hint="eastAsia" w:ascii="仿宋_GB2312" w:hAnsi="Calibri" w:eastAsia="仿宋_GB2312" w:cs="DejaVuSans"/>
          <w:color w:val="auto"/>
          <w:sz w:val="28"/>
          <w:szCs w:val="28"/>
          <w:highlight w:val="none"/>
        </w:rPr>
        <w:t>5%</w:t>
      </w:r>
      <w:r>
        <w:rPr>
          <w:rFonts w:hint="eastAsia" w:ascii="仿宋_GB2312" w:hAnsi="Calibri" w:eastAsia="仿宋_GB2312"/>
          <w:color w:val="auto"/>
          <w:sz w:val="28"/>
          <w:szCs w:val="28"/>
          <w:highlight w:val="none"/>
        </w:rPr>
        <w:t>的违约金。甲方逾期付款，则每日按本合同总价的</w:t>
      </w:r>
      <w:r>
        <w:rPr>
          <w:rFonts w:hint="eastAsia" w:ascii="仿宋_GB2312" w:hAnsi="Calibri" w:eastAsia="仿宋_GB2312" w:cs="DejaVuSans"/>
          <w:color w:val="auto"/>
          <w:sz w:val="28"/>
          <w:szCs w:val="28"/>
          <w:highlight w:val="none"/>
        </w:rPr>
        <w:t>3</w:t>
      </w:r>
      <w:r>
        <w:rPr>
          <w:rFonts w:hint="eastAsia" w:ascii="仿宋_GB2312" w:eastAsia="仿宋_GB2312"/>
          <w:color w:val="auto"/>
          <w:sz w:val="28"/>
          <w:szCs w:val="28"/>
          <w:highlight w:val="none"/>
        </w:rPr>
        <w:t>‰</w:t>
      </w:r>
      <w:r>
        <w:rPr>
          <w:rFonts w:hint="eastAsia" w:ascii="仿宋_GB2312" w:hAnsi="Calibri" w:eastAsia="仿宋_GB2312"/>
          <w:color w:val="auto"/>
          <w:sz w:val="28"/>
          <w:szCs w:val="28"/>
          <w:highlight w:val="none"/>
        </w:rPr>
        <w:t>向乙方偿付违约金。</w:t>
      </w:r>
    </w:p>
    <w:p>
      <w:pPr>
        <w:adjustRightInd w:val="0"/>
        <w:spacing w:line="560" w:lineRule="exact"/>
        <w:ind w:firstLine="560" w:firstLineChars="200"/>
        <w:rPr>
          <w:rFonts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4.</w:t>
      </w:r>
      <w:r>
        <w:rPr>
          <w:rFonts w:hint="eastAsia" w:ascii="仿宋_GB2312" w:hAnsi="Calibri" w:eastAsia="仿宋_GB2312"/>
          <w:color w:val="auto"/>
          <w:sz w:val="28"/>
          <w:szCs w:val="28"/>
          <w:highlight w:val="none"/>
        </w:rPr>
        <w:t>对于因甲方原因导致变更、中止或者终止政府采购合同的，甲方应当依照以下合同约定对乙方受到的损失予以赔偿或者补偿：</w:t>
      </w:r>
    </w:p>
    <w:p>
      <w:pPr>
        <w:pStyle w:val="8"/>
        <w:spacing w:line="560" w:lineRule="exact"/>
        <w:ind w:firstLine="840" w:firstLineChars="300"/>
        <w:rPr>
          <w:rFonts w:hint="eastAsia"/>
          <w:color w:val="auto"/>
          <w:sz w:val="28"/>
          <w:szCs w:val="28"/>
          <w:highlight w:val="none"/>
        </w:rPr>
      </w:pPr>
      <w:r>
        <w:rPr>
          <w:color w:val="auto"/>
          <w:sz w:val="28"/>
          <w:szCs w:val="28"/>
          <w:highlight w:val="none"/>
        </w:rPr>
        <w:t>……</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5.</w:t>
      </w:r>
      <w:r>
        <w:rPr>
          <w:rFonts w:hint="eastAsia" w:ascii="仿宋_GB2312" w:hAnsi="Calibri" w:eastAsia="仿宋_GB2312"/>
          <w:color w:val="auto"/>
          <w:sz w:val="28"/>
          <w:szCs w:val="28"/>
          <w:highlight w:val="none"/>
        </w:rPr>
        <w:t>其它违约责任按《中华人民共和国民法典</w:t>
      </w:r>
      <w:r>
        <w:rPr>
          <w:rFonts w:hint="eastAsia" w:ascii="仿宋_GB2312" w:eastAsia="仿宋_GB2312"/>
          <w:color w:val="auto"/>
          <w:sz w:val="28"/>
          <w:szCs w:val="28"/>
          <w:highlight w:val="none"/>
        </w:rPr>
        <w:t>（</w:t>
      </w:r>
      <w:r>
        <w:rPr>
          <w:rFonts w:hint="eastAsia" w:ascii="仿宋_GB2312" w:hAnsi="Calibri" w:eastAsia="仿宋_GB2312"/>
          <w:color w:val="auto"/>
          <w:sz w:val="28"/>
          <w:szCs w:val="28"/>
          <w:highlight w:val="none"/>
        </w:rPr>
        <w:t>合同编</w:t>
      </w:r>
      <w:r>
        <w:rPr>
          <w:rFonts w:hint="eastAsia" w:ascii="仿宋_GB2312" w:eastAsia="仿宋_GB2312"/>
          <w:color w:val="auto"/>
          <w:sz w:val="28"/>
          <w:szCs w:val="28"/>
          <w:highlight w:val="none"/>
        </w:rPr>
        <w:t>）</w:t>
      </w:r>
      <w:r>
        <w:rPr>
          <w:rFonts w:hint="eastAsia" w:ascii="仿宋_GB2312" w:hAnsi="Calibri" w:eastAsia="仿宋_GB2312"/>
          <w:color w:val="auto"/>
          <w:sz w:val="28"/>
          <w:szCs w:val="28"/>
          <w:highlight w:val="none"/>
        </w:rPr>
        <w:t>》处理。</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十、争议的解决</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合同执行过程中发生的任何争议，如双方不能通过友好协商解决，可向</w:t>
      </w:r>
      <w:r>
        <w:rPr>
          <w:rFonts w:ascii="仿宋_GB2312" w:hAnsi="Calibri" w:eastAsia="仿宋_GB2312"/>
          <w:color w:val="auto"/>
          <w:sz w:val="28"/>
          <w:szCs w:val="28"/>
          <w:highlight w:val="none"/>
        </w:rPr>
        <w:t>东莞市第一人民法院起诉</w:t>
      </w:r>
      <w:r>
        <w:rPr>
          <w:rFonts w:hint="eastAsia" w:ascii="仿宋_GB2312" w:hAnsi="Calibri" w:eastAsia="仿宋_GB2312"/>
          <w:color w:val="auto"/>
          <w:sz w:val="28"/>
          <w:szCs w:val="28"/>
          <w:highlight w:val="none"/>
        </w:rPr>
        <w:t>。</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十一、不可抗力</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任何一方由于不可抗力原因不能履行合同时，应在不可抗力事件结束后</w:t>
      </w:r>
      <w:r>
        <w:rPr>
          <w:rFonts w:hint="eastAsia" w:ascii="仿宋_GB2312" w:hAnsi="Calibri" w:eastAsia="仿宋_GB2312" w:cs="DejaVuSans"/>
          <w:color w:val="auto"/>
          <w:sz w:val="28"/>
          <w:szCs w:val="28"/>
          <w:highlight w:val="none"/>
        </w:rPr>
        <w:t>1</w:t>
      </w:r>
      <w:r>
        <w:rPr>
          <w:rFonts w:hint="eastAsia" w:ascii="仿宋_GB2312" w:hAnsi="Calibri" w:eastAsia="仿宋_GB2312"/>
          <w:color w:val="auto"/>
          <w:sz w:val="28"/>
          <w:szCs w:val="28"/>
          <w:highlight w:val="none"/>
        </w:rPr>
        <w:t>日内向对方通报，以减轻可能给对方造成的损失，在取得有关机构的不可抗力证明或双方谅解确认后，允许延期履行或修订合同，并根据情况可部分或全部免于承担违约责任。</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十二、税费</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在中国境内、外发生的与本合同执行有关的一切税费均由乙方负担。</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十三、其它</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1.</w:t>
      </w:r>
      <w:r>
        <w:rPr>
          <w:rFonts w:hint="eastAsia" w:ascii="仿宋_GB2312" w:hAnsi="Calibri" w:eastAsia="仿宋_GB2312"/>
          <w:color w:val="auto"/>
          <w:sz w:val="28"/>
          <w:szCs w:val="28"/>
          <w:highlight w:val="none"/>
        </w:rPr>
        <w:t>本合同所有附件、招标文件、投标文件、中标通知书均为合同的有效组成部分，与本合同具有同等法律效力。</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2.</w:t>
      </w:r>
      <w:r>
        <w:rPr>
          <w:rFonts w:hint="eastAsia" w:ascii="仿宋_GB2312" w:hAnsi="Calibri" w:eastAsia="仿宋_GB2312"/>
          <w:color w:val="auto"/>
          <w:sz w:val="28"/>
          <w:szCs w:val="28"/>
          <w:highlight w:val="none"/>
        </w:rPr>
        <w:t>在执行本合同的过程中，所有经双方签署确认的文件（包括会议纪要、补充协议、往来信函）即成为本合同的有效组成部分。</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3.</w:t>
      </w:r>
      <w:r>
        <w:rPr>
          <w:rFonts w:hint="eastAsia" w:ascii="仿宋_GB2312" w:hAnsi="Calibri" w:eastAsia="仿宋_GB2312"/>
          <w:color w:val="auto"/>
          <w:sz w:val="28"/>
          <w:szCs w:val="28"/>
          <w:highlight w:val="none"/>
        </w:rPr>
        <w:t>如一方地址、电话、传真号码有变更，应在变更当日内书面通知对方，否则，应承担相应责任。</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4.</w:t>
      </w:r>
      <w:r>
        <w:rPr>
          <w:rFonts w:hint="eastAsia" w:ascii="仿宋_GB2312" w:hAnsi="Calibri" w:eastAsia="仿宋_GB2312"/>
          <w:color w:val="auto"/>
          <w:sz w:val="28"/>
          <w:szCs w:val="28"/>
          <w:highlight w:val="none"/>
        </w:rPr>
        <w:t>除甲方事先书面同意外，乙方不得部分或全部转让其应履行的合同项下的义务。</w:t>
      </w:r>
    </w:p>
    <w:p>
      <w:pPr>
        <w:adjustRightInd w:val="0"/>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十四、合同生效</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1.</w:t>
      </w:r>
      <w:r>
        <w:rPr>
          <w:rFonts w:hint="eastAsia" w:ascii="仿宋_GB2312" w:hAnsi="Calibri" w:eastAsia="仿宋_GB2312"/>
          <w:color w:val="auto"/>
          <w:sz w:val="28"/>
          <w:szCs w:val="28"/>
          <w:highlight w:val="none"/>
        </w:rPr>
        <w:t>本合同在甲乙双方法人代表或其授权代表签字盖章后生效。</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s="DejaVuSans"/>
          <w:color w:val="auto"/>
          <w:sz w:val="28"/>
          <w:szCs w:val="28"/>
          <w:highlight w:val="none"/>
        </w:rPr>
        <w:t>2.</w:t>
      </w:r>
      <w:r>
        <w:rPr>
          <w:rFonts w:hint="eastAsia" w:ascii="仿宋_GB2312" w:hAnsi="Calibri" w:eastAsia="仿宋_GB2312"/>
          <w:color w:val="auto"/>
          <w:sz w:val="28"/>
          <w:szCs w:val="28"/>
          <w:highlight w:val="none"/>
        </w:rPr>
        <w:t>合同一式</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份，具</w:t>
      </w:r>
      <w:r>
        <w:rPr>
          <w:rFonts w:ascii="仿宋_GB2312" w:hAnsi="Calibri" w:eastAsia="仿宋_GB2312"/>
          <w:color w:val="auto"/>
          <w:sz w:val="28"/>
          <w:szCs w:val="28"/>
          <w:highlight w:val="none"/>
        </w:rPr>
        <w:t>同等法律效力。</w:t>
      </w:r>
    </w:p>
    <w:p>
      <w:pPr>
        <w:adjustRightInd w:val="0"/>
        <w:spacing w:line="560" w:lineRule="exact"/>
        <w:ind w:firstLine="560" w:firstLineChars="200"/>
        <w:rPr>
          <w:rFonts w:ascii="仿宋_GB2312" w:hAnsi="Calibri" w:eastAsia="仿宋_GB2312"/>
          <w:color w:val="auto"/>
          <w:sz w:val="28"/>
          <w:szCs w:val="28"/>
          <w:highlight w:val="none"/>
        </w:rPr>
      </w:pPr>
    </w:p>
    <w:p>
      <w:pPr>
        <w:adjustRightInd w:val="0"/>
        <w:spacing w:line="560" w:lineRule="exact"/>
        <w:ind w:firstLine="560" w:firstLineChars="200"/>
        <w:rPr>
          <w:rFonts w:ascii="仿宋_GB2312" w:hAnsi="Calibri" w:eastAsia="仿宋_GB2312"/>
          <w:color w:val="auto"/>
          <w:sz w:val="28"/>
          <w:szCs w:val="28"/>
          <w:highlight w:val="none"/>
        </w:rPr>
      </w:pP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甲方（盖章）：                      乙方（盖章）：</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代表：                               代表：</w:t>
      </w:r>
    </w:p>
    <w:p>
      <w:pPr>
        <w:adjustRightInd w:val="0"/>
        <w:spacing w:line="560" w:lineRule="exac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签订地点：</w:t>
      </w:r>
    </w:p>
    <w:p>
      <w:pPr>
        <w:adjustRightInd w:val="0"/>
        <w:spacing w:line="560" w:lineRule="exact"/>
        <w:ind w:firstLine="560" w:firstLineChars="20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签订日期：　年　　月　　日        签订日期：年　月　　日</w:t>
      </w:r>
    </w:p>
    <w:p>
      <w:pPr>
        <w:adjustRightInd w:val="0"/>
        <w:spacing w:line="560" w:lineRule="exact"/>
        <w:ind w:firstLine="6300" w:firstLineChars="225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开户名称：</w:t>
      </w:r>
    </w:p>
    <w:p>
      <w:pPr>
        <w:adjustRightInd w:val="0"/>
        <w:spacing w:line="560" w:lineRule="exact"/>
        <w:ind w:firstLine="6300" w:firstLineChars="225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银行帐号：</w:t>
      </w:r>
    </w:p>
    <w:p>
      <w:pPr>
        <w:adjustRightInd w:val="0"/>
        <w:spacing w:line="560" w:lineRule="exact"/>
        <w:ind w:firstLine="6300" w:firstLineChars="2250"/>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开 户 行：</w:t>
      </w:r>
    </w:p>
    <w:p>
      <w:pPr>
        <w:spacing w:line="560" w:lineRule="exact"/>
        <w:ind w:firstLine="562" w:firstLineChars="200"/>
        <w:jc w:val="both"/>
        <w:rPr>
          <w:rFonts w:ascii="仿宋_GB2312" w:eastAsia="仿宋_GB2312"/>
          <w:b/>
          <w:color w:val="auto"/>
          <w:sz w:val="28"/>
          <w:szCs w:val="28"/>
          <w:highlight w:val="none"/>
        </w:rPr>
      </w:pPr>
    </w:p>
    <w:p>
      <w:pPr>
        <w:spacing w:line="560" w:lineRule="exact"/>
        <w:ind w:firstLine="562" w:firstLineChars="200"/>
        <w:jc w:val="both"/>
        <w:rPr>
          <w:rFonts w:hint="eastAsia" w:ascii="仿宋_GB2312" w:eastAsia="仿宋_GB2312"/>
          <w:color w:val="auto"/>
          <w:sz w:val="28"/>
          <w:szCs w:val="28"/>
          <w:highlight w:val="none"/>
        </w:rPr>
      </w:pPr>
      <w:r>
        <w:rPr>
          <w:rFonts w:hint="eastAsia" w:ascii="仿宋_GB2312" w:eastAsia="仿宋_GB2312"/>
          <w:b/>
          <w:color w:val="auto"/>
          <w:sz w:val="28"/>
          <w:szCs w:val="28"/>
          <w:highlight w:val="none"/>
        </w:rPr>
        <w:t>此仅为合同书样本，乙方需根据实际情况和甲方签订相应的合同！</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t xml:space="preserve"> </w:t>
      </w:r>
    </w:p>
    <w:p>
      <w:pPr>
        <w:rPr>
          <w:color w:val="auto"/>
          <w:highlight w:val="none"/>
        </w:rPr>
      </w:pPr>
    </w:p>
    <w:p>
      <w:pPr>
        <w:jc w:val="center"/>
        <w:rPr>
          <w:color w:val="auto"/>
          <w:highlight w:val="none"/>
        </w:rPr>
      </w:pPr>
      <w:r>
        <w:rPr>
          <w:b/>
          <w:color w:val="auto"/>
          <w:sz w:val="36"/>
          <w:highlight w:val="none"/>
        </w:rPr>
        <w:t>第六章 投标文件格式与要求</w:t>
      </w:r>
    </w:p>
    <w:p>
      <w:pPr>
        <w:ind w:firstLine="480"/>
        <w:rPr>
          <w:color w:val="auto"/>
          <w:highlight w:val="none"/>
        </w:rPr>
      </w:pPr>
      <w:r>
        <w:rPr>
          <w:color w:val="auto"/>
          <w:highlight w:val="none"/>
        </w:rPr>
        <w:t>投标人应提交证明其有资格参加投标和中标后有能力履行合同的相关文件，并作为其投标文件的一部分，所有文件必须真实可靠、不得伪造，否则将按相关规定予以处罚。</w:t>
      </w:r>
    </w:p>
    <w:p>
      <w:pPr>
        <w:ind w:firstLine="480"/>
        <w:rPr>
          <w:color w:val="auto"/>
          <w:highlight w:val="none"/>
        </w:rPr>
      </w:pPr>
      <w:r>
        <w:rPr>
          <w:color w:val="auto"/>
          <w:highlight w:val="none"/>
        </w:rPr>
        <w:t>1.法人或者其他组织的营业执照等证明文件，自然人的身份证明：</w:t>
      </w:r>
    </w:p>
    <w:p>
      <w:pPr>
        <w:ind w:firstLine="480"/>
        <w:rPr>
          <w:color w:val="auto"/>
          <w:highlight w:val="none"/>
        </w:rPr>
      </w:pPr>
      <w:r>
        <w:rPr>
          <w:color w:val="auto"/>
          <w:highlight w:val="none"/>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rPr>
          <w:color w:val="auto"/>
          <w:highlight w:val="none"/>
        </w:rPr>
      </w:pPr>
      <w:r>
        <w:rPr>
          <w:color w:val="auto"/>
          <w:highlight w:val="none"/>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rPr>
          <w:color w:val="auto"/>
          <w:highlight w:val="none"/>
        </w:rPr>
      </w:pPr>
      <w:r>
        <w:rPr>
          <w:color w:val="auto"/>
          <w:highlight w:val="none"/>
        </w:rPr>
        <w:t>2.财务状况报告，依法缴纳税收和社会保障资金的相关材料（详见资格性审查表要求）</w:t>
      </w:r>
    </w:p>
    <w:p>
      <w:pPr>
        <w:ind w:firstLine="480"/>
        <w:rPr>
          <w:color w:val="auto"/>
          <w:highlight w:val="none"/>
        </w:rPr>
      </w:pPr>
      <w:r>
        <w:rPr>
          <w:color w:val="auto"/>
          <w:highlight w:val="none"/>
        </w:rPr>
        <w:t>3.具有履行合同所必须的设备和专业技术能力的声明。</w:t>
      </w:r>
    </w:p>
    <w:p>
      <w:pPr>
        <w:ind w:firstLine="480"/>
        <w:rPr>
          <w:color w:val="auto"/>
          <w:highlight w:val="none"/>
        </w:rPr>
      </w:pPr>
      <w:r>
        <w:rPr>
          <w:color w:val="auto"/>
          <w:highlight w:val="none"/>
        </w:rPr>
        <w:t>4.投标人参加政府采购前三年内在经营活动中没有重大违法记录书面声明函。</w:t>
      </w:r>
    </w:p>
    <w:p>
      <w:pPr>
        <w:ind w:firstLine="480"/>
        <w:rPr>
          <w:color w:val="auto"/>
          <w:highlight w:val="none"/>
        </w:rPr>
      </w:pPr>
      <w:r>
        <w:rPr>
          <w:color w:val="auto"/>
          <w:highlight w:val="none"/>
        </w:rPr>
        <w:t>5.信用记录查询</w:t>
      </w:r>
    </w:p>
    <w:p>
      <w:pPr>
        <w:ind w:firstLine="480"/>
        <w:rPr>
          <w:color w:val="auto"/>
          <w:highlight w:val="none"/>
        </w:rPr>
      </w:pPr>
      <w:r>
        <w:rPr>
          <w:color w:val="auto"/>
          <w:highlight w:val="none"/>
        </w:rPr>
        <w:t>（1）查询渠道：通过“信用中国”网站(www.creditchina.gov.cn)和“中国政府采购网”（www.ccgp.gov.cn）进行查询；</w:t>
      </w:r>
    </w:p>
    <w:p>
      <w:pPr>
        <w:ind w:firstLine="480"/>
        <w:rPr>
          <w:color w:val="auto"/>
          <w:highlight w:val="none"/>
        </w:rPr>
      </w:pPr>
      <w:r>
        <w:rPr>
          <w:color w:val="auto"/>
          <w:highlight w:val="none"/>
        </w:rPr>
        <w:t>（2）查询截止时点：提交投标文件截止日当天；</w:t>
      </w:r>
    </w:p>
    <w:p>
      <w:pPr>
        <w:ind w:firstLine="480"/>
        <w:rPr>
          <w:color w:val="auto"/>
          <w:highlight w:val="none"/>
        </w:rPr>
      </w:pPr>
      <w:r>
        <w:rPr>
          <w:color w:val="auto"/>
          <w:highlight w:val="none"/>
        </w:rPr>
        <w:t>（3）查询记录：对列入失信被执行人、重大税收违法案件当事人名单、政府采购严重违法失信行为记录名单、信用报告进行查询；</w:t>
      </w:r>
    </w:p>
    <w:p>
      <w:pPr>
        <w:ind w:firstLine="480"/>
        <w:rPr>
          <w:color w:val="auto"/>
          <w:highlight w:val="none"/>
        </w:rPr>
      </w:pPr>
      <w:r>
        <w:rPr>
          <w:color w:val="auto"/>
          <w:highlight w:val="none"/>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rPr>
          <w:color w:val="auto"/>
          <w:highlight w:val="none"/>
        </w:rPr>
      </w:pPr>
      <w:r>
        <w:rPr>
          <w:color w:val="auto"/>
          <w:highlight w:val="none"/>
        </w:rPr>
        <w:t>6. 按照招标文件要求，投标人应当提交的资格、资信证明文件。</w:t>
      </w:r>
    </w:p>
    <w:p>
      <w:pPr>
        <w:ind w:firstLine="480"/>
        <w:rPr>
          <w:color w:val="auto"/>
          <w:highlight w:val="none"/>
        </w:rPr>
      </w:pPr>
      <w:r>
        <w:rPr>
          <w:rFonts w:hint="eastAsia"/>
          <w:color w:val="auto"/>
          <w:highlight w:val="none"/>
        </w:rPr>
        <w:t>7. 注：1.请供应商按照以下要求的格式.内容.顺序制作投标文件，并编制目录及页码，否则可能会影响对投标文件的评价。</w:t>
      </w:r>
    </w:p>
    <w:p>
      <w:pPr>
        <w:ind w:firstLine="480"/>
        <w:rPr>
          <w:color w:val="auto"/>
          <w:highlight w:val="none"/>
        </w:rPr>
      </w:pPr>
      <w:r>
        <w:rPr>
          <w:rFonts w:hint="eastAsia"/>
          <w:color w:val="auto"/>
          <w:highlight w:val="none"/>
        </w:rPr>
        <w:t>8.根据“节约能源.保护环境”要求，建议供应商双面打印投标文件。</w:t>
      </w:r>
    </w:p>
    <w:p>
      <w:pPr>
        <w:ind w:firstLine="480"/>
        <w:rPr>
          <w:color w:val="auto"/>
          <w:highlight w:val="none"/>
        </w:rPr>
      </w:pPr>
      <w:r>
        <w:rPr>
          <w:rFonts w:hint="eastAsia"/>
          <w:color w:val="auto"/>
          <w:highlight w:val="none"/>
        </w:rPr>
        <w:t>9.价格文件、商务文件、技术文件合并汇编成册。</w:t>
      </w:r>
    </w:p>
    <w:p>
      <w:pPr>
        <w:rPr>
          <w:color w:val="auto"/>
          <w:highlight w:val="none"/>
        </w:rPr>
      </w:pPr>
      <w:r>
        <w:rPr>
          <w:color w:val="auto"/>
          <w:highlight w:val="none"/>
        </w:rPr>
        <w:t xml:space="preserve"> </w:t>
      </w:r>
      <w:r>
        <w:rPr>
          <w:color w:val="auto"/>
          <w:highlight w:val="none"/>
        </w:rPr>
        <w:br w:type="textWrapping"/>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color w:val="auto"/>
          <w:highlight w:val="none"/>
        </w:rPr>
      </w:pPr>
      <w:r>
        <w:rPr>
          <w:b/>
          <w:color w:val="auto"/>
          <w:sz w:val="48"/>
          <w:highlight w:val="none"/>
        </w:rPr>
        <w:t>投标文件封面</w:t>
      </w:r>
    </w:p>
    <w:p>
      <w:pPr>
        <w:rPr>
          <w:color w:val="auto"/>
          <w:highlight w:val="none"/>
        </w:rPr>
      </w:pPr>
    </w:p>
    <w:p>
      <w:pPr>
        <w:jc w:val="center"/>
        <w:rPr>
          <w:color w:val="auto"/>
          <w:highlight w:val="none"/>
        </w:rPr>
      </w:pPr>
      <w:r>
        <w:rPr>
          <w:b/>
          <w:color w:val="auto"/>
          <w:sz w:val="48"/>
          <w:highlight w:val="none"/>
        </w:rPr>
        <w:t>（项目名称）</w:t>
      </w:r>
    </w:p>
    <w:p>
      <w:pPr>
        <w:jc w:val="center"/>
        <w:rPr>
          <w:color w:val="auto"/>
          <w:highlight w:val="none"/>
        </w:rPr>
      </w:pPr>
      <w:r>
        <w:rPr>
          <w:b/>
          <w:color w:val="auto"/>
          <w:sz w:val="48"/>
          <w:highlight w:val="none"/>
        </w:rPr>
        <w:t>投标文件封面</w:t>
      </w:r>
    </w:p>
    <w:p>
      <w:pPr>
        <w:jc w:val="center"/>
        <w:rPr>
          <w:color w:val="auto"/>
          <w:highlight w:val="none"/>
        </w:rPr>
      </w:pPr>
      <w:r>
        <w:rPr>
          <w:b/>
          <w:color w:val="auto"/>
          <w:sz w:val="48"/>
          <w:highlight w:val="none"/>
        </w:rPr>
        <w:t>（正本/副本）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jc w:val="center"/>
        <w:rPr>
          <w:color w:val="auto"/>
          <w:highlight w:val="none"/>
        </w:rPr>
      </w:pPr>
      <w:r>
        <w:rPr>
          <w:b/>
          <w:color w:val="auto"/>
          <w:sz w:val="24"/>
          <w:highlight w:val="none"/>
        </w:rPr>
        <w:t>采购计划编号：</w:t>
      </w:r>
    </w:p>
    <w:p>
      <w:pPr>
        <w:jc w:val="center"/>
        <w:rPr>
          <w:color w:val="auto"/>
          <w:highlight w:val="none"/>
        </w:rPr>
      </w:pPr>
      <w:r>
        <w:rPr>
          <w:b/>
          <w:color w:val="auto"/>
          <w:sz w:val="24"/>
          <w:highlight w:val="none"/>
        </w:rPr>
        <w:t>采购项目编号：</w:t>
      </w:r>
    </w:p>
    <w:p>
      <w:pPr>
        <w:jc w:val="center"/>
        <w:rPr>
          <w:color w:val="auto"/>
          <w:highlight w:val="none"/>
        </w:rPr>
      </w:pPr>
      <w:r>
        <w:rPr>
          <w:b/>
          <w:color w:val="auto"/>
          <w:sz w:val="24"/>
          <w:highlight w:val="none"/>
        </w:rPr>
        <w:t>所投采购包：第 包</w:t>
      </w:r>
    </w:p>
    <w:p>
      <w:pPr>
        <w:rPr>
          <w:color w:val="auto"/>
          <w:highlight w:val="none"/>
        </w:rPr>
      </w:pPr>
    </w:p>
    <w:p>
      <w:pPr>
        <w:jc w:val="center"/>
        <w:rPr>
          <w:color w:val="auto"/>
          <w:highlight w:val="none"/>
        </w:rPr>
      </w:pPr>
      <w:r>
        <w:rPr>
          <w:b/>
          <w:color w:val="auto"/>
          <w:sz w:val="24"/>
          <w:highlight w:val="none"/>
        </w:rPr>
        <w:t>（投标人名称）</w:t>
      </w:r>
    </w:p>
    <w:p>
      <w:pPr>
        <w:jc w:val="center"/>
        <w:rPr>
          <w:color w:val="auto"/>
          <w:highlight w:val="none"/>
        </w:rPr>
      </w:pPr>
      <w:r>
        <w:rPr>
          <w:b/>
          <w:color w:val="auto"/>
          <w:sz w:val="24"/>
          <w:highlight w:val="none"/>
        </w:rPr>
        <w:t>年 月 日</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rPr>
          <w:rFonts w:ascii="Times New Roman" w:hAnsi="Times New Roman" w:eastAsia="仿宋"/>
          <w:b/>
          <w:bCs/>
          <w:color w:val="auto"/>
          <w:spacing w:val="10"/>
          <w:sz w:val="24"/>
          <w:szCs w:val="24"/>
          <w:highlight w:val="none"/>
        </w:rPr>
      </w:pPr>
      <w:bookmarkStart w:id="216" w:name="_Toc24336"/>
      <w:bookmarkStart w:id="217" w:name="_Toc6448"/>
      <w:bookmarkStart w:id="218" w:name="_Toc6880"/>
      <w:bookmarkStart w:id="219" w:name="_Toc14499"/>
      <w:r>
        <w:rPr>
          <w:rFonts w:ascii="Times New Roman" w:hAnsi="Times New Roman" w:eastAsia="仿宋"/>
          <w:b/>
          <w:bCs/>
          <w:color w:val="auto"/>
          <w:spacing w:val="10"/>
          <w:sz w:val="24"/>
          <w:szCs w:val="24"/>
          <w:highlight w:val="none"/>
        </w:rPr>
        <w:br w:type="page"/>
      </w:r>
    </w:p>
    <w:p>
      <w:pPr>
        <w:pStyle w:val="24"/>
        <w:spacing w:before="312" w:beforeLines="100" w:line="440" w:lineRule="exact"/>
        <w:ind w:firstLine="0" w:firstLineChars="0"/>
        <w:jc w:val="center"/>
        <w:outlineLvl w:val="0"/>
        <w:rPr>
          <w:rFonts w:hint="eastAsia" w:ascii="Times New Roman" w:hAnsi="Times New Roman" w:eastAsia="仿宋"/>
          <w:b/>
          <w:color w:val="auto"/>
          <w:spacing w:val="12"/>
          <w:szCs w:val="24"/>
          <w:highlight w:val="none"/>
          <w:lang w:eastAsia="zh-CN"/>
        </w:rPr>
      </w:pPr>
      <w:r>
        <w:rPr>
          <w:rFonts w:ascii="Times New Roman" w:hAnsi="Times New Roman" w:eastAsia="仿宋"/>
          <w:b/>
          <w:bCs/>
          <w:color w:val="auto"/>
          <w:spacing w:val="10"/>
          <w:sz w:val="24"/>
          <w:szCs w:val="24"/>
          <w:highlight w:val="none"/>
        </w:rPr>
        <w:t>第一部分  唱标信封</w:t>
      </w:r>
      <w:bookmarkEnd w:id="216"/>
      <w:bookmarkEnd w:id="217"/>
      <w:bookmarkEnd w:id="218"/>
      <w:bookmarkEnd w:id="219"/>
      <w:r>
        <w:rPr>
          <w:rFonts w:hint="eastAsia" w:ascii="Times New Roman" w:hAnsi="Times New Roman" w:eastAsia="仿宋"/>
          <w:b/>
          <w:bCs/>
          <w:color w:val="auto"/>
          <w:spacing w:val="10"/>
          <w:sz w:val="24"/>
          <w:szCs w:val="24"/>
          <w:highlight w:val="none"/>
          <w:lang w:eastAsia="zh-CN"/>
        </w:rPr>
        <w:t>（单独密封）</w:t>
      </w:r>
    </w:p>
    <w:p>
      <w:pPr>
        <w:pStyle w:val="6"/>
        <w:tabs>
          <w:tab w:val="left" w:pos="5580"/>
        </w:tabs>
        <w:spacing w:line="440" w:lineRule="exact"/>
        <w:ind w:firstLine="528" w:firstLineChars="200"/>
        <w:jc w:val="center"/>
        <w:outlineLvl w:val="0"/>
        <w:rPr>
          <w:rStyle w:val="16"/>
          <w:rFonts w:ascii="Times New Roman" w:hAnsi="Times New Roman" w:eastAsia="仿宋"/>
          <w:b w:val="0"/>
          <w:color w:val="auto"/>
          <w:spacing w:val="12"/>
          <w:szCs w:val="24"/>
          <w:highlight w:val="none"/>
        </w:rPr>
      </w:pPr>
    </w:p>
    <w:p>
      <w:pPr>
        <w:pStyle w:val="6"/>
        <w:tabs>
          <w:tab w:val="left" w:pos="5580"/>
        </w:tabs>
        <w:spacing w:line="440" w:lineRule="exact"/>
        <w:jc w:val="both"/>
        <w:outlineLvl w:val="0"/>
        <w:rPr>
          <w:rStyle w:val="16"/>
          <w:rFonts w:ascii="Times New Roman" w:hAnsi="Times New Roman" w:eastAsia="仿宋"/>
          <w:b w:val="0"/>
          <w:color w:val="auto"/>
          <w:spacing w:val="12"/>
          <w:szCs w:val="24"/>
          <w:highlight w:val="none"/>
        </w:rPr>
      </w:pPr>
    </w:p>
    <w:p>
      <w:pPr>
        <w:spacing w:line="440" w:lineRule="exact"/>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开标一览表（报价表）</w:t>
      </w:r>
    </w:p>
    <w:p>
      <w:pPr>
        <w:pStyle w:val="8"/>
        <w:spacing w:line="400" w:lineRule="exact"/>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项目名称：</w:t>
      </w:r>
    </w:p>
    <w:p>
      <w:pPr>
        <w:spacing w:line="400" w:lineRule="exact"/>
        <w:rPr>
          <w:rFonts w:ascii="Times New Roman" w:hAnsi="Times New Roman" w:eastAsia="仿宋"/>
          <w:b/>
          <w:bCs/>
          <w:color w:val="auto"/>
          <w:szCs w:val="21"/>
          <w:highlight w:val="none"/>
        </w:rPr>
      </w:pPr>
      <w:r>
        <w:rPr>
          <w:rFonts w:ascii="Times New Roman" w:hAnsi="Times New Roman" w:eastAsia="仿宋"/>
          <w:color w:val="auto"/>
          <w:sz w:val="24"/>
          <w:highlight w:val="none"/>
        </w:rPr>
        <w:t>项目编号：</w:t>
      </w:r>
    </w:p>
    <w:tbl>
      <w:tblPr>
        <w:tblStyle w:val="14"/>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0"/>
        <w:gridCol w:w="4604"/>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570"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采购内容</w:t>
            </w: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r>
              <w:rPr>
                <w:rFonts w:ascii="Times New Roman" w:hAnsi="Times New Roman" w:eastAsia="仿宋"/>
                <w:color w:val="auto"/>
                <w:sz w:val="24"/>
                <w:highlight w:val="none"/>
              </w:rPr>
              <w:t>报价小写（元）</w:t>
            </w:r>
          </w:p>
        </w:tc>
        <w:tc>
          <w:tcPr>
            <w:tcW w:w="89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r>
              <w:rPr>
                <w:rFonts w:ascii="Times New Roman" w:hAnsi="Times New Roman"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0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项目总报价</w:t>
            </w:r>
            <w:r>
              <w:rPr>
                <w:rFonts w:hint="eastAsia" w:ascii="Times New Roman" w:hAnsi="Times New Roman" w:eastAsia="仿宋"/>
                <w:color w:val="auto"/>
                <w:sz w:val="24"/>
                <w:highlight w:val="none"/>
              </w:rPr>
              <w:t>小</w:t>
            </w:r>
            <w:r>
              <w:rPr>
                <w:rFonts w:ascii="Times New Roman" w:hAnsi="Times New Roman" w:eastAsia="仿宋"/>
                <w:color w:val="auto"/>
                <w:sz w:val="24"/>
                <w:highlight w:val="none"/>
              </w:rPr>
              <w:t>写：</w:t>
            </w:r>
          </w:p>
          <w:p>
            <w:pPr>
              <w:pStyle w:val="8"/>
              <w:rPr>
                <w:color w:val="auto"/>
                <w:highlight w:val="none"/>
              </w:rPr>
            </w:pPr>
            <w:r>
              <w:rPr>
                <w:rFonts w:ascii="Times New Roman" w:hAnsi="Times New Roman" w:eastAsia="仿宋"/>
                <w:color w:val="auto"/>
                <w:sz w:val="24"/>
                <w:szCs w:val="24"/>
                <w:highlight w:val="none"/>
              </w:rPr>
              <w:t>项目总报价</w:t>
            </w:r>
            <w:r>
              <w:rPr>
                <w:rFonts w:hint="eastAsia" w:ascii="Times New Roman" w:hAnsi="Times New Roman" w:eastAsia="仿宋"/>
                <w:color w:val="auto"/>
                <w:sz w:val="24"/>
                <w:szCs w:val="24"/>
                <w:highlight w:val="none"/>
              </w:rPr>
              <w:t>大</w:t>
            </w:r>
            <w:r>
              <w:rPr>
                <w:rFonts w:ascii="Times New Roman" w:hAnsi="Times New Roman" w:eastAsia="仿宋"/>
                <w:color w:val="auto"/>
                <w:sz w:val="24"/>
                <w:szCs w:val="24"/>
                <w:highlight w:val="none"/>
              </w:rPr>
              <w:t>写：</w:t>
            </w:r>
          </w:p>
        </w:tc>
      </w:tr>
    </w:tbl>
    <w:p>
      <w:pPr>
        <w:spacing w:line="400" w:lineRule="exact"/>
        <w:ind w:firstLine="480" w:firstLineChars="200"/>
        <w:jc w:val="left"/>
        <w:rPr>
          <w:rFonts w:ascii="Times New Roman" w:hAnsi="Times New Roman" w:eastAsia="仿宋"/>
          <w:color w:val="auto"/>
          <w:sz w:val="24"/>
          <w:highlight w:val="none"/>
        </w:rPr>
      </w:pPr>
    </w:p>
    <w:p>
      <w:pPr>
        <w:pStyle w:val="8"/>
        <w:rPr>
          <w:rFonts w:ascii="Times New Roman" w:hAnsi="Times New Roman"/>
          <w:color w:val="auto"/>
          <w:highlight w:val="none"/>
        </w:rPr>
      </w:pPr>
    </w:p>
    <w:tbl>
      <w:tblPr>
        <w:tblStyle w:val="1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 xml:space="preserve">供应商名称（加盖公章）：                         </w:t>
            </w:r>
          </w:p>
        </w:tc>
        <w:tc>
          <w:tcPr>
            <w:tcW w:w="2992" w:type="dxa"/>
          </w:tcPr>
          <w:p>
            <w:pPr>
              <w:spacing w:line="400" w:lineRule="exact"/>
              <w:ind w:firstLine="480" w:firstLineChars="200"/>
              <w:jc w:val="left"/>
              <w:rPr>
                <w:rFonts w:ascii="Times New Roman" w:hAnsi="Times New Roman" w:eastAsia="仿宋"/>
                <w:color w:val="auto"/>
                <w:sz w:val="24"/>
                <w:highlight w:val="none"/>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auto"/>
                <w:sz w:val="24"/>
                <w:highlight w:val="none"/>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日期：   年   月   日</w:t>
            </w:r>
          </w:p>
        </w:tc>
        <w:tc>
          <w:tcPr>
            <w:tcW w:w="2992" w:type="dxa"/>
          </w:tcPr>
          <w:p>
            <w:pPr>
              <w:spacing w:line="400" w:lineRule="exact"/>
              <w:ind w:firstLine="480" w:firstLineChars="200"/>
              <w:jc w:val="left"/>
              <w:rPr>
                <w:rFonts w:ascii="Times New Roman" w:hAnsi="Times New Roman" w:eastAsia="仿宋"/>
                <w:color w:val="auto"/>
                <w:sz w:val="24"/>
                <w:highlight w:val="none"/>
              </w:rPr>
            </w:pPr>
          </w:p>
        </w:tc>
      </w:tr>
    </w:tbl>
    <w:p>
      <w:pPr>
        <w:spacing w:line="360" w:lineRule="auto"/>
        <w:rPr>
          <w:rFonts w:ascii="Times New Roman" w:hAnsi="Times New Roman" w:eastAsia="仿宋"/>
          <w:b/>
          <w:bCs/>
          <w:color w:val="auto"/>
          <w:szCs w:val="21"/>
          <w:highlight w:val="none"/>
        </w:rPr>
      </w:pPr>
    </w:p>
    <w:p>
      <w:pPr>
        <w:pStyle w:val="9"/>
        <w:tabs>
          <w:tab w:val="left" w:pos="5580"/>
        </w:tabs>
        <w:spacing w:line="400" w:lineRule="exact"/>
        <w:ind w:left="540" w:leftChars="257" w:firstLine="482"/>
        <w:jc w:val="left"/>
        <w:rPr>
          <w:rFonts w:ascii="Times New Roman" w:hAnsi="Times New Roman" w:eastAsia="仿宋"/>
          <w:b/>
          <w:bCs/>
          <w:color w:val="auto"/>
          <w:sz w:val="24"/>
          <w:szCs w:val="24"/>
          <w:highlight w:val="none"/>
        </w:rPr>
      </w:pPr>
      <w:r>
        <w:rPr>
          <w:rFonts w:ascii="Times New Roman" w:hAnsi="Times New Roman" w:eastAsia="仿宋"/>
          <w:b/>
          <w:bCs/>
          <w:color w:val="auto"/>
          <w:sz w:val="24"/>
          <w:szCs w:val="24"/>
          <w:highlight w:val="none"/>
        </w:rPr>
        <w:t>注:1、此表应按供应商须知的规定装订密封。</w:t>
      </w:r>
    </w:p>
    <w:p>
      <w:pPr>
        <w:pStyle w:val="9"/>
        <w:tabs>
          <w:tab w:val="left" w:pos="5580"/>
        </w:tabs>
        <w:spacing w:line="400" w:lineRule="exact"/>
        <w:ind w:left="540" w:leftChars="257" w:firstLine="482"/>
        <w:jc w:val="left"/>
        <w:rPr>
          <w:rFonts w:ascii="Times New Roman" w:hAnsi="Times New Roman" w:eastAsia="仿宋"/>
          <w:b/>
          <w:color w:val="auto"/>
          <w:szCs w:val="21"/>
          <w:highlight w:val="none"/>
        </w:rPr>
      </w:pPr>
      <w:r>
        <w:rPr>
          <w:rFonts w:hint="eastAsia" w:ascii="Times New Roman" w:hAnsi="Times New Roman" w:eastAsia="仿宋"/>
          <w:b/>
          <w:color w:val="auto"/>
          <w:sz w:val="24"/>
          <w:szCs w:val="24"/>
          <w:highlight w:val="none"/>
        </w:rPr>
        <w:t>2</w:t>
      </w:r>
      <w:r>
        <w:rPr>
          <w:rFonts w:ascii="Times New Roman" w:hAnsi="Times New Roman" w:eastAsia="仿宋"/>
          <w:b/>
          <w:color w:val="auto"/>
          <w:sz w:val="24"/>
          <w:szCs w:val="24"/>
          <w:highlight w:val="none"/>
        </w:rPr>
        <w:t>.此表乃报价表的</w:t>
      </w:r>
      <w:r>
        <w:rPr>
          <w:rFonts w:hint="eastAsia" w:ascii="Times New Roman" w:hAnsi="Times New Roman" w:eastAsia="仿宋"/>
          <w:b/>
          <w:color w:val="auto"/>
          <w:sz w:val="24"/>
          <w:szCs w:val="24"/>
          <w:highlight w:val="none"/>
        </w:rPr>
        <w:t>总报价</w:t>
      </w:r>
      <w:r>
        <w:rPr>
          <w:rFonts w:ascii="Times New Roman" w:hAnsi="Times New Roman" w:eastAsia="仿宋"/>
          <w:b/>
          <w:color w:val="auto"/>
          <w:sz w:val="24"/>
          <w:szCs w:val="24"/>
          <w:highlight w:val="none"/>
        </w:rPr>
        <w:t>表。</w:t>
      </w:r>
    </w:p>
    <w:p>
      <w:pPr>
        <w:ind w:firstLine="480"/>
        <w:rPr>
          <w:color w:val="auto"/>
          <w:highlight w:val="none"/>
        </w:rPr>
      </w:pPr>
    </w:p>
    <w:p>
      <w:pPr>
        <w:rPr>
          <w:color w:val="auto"/>
          <w:highlight w:val="none"/>
        </w:rPr>
      </w:pPr>
      <w:r>
        <w:rPr>
          <w:color w:val="auto"/>
          <w:highlight w:val="none"/>
        </w:rPr>
        <w:t xml:space="preserve"> </w:t>
      </w:r>
    </w:p>
    <w:p>
      <w:pPr>
        <w:rPr>
          <w:color w:val="auto"/>
          <w:highlight w:val="none"/>
        </w:rPr>
      </w:pPr>
    </w:p>
    <w:p>
      <w:pPr>
        <w:pStyle w:val="2"/>
        <w:pageBreakBefore/>
        <w:spacing w:line="415" w:lineRule="auto"/>
        <w:rPr>
          <w:rFonts w:ascii="Times New Roman" w:hAnsi="Times New Roman" w:eastAsia="仿宋"/>
          <w:b w:val="0"/>
          <w:color w:val="auto"/>
          <w:sz w:val="28"/>
          <w:szCs w:val="28"/>
          <w:highlight w:val="none"/>
        </w:rPr>
      </w:pPr>
      <w:bookmarkStart w:id="220" w:name="_Toc19223"/>
      <w:bookmarkStart w:id="221" w:name="_Toc20298"/>
      <w:bookmarkStart w:id="222" w:name="_Toc31246"/>
      <w:bookmarkStart w:id="223" w:name="_Toc20003"/>
      <w:r>
        <w:rPr>
          <w:rFonts w:ascii="Times New Roman" w:hAnsi="Times New Roman" w:eastAsia="仿宋"/>
          <w:bCs/>
          <w:color w:val="auto"/>
          <w:spacing w:val="10"/>
          <w:sz w:val="28"/>
          <w:szCs w:val="28"/>
          <w:highlight w:val="none"/>
        </w:rPr>
        <w:t>第二部分  价格文件</w:t>
      </w:r>
      <w:bookmarkEnd w:id="220"/>
      <w:bookmarkEnd w:id="221"/>
      <w:bookmarkEnd w:id="222"/>
      <w:bookmarkEnd w:id="223"/>
    </w:p>
    <w:p>
      <w:pPr>
        <w:ind w:firstLine="480"/>
        <w:rPr>
          <w:color w:val="auto"/>
          <w:highlight w:val="none"/>
        </w:rPr>
      </w:pPr>
    </w:p>
    <w:p>
      <w:pPr>
        <w:spacing w:line="400" w:lineRule="exact"/>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开标一览表（报价表）</w:t>
      </w:r>
    </w:p>
    <w:p>
      <w:pPr>
        <w:rPr>
          <w:color w:val="auto"/>
          <w:highlight w:val="none"/>
        </w:rPr>
      </w:pPr>
    </w:p>
    <w:p>
      <w:pPr>
        <w:rPr>
          <w:color w:val="auto"/>
          <w:highlight w:val="none"/>
        </w:rPr>
      </w:pPr>
    </w:p>
    <w:p>
      <w:pPr>
        <w:pStyle w:val="8"/>
        <w:spacing w:line="480" w:lineRule="auto"/>
        <w:rPr>
          <w:rFonts w:ascii="Times New Roman" w:hAnsi="Times New Roman" w:eastAsia="仿宋"/>
          <w:color w:val="auto"/>
          <w:sz w:val="24"/>
          <w:szCs w:val="24"/>
          <w:highlight w:val="none"/>
        </w:rPr>
      </w:pPr>
    </w:p>
    <w:p>
      <w:pPr>
        <w:pStyle w:val="8"/>
        <w:spacing w:line="400" w:lineRule="exact"/>
        <w:rPr>
          <w:rFonts w:ascii="Times New Roman" w:hAnsi="Times New Roman" w:eastAsia="仿宋"/>
          <w:color w:val="auto"/>
          <w:sz w:val="24"/>
          <w:szCs w:val="24"/>
          <w:highlight w:val="none"/>
        </w:rPr>
      </w:pPr>
      <w:r>
        <w:rPr>
          <w:rFonts w:ascii="Times New Roman" w:hAnsi="Times New Roman" w:eastAsia="仿宋"/>
          <w:color w:val="auto"/>
          <w:sz w:val="24"/>
          <w:szCs w:val="24"/>
          <w:highlight w:val="none"/>
        </w:rPr>
        <w:t>项目名称：</w:t>
      </w:r>
    </w:p>
    <w:p>
      <w:pPr>
        <w:spacing w:line="400" w:lineRule="exact"/>
        <w:rPr>
          <w:rFonts w:ascii="Times New Roman" w:hAnsi="Times New Roman" w:eastAsia="仿宋"/>
          <w:color w:val="auto"/>
          <w:highlight w:val="none"/>
        </w:rPr>
      </w:pPr>
      <w:r>
        <w:rPr>
          <w:rFonts w:ascii="Times New Roman" w:hAnsi="Times New Roman" w:eastAsia="仿宋"/>
          <w:color w:val="auto"/>
          <w:sz w:val="24"/>
          <w:highlight w:val="none"/>
        </w:rPr>
        <w:t>项目编号：</w:t>
      </w:r>
    </w:p>
    <w:tbl>
      <w:tblPr>
        <w:tblStyle w:val="14"/>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70"/>
        <w:gridCol w:w="4604"/>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3570"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r>
              <w:rPr>
                <w:rFonts w:hint="eastAsia" w:ascii="Times New Roman" w:hAnsi="Times New Roman" w:eastAsia="仿宋"/>
                <w:color w:val="auto"/>
                <w:sz w:val="24"/>
                <w:highlight w:val="none"/>
              </w:rPr>
              <w:t>采购内容</w:t>
            </w: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r>
              <w:rPr>
                <w:rFonts w:ascii="Times New Roman" w:hAnsi="Times New Roman" w:eastAsia="仿宋"/>
                <w:color w:val="auto"/>
                <w:sz w:val="24"/>
                <w:highlight w:val="none"/>
              </w:rPr>
              <w:t>报价小写（元）</w:t>
            </w:r>
          </w:p>
        </w:tc>
        <w:tc>
          <w:tcPr>
            <w:tcW w:w="894"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r>
              <w:rPr>
                <w:rFonts w:ascii="Times New Roman" w:hAnsi="Times New Roman"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p>
        </w:tc>
        <w:tc>
          <w:tcPr>
            <w:tcW w:w="4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0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项目总报价</w:t>
            </w:r>
            <w:r>
              <w:rPr>
                <w:rFonts w:hint="eastAsia" w:ascii="Times New Roman" w:hAnsi="Times New Roman" w:eastAsia="仿宋"/>
                <w:color w:val="auto"/>
                <w:sz w:val="24"/>
                <w:highlight w:val="none"/>
              </w:rPr>
              <w:t>小</w:t>
            </w:r>
            <w:r>
              <w:rPr>
                <w:rFonts w:ascii="Times New Roman" w:hAnsi="Times New Roman" w:eastAsia="仿宋"/>
                <w:color w:val="auto"/>
                <w:sz w:val="24"/>
                <w:highlight w:val="none"/>
              </w:rPr>
              <w:t>写：</w:t>
            </w:r>
          </w:p>
          <w:p>
            <w:pPr>
              <w:pStyle w:val="8"/>
              <w:rPr>
                <w:color w:val="auto"/>
                <w:highlight w:val="none"/>
              </w:rPr>
            </w:pPr>
            <w:r>
              <w:rPr>
                <w:rFonts w:ascii="Times New Roman" w:hAnsi="Times New Roman" w:eastAsia="仿宋"/>
                <w:color w:val="auto"/>
                <w:sz w:val="24"/>
                <w:szCs w:val="24"/>
                <w:highlight w:val="none"/>
              </w:rPr>
              <w:t>项目总报价</w:t>
            </w:r>
            <w:r>
              <w:rPr>
                <w:rFonts w:hint="eastAsia" w:ascii="Times New Roman" w:hAnsi="Times New Roman" w:eastAsia="仿宋"/>
                <w:color w:val="auto"/>
                <w:sz w:val="24"/>
                <w:szCs w:val="24"/>
                <w:highlight w:val="none"/>
              </w:rPr>
              <w:t>大</w:t>
            </w:r>
            <w:r>
              <w:rPr>
                <w:rFonts w:ascii="Times New Roman" w:hAnsi="Times New Roman" w:eastAsia="仿宋"/>
                <w:color w:val="auto"/>
                <w:sz w:val="24"/>
                <w:szCs w:val="24"/>
                <w:highlight w:val="none"/>
              </w:rPr>
              <w:t>写：</w:t>
            </w:r>
          </w:p>
        </w:tc>
      </w:tr>
    </w:tbl>
    <w:p>
      <w:pPr>
        <w:spacing w:line="400" w:lineRule="exact"/>
        <w:ind w:firstLine="480" w:firstLineChars="200"/>
        <w:jc w:val="left"/>
        <w:rPr>
          <w:rFonts w:ascii="Times New Roman" w:hAnsi="Times New Roman" w:eastAsia="仿宋"/>
          <w:color w:val="auto"/>
          <w:sz w:val="24"/>
          <w:highlight w:val="none"/>
        </w:rPr>
      </w:pPr>
    </w:p>
    <w:p>
      <w:pPr>
        <w:pStyle w:val="8"/>
        <w:rPr>
          <w:rFonts w:ascii="Times New Roman" w:hAnsi="Times New Roman"/>
          <w:color w:val="auto"/>
          <w:highlight w:val="none"/>
        </w:rPr>
      </w:pPr>
    </w:p>
    <w:tbl>
      <w:tblPr>
        <w:tblStyle w:val="1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 xml:space="preserve">供应商名称（加盖公章）：                         </w:t>
            </w:r>
          </w:p>
        </w:tc>
        <w:tc>
          <w:tcPr>
            <w:tcW w:w="2992" w:type="dxa"/>
          </w:tcPr>
          <w:p>
            <w:pPr>
              <w:spacing w:line="400" w:lineRule="exact"/>
              <w:ind w:firstLine="480" w:firstLineChars="200"/>
              <w:jc w:val="left"/>
              <w:rPr>
                <w:rFonts w:ascii="Times New Roman" w:hAnsi="Times New Roman" w:eastAsia="仿宋"/>
                <w:color w:val="auto"/>
                <w:sz w:val="24"/>
                <w:highlight w:val="none"/>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auto"/>
                <w:sz w:val="24"/>
                <w:highlight w:val="none"/>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日期：   年   月   日</w:t>
            </w:r>
          </w:p>
        </w:tc>
        <w:tc>
          <w:tcPr>
            <w:tcW w:w="2992" w:type="dxa"/>
          </w:tcPr>
          <w:p>
            <w:pPr>
              <w:spacing w:line="400" w:lineRule="exact"/>
              <w:ind w:firstLine="480" w:firstLineChars="200"/>
              <w:jc w:val="left"/>
              <w:rPr>
                <w:rFonts w:ascii="Times New Roman" w:hAnsi="Times New Roman" w:eastAsia="仿宋"/>
                <w:color w:val="auto"/>
                <w:sz w:val="24"/>
                <w:highlight w:val="none"/>
              </w:rPr>
            </w:pPr>
          </w:p>
        </w:tc>
      </w:tr>
    </w:tbl>
    <w:p>
      <w:pPr>
        <w:spacing w:line="360" w:lineRule="auto"/>
        <w:rPr>
          <w:rFonts w:ascii="Times New Roman" w:hAnsi="Times New Roman" w:eastAsia="仿宋"/>
          <w:b/>
          <w:bCs/>
          <w:color w:val="auto"/>
          <w:szCs w:val="21"/>
          <w:highlight w:val="none"/>
        </w:rPr>
      </w:pPr>
    </w:p>
    <w:p>
      <w:pPr>
        <w:pStyle w:val="9"/>
        <w:tabs>
          <w:tab w:val="left" w:pos="5580"/>
        </w:tabs>
        <w:spacing w:line="400" w:lineRule="exact"/>
        <w:ind w:left="540" w:leftChars="257" w:firstLine="482"/>
        <w:jc w:val="left"/>
        <w:rPr>
          <w:rFonts w:ascii="Times New Roman" w:hAnsi="Times New Roman" w:eastAsia="仿宋"/>
          <w:b/>
          <w:bCs/>
          <w:color w:val="auto"/>
          <w:sz w:val="24"/>
          <w:szCs w:val="24"/>
          <w:highlight w:val="none"/>
        </w:rPr>
      </w:pPr>
      <w:r>
        <w:rPr>
          <w:rFonts w:ascii="Times New Roman" w:hAnsi="Times New Roman" w:eastAsia="仿宋"/>
          <w:b/>
          <w:bCs/>
          <w:color w:val="auto"/>
          <w:sz w:val="24"/>
          <w:szCs w:val="24"/>
          <w:highlight w:val="none"/>
        </w:rPr>
        <w:t>注:1、此表应按供应商须知的规定装订密封。</w:t>
      </w:r>
    </w:p>
    <w:p>
      <w:pPr>
        <w:pStyle w:val="9"/>
        <w:tabs>
          <w:tab w:val="left" w:pos="5580"/>
        </w:tabs>
        <w:spacing w:line="400" w:lineRule="exact"/>
        <w:ind w:left="540" w:leftChars="257" w:firstLine="482"/>
        <w:jc w:val="left"/>
        <w:rPr>
          <w:rFonts w:ascii="Times New Roman" w:hAnsi="Times New Roman" w:eastAsia="仿宋"/>
          <w:b/>
          <w:color w:val="auto"/>
          <w:szCs w:val="21"/>
          <w:highlight w:val="none"/>
        </w:rPr>
      </w:pPr>
      <w:r>
        <w:rPr>
          <w:rFonts w:hint="eastAsia" w:ascii="Times New Roman" w:hAnsi="Times New Roman" w:eastAsia="仿宋"/>
          <w:b/>
          <w:color w:val="auto"/>
          <w:sz w:val="24"/>
          <w:szCs w:val="24"/>
          <w:highlight w:val="none"/>
        </w:rPr>
        <w:t>2</w:t>
      </w:r>
      <w:r>
        <w:rPr>
          <w:rFonts w:ascii="Times New Roman" w:hAnsi="Times New Roman" w:eastAsia="仿宋"/>
          <w:b/>
          <w:color w:val="auto"/>
          <w:sz w:val="24"/>
          <w:szCs w:val="24"/>
          <w:highlight w:val="none"/>
        </w:rPr>
        <w:t>.此表乃报价表的</w:t>
      </w:r>
      <w:r>
        <w:rPr>
          <w:rFonts w:hint="eastAsia" w:ascii="Times New Roman" w:hAnsi="Times New Roman" w:eastAsia="仿宋"/>
          <w:b/>
          <w:color w:val="auto"/>
          <w:sz w:val="24"/>
          <w:szCs w:val="24"/>
          <w:highlight w:val="none"/>
        </w:rPr>
        <w:t>总报价</w:t>
      </w:r>
      <w:r>
        <w:rPr>
          <w:rFonts w:ascii="Times New Roman" w:hAnsi="Times New Roman" w:eastAsia="仿宋"/>
          <w:b/>
          <w:color w:val="auto"/>
          <w:sz w:val="24"/>
          <w:szCs w:val="24"/>
          <w:highlight w:val="none"/>
        </w:rPr>
        <w:t>表</w:t>
      </w:r>
    </w:p>
    <w:p>
      <w:pPr>
        <w:pStyle w:val="8"/>
        <w:rPr>
          <w:rFonts w:ascii="Times New Roman" w:hAnsi="Times New Roman" w:eastAsia="仿宋"/>
          <w:color w:val="auto"/>
          <w:highlight w:val="none"/>
        </w:rPr>
      </w:pPr>
    </w:p>
    <w:p>
      <w:pPr>
        <w:rPr>
          <w:rFonts w:ascii="Times New Roman" w:hAnsi="Times New Roman" w:eastAsia="仿宋"/>
          <w:b/>
          <w:bCs/>
          <w:color w:val="auto"/>
          <w:sz w:val="24"/>
          <w:highlight w:val="none"/>
        </w:rPr>
      </w:pPr>
      <w:r>
        <w:rPr>
          <w:rFonts w:ascii="Times New Roman" w:hAnsi="Times New Roman" w:eastAsia="仿宋"/>
          <w:b/>
          <w:bCs/>
          <w:color w:val="auto"/>
          <w:sz w:val="24"/>
          <w:highlight w:val="none"/>
        </w:rPr>
        <w:br w:type="page"/>
      </w:r>
    </w:p>
    <w:p>
      <w:pPr>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报价明细表</w:t>
      </w:r>
    </w:p>
    <w:p>
      <w:pPr>
        <w:jc w:val="center"/>
        <w:rPr>
          <w:rFonts w:ascii="Times New Roman" w:hAnsi="Times New Roman" w:eastAsia="仿宋"/>
          <w:color w:val="auto"/>
          <w:sz w:val="24"/>
          <w:highlight w:val="none"/>
        </w:rPr>
      </w:pPr>
    </w:p>
    <w:p>
      <w:pPr>
        <w:spacing w:line="400" w:lineRule="exact"/>
        <w:rPr>
          <w:rFonts w:ascii="Times New Roman" w:hAnsi="Times New Roman" w:eastAsia="仿宋"/>
          <w:color w:val="auto"/>
          <w:sz w:val="24"/>
          <w:highlight w:val="none"/>
        </w:rPr>
      </w:pPr>
      <w:r>
        <w:rPr>
          <w:rFonts w:ascii="Times New Roman" w:hAnsi="Times New Roman" w:eastAsia="仿宋"/>
          <w:color w:val="auto"/>
          <w:sz w:val="24"/>
          <w:highlight w:val="none"/>
        </w:rPr>
        <w:t xml:space="preserve">项目名称：                                                     </w:t>
      </w:r>
    </w:p>
    <w:p>
      <w:pPr>
        <w:pStyle w:val="29"/>
        <w:spacing w:line="400" w:lineRule="exact"/>
        <w:rPr>
          <w:rFonts w:ascii="Times New Roman" w:hAnsi="Times New Roman" w:eastAsia="仿宋"/>
          <w:color w:val="auto"/>
          <w:highlight w:val="none"/>
        </w:rPr>
      </w:pPr>
      <w:r>
        <w:rPr>
          <w:rFonts w:ascii="Times New Roman" w:hAnsi="Times New Roman" w:eastAsia="仿宋"/>
          <w:color w:val="auto"/>
          <w:highlight w:val="none"/>
        </w:rPr>
        <w:t>项目编号：                                     单位：元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服务名称</w:t>
            </w:r>
          </w:p>
        </w:tc>
        <w:tc>
          <w:tcPr>
            <w:tcW w:w="831" w:type="dxa"/>
          </w:tcPr>
          <w:p>
            <w:r>
              <w:t>服务范围</w:t>
            </w:r>
          </w:p>
        </w:tc>
        <w:tc>
          <w:tcPr>
            <w:tcW w:w="831" w:type="dxa"/>
          </w:tcPr>
          <w:p>
            <w:r>
              <w:t>服务要求</w:t>
            </w:r>
          </w:p>
        </w:tc>
        <w:tc>
          <w:tcPr>
            <w:tcW w:w="831" w:type="dxa"/>
          </w:tcPr>
          <w:p>
            <w:r>
              <w:t>服务期限</w:t>
            </w:r>
          </w:p>
        </w:tc>
        <w:tc>
          <w:tcPr>
            <w:tcW w:w="831" w:type="dxa"/>
          </w:tcPr>
          <w:p>
            <w:r>
              <w:t>服务标准</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rPr>
          <w:rFonts w:ascii="Times New Roman" w:hAnsi="Times New Roman" w:eastAsia="仿宋"/>
          <w:b/>
          <w:color w:val="auto"/>
          <w:sz w:val="24"/>
          <w:highlight w:val="none"/>
        </w:rPr>
      </w:pPr>
    </w:p>
    <w:p>
      <w:pPr>
        <w:spacing w:line="400" w:lineRule="exact"/>
        <w:rPr>
          <w:rFonts w:ascii="Times New Roman" w:hAnsi="Times New Roman" w:eastAsia="仿宋"/>
          <w:b/>
          <w:color w:val="auto"/>
          <w:sz w:val="24"/>
          <w:highlight w:val="none"/>
        </w:rPr>
      </w:pPr>
    </w:p>
    <w:p>
      <w:pPr>
        <w:pStyle w:val="9"/>
        <w:tabs>
          <w:tab w:val="left" w:pos="5580"/>
        </w:tabs>
        <w:spacing w:line="400" w:lineRule="exact"/>
        <w:ind w:left="540" w:leftChars="257" w:firstLine="482"/>
        <w:jc w:val="left"/>
        <w:rPr>
          <w:rFonts w:ascii="Times New Roman" w:hAnsi="Times New Roman" w:eastAsia="仿宋"/>
          <w:b/>
          <w:color w:val="auto"/>
          <w:sz w:val="24"/>
          <w:szCs w:val="24"/>
          <w:highlight w:val="none"/>
        </w:rPr>
      </w:pPr>
      <w:r>
        <w:rPr>
          <w:rFonts w:ascii="Times New Roman" w:hAnsi="Times New Roman" w:eastAsia="仿宋"/>
          <w:b/>
          <w:color w:val="auto"/>
          <w:sz w:val="24"/>
          <w:szCs w:val="24"/>
          <w:highlight w:val="none"/>
        </w:rPr>
        <w:t>注：1.此表乃报价表的明细表。</w:t>
      </w:r>
    </w:p>
    <w:p>
      <w:pPr>
        <w:pStyle w:val="9"/>
        <w:tabs>
          <w:tab w:val="left" w:pos="5580"/>
        </w:tabs>
        <w:spacing w:line="400" w:lineRule="exact"/>
        <w:ind w:left="1235" w:leftChars="523" w:hanging="137" w:hangingChars="57"/>
        <w:jc w:val="left"/>
        <w:rPr>
          <w:rFonts w:ascii="Times New Roman" w:hAnsi="Times New Roman" w:eastAsia="仿宋"/>
          <w:b/>
          <w:color w:val="auto"/>
          <w:sz w:val="24"/>
          <w:szCs w:val="24"/>
          <w:highlight w:val="none"/>
        </w:rPr>
      </w:pPr>
      <w:r>
        <w:rPr>
          <w:rFonts w:ascii="Times New Roman" w:hAnsi="Times New Roman" w:eastAsia="仿宋"/>
          <w:b/>
          <w:color w:val="auto"/>
          <w:sz w:val="24"/>
          <w:szCs w:val="24"/>
          <w:highlight w:val="none"/>
        </w:rPr>
        <w:t>2.如果单价和总价不符时，以单价为准，修正总价。</w:t>
      </w:r>
    </w:p>
    <w:p>
      <w:pPr>
        <w:pStyle w:val="8"/>
        <w:rPr>
          <w:rFonts w:ascii="Times New Roman" w:hAnsi="Times New Roman" w:eastAsia="仿宋"/>
          <w:color w:val="auto"/>
          <w:highlight w:val="none"/>
        </w:rPr>
      </w:pPr>
    </w:p>
    <w:tbl>
      <w:tblPr>
        <w:tblStyle w:val="14"/>
        <w:tblW w:w="8528" w:type="dxa"/>
        <w:tblInd w:w="0" w:type="dxa"/>
        <w:tblLayout w:type="fixed"/>
        <w:tblCellMar>
          <w:top w:w="0" w:type="dxa"/>
          <w:left w:w="108" w:type="dxa"/>
          <w:bottom w:w="0" w:type="dxa"/>
          <w:right w:w="108" w:type="dxa"/>
        </w:tblCellMar>
      </w:tblPr>
      <w:tblGrid>
        <w:gridCol w:w="5536"/>
        <w:gridCol w:w="2992"/>
      </w:tblGrid>
      <w:tr>
        <w:tblPrEx>
          <w:tblCellMar>
            <w:top w:w="0" w:type="dxa"/>
            <w:left w:w="108" w:type="dxa"/>
            <w:bottom w:w="0" w:type="dxa"/>
            <w:right w:w="108" w:type="dxa"/>
          </w:tblCellMar>
        </w:tblPrEx>
        <w:trPr>
          <w:trHeight w:val="545" w:hRule="atLeast"/>
        </w:trPr>
        <w:tc>
          <w:tcPr>
            <w:tcW w:w="5536" w:type="dxa"/>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 xml:space="preserve">供应商名称（加盖公章）：                         </w:t>
            </w:r>
          </w:p>
        </w:tc>
        <w:tc>
          <w:tcPr>
            <w:tcW w:w="2992" w:type="dxa"/>
          </w:tcPr>
          <w:p>
            <w:pPr>
              <w:spacing w:line="400" w:lineRule="exact"/>
              <w:ind w:firstLine="480" w:firstLineChars="200"/>
              <w:jc w:val="left"/>
              <w:rPr>
                <w:rFonts w:ascii="Times New Roman" w:hAnsi="Times New Roman" w:eastAsia="仿宋"/>
                <w:color w:val="auto"/>
                <w:sz w:val="24"/>
                <w:highlight w:val="none"/>
              </w:rPr>
            </w:pPr>
          </w:p>
        </w:tc>
      </w:tr>
      <w:tr>
        <w:tblPrEx>
          <w:tblCellMar>
            <w:top w:w="0" w:type="dxa"/>
            <w:left w:w="108" w:type="dxa"/>
            <w:bottom w:w="0" w:type="dxa"/>
            <w:right w:w="108" w:type="dxa"/>
          </w:tblCellMar>
        </w:tblPrEx>
        <w:trPr>
          <w:trHeight w:val="500" w:hRule="atLeast"/>
        </w:trPr>
        <w:tc>
          <w:tcPr>
            <w:tcW w:w="5536" w:type="dxa"/>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 xml:space="preserve">法定代表人或受委托人（签名或盖私章）：     </w:t>
            </w:r>
          </w:p>
        </w:tc>
        <w:tc>
          <w:tcPr>
            <w:tcW w:w="2992" w:type="dxa"/>
          </w:tcPr>
          <w:p>
            <w:pPr>
              <w:spacing w:line="400" w:lineRule="exact"/>
              <w:ind w:firstLine="480" w:firstLineChars="200"/>
              <w:jc w:val="left"/>
              <w:rPr>
                <w:rFonts w:ascii="Times New Roman" w:hAnsi="Times New Roman" w:eastAsia="仿宋"/>
                <w:color w:val="auto"/>
                <w:sz w:val="24"/>
                <w:highlight w:val="none"/>
              </w:rPr>
            </w:pPr>
          </w:p>
        </w:tc>
      </w:tr>
      <w:tr>
        <w:tblPrEx>
          <w:tblCellMar>
            <w:top w:w="0" w:type="dxa"/>
            <w:left w:w="108" w:type="dxa"/>
            <w:bottom w:w="0" w:type="dxa"/>
            <w:right w:w="108" w:type="dxa"/>
          </w:tblCellMar>
        </w:tblPrEx>
        <w:tc>
          <w:tcPr>
            <w:tcW w:w="5536" w:type="dxa"/>
          </w:tcPr>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日期：   年   月   日</w:t>
            </w:r>
          </w:p>
        </w:tc>
        <w:tc>
          <w:tcPr>
            <w:tcW w:w="2992" w:type="dxa"/>
          </w:tcPr>
          <w:p>
            <w:pPr>
              <w:spacing w:line="400" w:lineRule="exact"/>
              <w:ind w:firstLine="480" w:firstLineChars="200"/>
              <w:jc w:val="left"/>
              <w:rPr>
                <w:rFonts w:ascii="Times New Roman" w:hAnsi="Times New Roman" w:eastAsia="仿宋"/>
                <w:color w:val="auto"/>
                <w:sz w:val="24"/>
                <w:highlight w:val="none"/>
              </w:rPr>
            </w:pPr>
          </w:p>
        </w:tc>
      </w:tr>
    </w:tbl>
    <w:p>
      <w:pPr>
        <w:ind w:firstLine="480"/>
        <w:rPr>
          <w:color w:val="auto"/>
          <w:highlight w:val="none"/>
        </w:rPr>
      </w:pPr>
    </w:p>
    <w:p>
      <w:pPr>
        <w:ind w:firstLine="480"/>
        <w:rPr>
          <w:color w:val="auto"/>
          <w:highlight w:val="none"/>
        </w:rPr>
      </w:pPr>
    </w:p>
    <w:p>
      <w:pPr>
        <w:rPr>
          <w:color w:val="auto"/>
          <w:highlight w:val="none"/>
        </w:rPr>
      </w:pPr>
      <w:r>
        <w:rPr>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Times New Roman" w:hAnsi="Times New Roman" w:eastAsia="仿宋"/>
          <w:color w:val="auto"/>
          <w:sz w:val="28"/>
          <w:szCs w:val="28"/>
          <w:highlight w:val="none"/>
        </w:rPr>
      </w:pPr>
      <w:bookmarkStart w:id="224" w:name="_Toc96"/>
      <w:bookmarkStart w:id="225" w:name="_Toc19908"/>
      <w:bookmarkStart w:id="226" w:name="_Toc16755"/>
      <w:bookmarkStart w:id="227" w:name="_Toc29956"/>
      <w:r>
        <w:rPr>
          <w:rFonts w:ascii="Times New Roman" w:hAnsi="Times New Roman" w:eastAsia="仿宋"/>
          <w:color w:val="auto"/>
          <w:sz w:val="28"/>
          <w:szCs w:val="28"/>
          <w:highlight w:val="none"/>
        </w:rPr>
        <w:br w:type="page"/>
      </w:r>
    </w:p>
    <w:p>
      <w:pPr>
        <w:pStyle w:val="2"/>
        <w:tabs>
          <w:tab w:val="left" w:pos="5580"/>
        </w:tabs>
        <w:spacing w:line="415" w:lineRule="auto"/>
        <w:rPr>
          <w:rFonts w:ascii="Times New Roman" w:hAnsi="Times New Roman" w:eastAsia="仿宋"/>
          <w:b w:val="0"/>
          <w:color w:val="auto"/>
          <w:sz w:val="28"/>
          <w:szCs w:val="28"/>
          <w:highlight w:val="none"/>
        </w:rPr>
      </w:pPr>
      <w:r>
        <w:rPr>
          <w:rFonts w:ascii="Times New Roman" w:hAnsi="Times New Roman" w:eastAsia="仿宋"/>
          <w:color w:val="auto"/>
          <w:sz w:val="28"/>
          <w:szCs w:val="28"/>
          <w:highlight w:val="none"/>
        </w:rPr>
        <w:t>第三部分   商务及技术文件</w:t>
      </w:r>
      <w:bookmarkEnd w:id="224"/>
      <w:bookmarkEnd w:id="225"/>
      <w:bookmarkEnd w:id="226"/>
      <w:bookmarkEnd w:id="227"/>
    </w:p>
    <w:p>
      <w:pPr>
        <w:spacing w:line="400" w:lineRule="exact"/>
        <w:rPr>
          <w:rFonts w:ascii="Times New Roman" w:hAnsi="Times New Roman" w:eastAsia="仿宋"/>
          <w:color w:val="auto"/>
          <w:sz w:val="28"/>
          <w:szCs w:val="28"/>
          <w:highlight w:val="none"/>
        </w:rPr>
      </w:pP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1投标函</w:t>
      </w: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2索引表</w:t>
      </w: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2.1资格性审查索引表</w:t>
      </w: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2.2符合性审查索引表</w:t>
      </w: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2.3</w:t>
      </w:r>
      <w:r>
        <w:rPr>
          <w:rFonts w:hint="eastAsia" w:ascii="Times New Roman" w:hAnsi="Times New Roman" w:eastAsia="仿宋"/>
          <w:color w:val="auto"/>
          <w:sz w:val="24"/>
          <w:highlight w:val="none"/>
        </w:rPr>
        <w:t>商务条件响应表</w:t>
      </w: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2.4</w:t>
      </w:r>
      <w:r>
        <w:rPr>
          <w:rFonts w:hint="eastAsia" w:ascii="Times New Roman" w:hAnsi="Times New Roman" w:eastAsia="仿宋"/>
          <w:color w:val="auto"/>
          <w:sz w:val="24"/>
          <w:highlight w:val="none"/>
        </w:rPr>
        <w:t>技术和服务要求响应表</w:t>
      </w: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2.5</w:t>
      </w:r>
      <w:r>
        <w:rPr>
          <w:rFonts w:hint="eastAsia" w:ascii="Times New Roman" w:hAnsi="Times New Roman" w:eastAsia="仿宋"/>
          <w:color w:val="auto"/>
          <w:sz w:val="24"/>
          <w:highlight w:val="none"/>
        </w:rPr>
        <w:t>政策适用性说明</w:t>
      </w: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3资格性证明文件</w:t>
      </w: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4商务技术证明文件</w:t>
      </w:r>
    </w:p>
    <w:p>
      <w:pPr>
        <w:spacing w:line="400" w:lineRule="exact"/>
        <w:jc w:val="left"/>
        <w:rPr>
          <w:rFonts w:ascii="Times New Roman" w:hAnsi="Times New Roman" w:eastAsia="仿宋"/>
          <w:color w:val="auto"/>
          <w:sz w:val="24"/>
          <w:highlight w:val="none"/>
        </w:rPr>
      </w:pPr>
      <w:r>
        <w:rPr>
          <w:rFonts w:ascii="Times New Roman" w:hAnsi="Times New Roman" w:eastAsia="仿宋"/>
          <w:color w:val="auto"/>
          <w:sz w:val="24"/>
          <w:highlight w:val="none"/>
        </w:rPr>
        <w:t>5其他文件</w:t>
      </w:r>
    </w:p>
    <w:p>
      <w:pPr>
        <w:pStyle w:val="6"/>
        <w:spacing w:line="240" w:lineRule="atLeast"/>
        <w:ind w:firstLine="0"/>
        <w:jc w:val="center"/>
        <w:rPr>
          <w:rFonts w:ascii="Times New Roman" w:hAnsi="Times New Roman" w:eastAsia="仿宋"/>
          <w:color w:val="auto"/>
          <w:szCs w:val="24"/>
          <w:highlight w:val="none"/>
        </w:rPr>
      </w:pPr>
    </w:p>
    <w:p>
      <w:pPr>
        <w:rPr>
          <w:rFonts w:ascii="Times New Roman" w:hAnsi="Times New Roman" w:eastAsia="仿宋"/>
          <w:color w:val="auto"/>
          <w:sz w:val="28"/>
          <w:szCs w:val="28"/>
          <w:highlight w:val="none"/>
        </w:rPr>
      </w:pPr>
    </w:p>
    <w:p>
      <w:pPr>
        <w:spacing w:line="360" w:lineRule="auto"/>
        <w:rPr>
          <w:rFonts w:ascii="Times New Roman" w:hAnsi="Times New Roman" w:eastAsia="仿宋"/>
          <w:b/>
          <w:color w:val="auto"/>
          <w:szCs w:val="21"/>
          <w:highlight w:val="none"/>
        </w:rPr>
      </w:pPr>
    </w:p>
    <w:p>
      <w:pPr>
        <w:rPr>
          <w:rFonts w:ascii="Times New Roman" w:hAnsi="Times New Roman" w:eastAsia="仿宋"/>
          <w:color w:val="auto"/>
          <w:sz w:val="28"/>
          <w:szCs w:val="28"/>
          <w:highlight w:val="none"/>
        </w:rPr>
      </w:pPr>
    </w:p>
    <w:p>
      <w:pPr>
        <w:rPr>
          <w:rFonts w:ascii="Times New Roman" w:hAnsi="Times New Roman" w:eastAsia="仿宋"/>
          <w:color w:val="auto"/>
          <w:sz w:val="28"/>
          <w:szCs w:val="28"/>
          <w:highlight w:val="none"/>
        </w:rPr>
      </w:pPr>
    </w:p>
    <w:p>
      <w:pPr>
        <w:rPr>
          <w:rFonts w:ascii="Times New Roman" w:hAnsi="Times New Roman" w:eastAsia="仿宋"/>
          <w:color w:val="auto"/>
          <w:sz w:val="28"/>
          <w:szCs w:val="28"/>
          <w:highlight w:val="none"/>
        </w:rPr>
      </w:pPr>
    </w:p>
    <w:p>
      <w:pPr>
        <w:rPr>
          <w:rFonts w:ascii="Times New Roman" w:hAnsi="Times New Roman" w:eastAsia="仿宋"/>
          <w:color w:val="auto"/>
          <w:sz w:val="28"/>
          <w:szCs w:val="28"/>
          <w:highlight w:val="none"/>
        </w:rPr>
      </w:pPr>
    </w:p>
    <w:p>
      <w:pPr>
        <w:rPr>
          <w:rFonts w:ascii="Times New Roman" w:hAnsi="Times New Roman" w:eastAsia="仿宋"/>
          <w:color w:val="auto"/>
          <w:sz w:val="28"/>
          <w:szCs w:val="28"/>
          <w:highlight w:val="none"/>
        </w:rPr>
      </w:pPr>
    </w:p>
    <w:p>
      <w:pPr>
        <w:rPr>
          <w:rFonts w:ascii="Times New Roman" w:hAnsi="Times New Roman" w:eastAsia="仿宋"/>
          <w:color w:val="auto"/>
          <w:sz w:val="28"/>
          <w:szCs w:val="28"/>
          <w:highlight w:val="none"/>
        </w:rPr>
      </w:pPr>
    </w:p>
    <w:p>
      <w:pPr>
        <w:rPr>
          <w:rFonts w:ascii="Times New Roman" w:hAnsi="Times New Roman" w:eastAsia="仿宋"/>
          <w:color w:val="auto"/>
          <w:sz w:val="28"/>
          <w:szCs w:val="28"/>
          <w:highlight w:val="none"/>
        </w:rPr>
      </w:pPr>
    </w:p>
    <w:p>
      <w:pPr>
        <w:rPr>
          <w:rFonts w:ascii="Times New Roman" w:hAnsi="Times New Roman" w:eastAsia="仿宋"/>
          <w:color w:val="auto"/>
          <w:sz w:val="28"/>
          <w:szCs w:val="28"/>
          <w:highlight w:val="none"/>
        </w:rPr>
      </w:pPr>
    </w:p>
    <w:p>
      <w:pPr>
        <w:pStyle w:val="8"/>
        <w:rPr>
          <w:rFonts w:ascii="Times New Roman" w:hAnsi="Times New Roman" w:eastAsia="仿宋"/>
          <w:color w:val="auto"/>
          <w:sz w:val="28"/>
          <w:szCs w:val="28"/>
          <w:highlight w:val="none"/>
        </w:rPr>
      </w:pPr>
    </w:p>
    <w:p>
      <w:pPr>
        <w:pStyle w:val="8"/>
        <w:rPr>
          <w:rFonts w:ascii="Times New Roman" w:hAnsi="Times New Roman" w:eastAsia="仿宋"/>
          <w:color w:val="auto"/>
          <w:sz w:val="28"/>
          <w:szCs w:val="28"/>
          <w:highlight w:val="none"/>
        </w:rPr>
      </w:pPr>
    </w:p>
    <w:p>
      <w:pPr>
        <w:rPr>
          <w:rStyle w:val="16"/>
          <w:rFonts w:ascii="Times New Roman" w:hAnsi="Times New Roman" w:eastAsia="仿宋"/>
          <w:b/>
          <w:color w:val="auto"/>
          <w:spacing w:val="12"/>
          <w:sz w:val="21"/>
          <w:szCs w:val="21"/>
          <w:highlight w:val="none"/>
        </w:rPr>
      </w:pPr>
      <w:bookmarkStart w:id="228" w:name="_Toc7548"/>
      <w:bookmarkStart w:id="229" w:name="_Toc22291"/>
      <w:bookmarkStart w:id="230" w:name="_Toc17227"/>
      <w:bookmarkStart w:id="231" w:name="_Toc25345"/>
      <w:r>
        <w:rPr>
          <w:rStyle w:val="16"/>
          <w:rFonts w:ascii="Times New Roman" w:hAnsi="Times New Roman" w:eastAsia="仿宋"/>
          <w:b/>
          <w:color w:val="auto"/>
          <w:spacing w:val="12"/>
          <w:sz w:val="21"/>
          <w:szCs w:val="21"/>
          <w:highlight w:val="none"/>
        </w:rPr>
        <w:br w:type="page"/>
      </w:r>
    </w:p>
    <w:p>
      <w:pPr>
        <w:pStyle w:val="2"/>
        <w:keepNext w:val="0"/>
        <w:keepLines w:val="0"/>
        <w:spacing w:line="415" w:lineRule="auto"/>
        <w:jc w:val="left"/>
        <w:rPr>
          <w:rStyle w:val="16"/>
          <w:rFonts w:ascii="Times New Roman" w:hAnsi="Times New Roman" w:eastAsia="仿宋"/>
          <w:b/>
          <w:color w:val="auto"/>
          <w:spacing w:val="12"/>
          <w:sz w:val="21"/>
          <w:szCs w:val="21"/>
          <w:highlight w:val="none"/>
        </w:rPr>
      </w:pPr>
      <w:r>
        <w:rPr>
          <w:rStyle w:val="16"/>
          <w:rFonts w:ascii="Times New Roman" w:hAnsi="Times New Roman" w:eastAsia="仿宋"/>
          <w:b/>
          <w:color w:val="auto"/>
          <w:spacing w:val="12"/>
          <w:sz w:val="21"/>
          <w:szCs w:val="21"/>
          <w:highlight w:val="none"/>
        </w:rPr>
        <w:t>1  投标函</w:t>
      </w:r>
      <w:bookmarkEnd w:id="228"/>
      <w:bookmarkEnd w:id="229"/>
      <w:bookmarkEnd w:id="230"/>
      <w:bookmarkEnd w:id="231"/>
    </w:p>
    <w:p>
      <w:pPr>
        <w:spacing w:before="156" w:after="156" w:line="400" w:lineRule="exact"/>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投标函</w:t>
      </w:r>
    </w:p>
    <w:p>
      <w:pPr>
        <w:spacing w:before="156" w:after="156" w:line="400" w:lineRule="exact"/>
        <w:rPr>
          <w:rFonts w:ascii="Times New Roman" w:hAnsi="Times New Roman" w:eastAsia="仿宋"/>
          <w:color w:val="auto"/>
          <w:sz w:val="24"/>
          <w:highlight w:val="none"/>
        </w:rPr>
      </w:pPr>
      <w:r>
        <w:rPr>
          <w:rFonts w:ascii="Times New Roman" w:hAnsi="Times New Roman" w:eastAsia="仿宋"/>
          <w:color w:val="auto"/>
          <w:sz w:val="24"/>
          <w:highlight w:val="none"/>
        </w:rPr>
        <w:t>致：东莞市万江招投标服务所</w:t>
      </w:r>
    </w:p>
    <w:p>
      <w:pPr>
        <w:ind w:firstLine="480"/>
        <w:rPr>
          <w:color w:val="auto"/>
          <w:highlight w:val="none"/>
        </w:rPr>
      </w:pPr>
      <w:r>
        <w:rPr>
          <w:color w:val="auto"/>
          <w:highlight w:val="none"/>
        </w:rPr>
        <w:t>致：</w:t>
      </w:r>
      <w:r>
        <w:rPr>
          <w:color w:val="auto"/>
          <w:highlight w:val="none"/>
          <w:u w:val="single"/>
        </w:rPr>
        <w:t>东莞市万江招投标服务所</w:t>
      </w:r>
    </w:p>
    <w:p>
      <w:pPr>
        <w:ind w:firstLine="480"/>
        <w:rPr>
          <w:color w:val="auto"/>
          <w:highlight w:val="none"/>
        </w:rPr>
      </w:pPr>
      <w:r>
        <w:rPr>
          <w:color w:val="auto"/>
          <w:highlight w:val="none"/>
        </w:rPr>
        <w:t>你方组织的</w:t>
      </w:r>
      <w:r>
        <w:rPr>
          <w:rFonts w:hint="eastAsia"/>
          <w:color w:val="auto"/>
          <w:highlight w:val="none"/>
          <w:u w:val="single"/>
        </w:rPr>
        <w:t xml:space="preserve">                          </w:t>
      </w:r>
      <w:r>
        <w:rPr>
          <w:color w:val="auto"/>
          <w:highlight w:val="none"/>
        </w:rPr>
        <w:t>目的招标[采购项目编号为：</w:t>
      </w:r>
      <w:r>
        <w:rPr>
          <w:rFonts w:hint="eastAsia"/>
          <w:color w:val="auto"/>
          <w:highlight w:val="none"/>
          <w:u w:val="single"/>
        </w:rPr>
        <w:t xml:space="preserve">                 </w:t>
      </w:r>
      <w:r>
        <w:rPr>
          <w:color w:val="auto"/>
          <w:highlight w:val="none"/>
        </w:rPr>
        <w:t>]，我方愿参与投标。</w:t>
      </w:r>
    </w:p>
    <w:p>
      <w:pPr>
        <w:ind w:firstLine="480"/>
        <w:rPr>
          <w:color w:val="auto"/>
          <w:highlight w:val="none"/>
        </w:rPr>
      </w:pPr>
      <w:r>
        <w:rPr>
          <w:color w:val="auto"/>
          <w:highlight w:val="none"/>
        </w:rPr>
        <w:t>我方确认收到贵方提供的</w:t>
      </w:r>
      <w:r>
        <w:rPr>
          <w:rFonts w:hint="eastAsia"/>
          <w:color w:val="auto"/>
          <w:highlight w:val="none"/>
          <w:u w:val="single"/>
        </w:rPr>
        <w:t xml:space="preserve">                                      </w:t>
      </w:r>
      <w:r>
        <w:rPr>
          <w:color w:val="auto"/>
          <w:highlight w:val="none"/>
        </w:rPr>
        <w:t>项目的招标文件的全部内容。</w:t>
      </w:r>
    </w:p>
    <w:p>
      <w:pPr>
        <w:ind w:firstLine="480"/>
        <w:rPr>
          <w:color w:val="auto"/>
          <w:highlight w:val="none"/>
        </w:rPr>
      </w:pPr>
      <w:r>
        <w:rPr>
          <w:color w:val="auto"/>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rPr>
          <w:color w:val="auto"/>
          <w:highlight w:val="none"/>
        </w:rPr>
      </w:pPr>
      <w:r>
        <w:rPr>
          <w:color w:val="auto"/>
          <w:highlight w:val="none"/>
          <w:u w:val="single"/>
        </w:rPr>
        <w:t>(投标人名称)</w:t>
      </w:r>
      <w:r>
        <w:rPr>
          <w:color w:val="auto"/>
          <w:highlight w:val="none"/>
        </w:rPr>
        <w:t>作为投标人正式授权</w:t>
      </w:r>
      <w:r>
        <w:rPr>
          <w:color w:val="auto"/>
          <w:highlight w:val="none"/>
          <w:u w:val="single"/>
        </w:rPr>
        <w:t>(授权代表全名,职务)</w:t>
      </w:r>
      <w:r>
        <w:rPr>
          <w:color w:val="auto"/>
          <w:highlight w:val="none"/>
        </w:rPr>
        <w:t>代表我方全权处理有关本投标的一切事宜。</w:t>
      </w:r>
    </w:p>
    <w:p>
      <w:pPr>
        <w:ind w:firstLine="480"/>
        <w:rPr>
          <w:color w:val="auto"/>
          <w:highlight w:val="none"/>
        </w:rPr>
      </w:pPr>
      <w:r>
        <w:rPr>
          <w:color w:val="auto"/>
          <w:highlight w:val="none"/>
        </w:rPr>
        <w:t>我方已完全明白招标文件的所有条款要求，并申明如下：</w:t>
      </w:r>
    </w:p>
    <w:p>
      <w:pPr>
        <w:ind w:firstLine="480"/>
        <w:rPr>
          <w:color w:val="auto"/>
          <w:highlight w:val="none"/>
        </w:rPr>
      </w:pPr>
      <w:r>
        <w:rPr>
          <w:color w:val="auto"/>
          <w:highlight w:val="none"/>
        </w:rPr>
        <w:t>（一）按招标文件提供的全部货物与相关服务的投标总价详见《开标一览表》。</w:t>
      </w:r>
    </w:p>
    <w:p>
      <w:pPr>
        <w:ind w:firstLine="480"/>
        <w:rPr>
          <w:color w:val="auto"/>
          <w:highlight w:val="none"/>
        </w:rPr>
      </w:pPr>
      <w:r>
        <w:rPr>
          <w:color w:val="auto"/>
          <w:highlight w:val="none"/>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rPr>
          <w:color w:val="auto"/>
          <w:highlight w:val="none"/>
        </w:rPr>
      </w:pPr>
      <w:r>
        <w:rPr>
          <w:color w:val="auto"/>
          <w:highlight w:val="none"/>
        </w:rPr>
        <w:t>（三）我方明白并同意，在规定的开标日之后，投标有效期之内撤回投标或中标后不按规定与采购人签订合同或不提交履约保证金, 则贵方将不予退还投标保证金。</w:t>
      </w:r>
    </w:p>
    <w:p>
      <w:pPr>
        <w:ind w:firstLine="480"/>
        <w:rPr>
          <w:color w:val="auto"/>
          <w:highlight w:val="none"/>
        </w:rPr>
      </w:pPr>
      <w:r>
        <w:rPr>
          <w:color w:val="auto"/>
          <w:highlight w:val="none"/>
        </w:rPr>
        <w:t>（四）我方愿意向贵方提供任何与本项报价有关的数据、情况和技术资料。若贵方需要，我方愿意提供我方作出的一切承诺的证明材料。</w:t>
      </w:r>
    </w:p>
    <w:p>
      <w:pPr>
        <w:ind w:firstLine="480"/>
        <w:rPr>
          <w:color w:val="auto"/>
          <w:highlight w:val="none"/>
        </w:rPr>
      </w:pPr>
      <w:r>
        <w:rPr>
          <w:color w:val="auto"/>
          <w:highlight w:val="none"/>
        </w:rPr>
        <w:t>（五）我方理解贵方不一定接受最低投标价或任何贵方可能收到的投标。</w:t>
      </w:r>
    </w:p>
    <w:p>
      <w:pPr>
        <w:ind w:firstLine="480"/>
        <w:rPr>
          <w:color w:val="auto"/>
          <w:highlight w:val="none"/>
        </w:rPr>
      </w:pPr>
      <w:r>
        <w:rPr>
          <w:color w:val="auto"/>
          <w:highlight w:val="none"/>
        </w:rPr>
        <w:t>（六）我方如果中标，将保证履行招标文件及其澄清、修改文件（如果有）中的全部责任和义务，按质、按量、按期完成《采购需求》及《合同书》中的全部任务。</w:t>
      </w:r>
    </w:p>
    <w:p>
      <w:pPr>
        <w:ind w:firstLine="480"/>
        <w:rPr>
          <w:color w:val="auto"/>
          <w:highlight w:val="none"/>
        </w:rPr>
      </w:pPr>
      <w:r>
        <w:rPr>
          <w:color w:val="auto"/>
          <w:highlight w:val="none"/>
        </w:rPr>
        <w:t>（七）我方作为法律、财务和运作上独立于采购人、采购代理机构的投标人，在此保证所提交的所有文件和全部说明是真实的和正确的。</w:t>
      </w:r>
    </w:p>
    <w:p>
      <w:pPr>
        <w:ind w:firstLine="480"/>
        <w:rPr>
          <w:color w:val="auto"/>
          <w:highlight w:val="none"/>
        </w:rPr>
      </w:pPr>
      <w:r>
        <w:rPr>
          <w:color w:val="auto"/>
          <w:highlight w:val="none"/>
        </w:rPr>
        <w:t>（八）我方投标报价已包含应向知识产权所有权人支付的所有相关税费，并保证采购人在中国使用我方提供的货物时，如有第三方提出侵犯其知识产权主张的，责任由我方承担。</w:t>
      </w:r>
    </w:p>
    <w:p>
      <w:pPr>
        <w:ind w:firstLine="480"/>
        <w:rPr>
          <w:color w:val="auto"/>
          <w:highlight w:val="none"/>
        </w:rPr>
      </w:pPr>
      <w:r>
        <w:rPr>
          <w:color w:val="auto"/>
          <w:highlight w:val="none"/>
        </w:rPr>
        <w:t>（九）我方接受采购人委托向贵方支付代理服务费，项目总报价已包含代理服务费，如果被确定为中标供应商，承诺向贵方足额支付。（若采购人支付代理服务费，则此条不适用）</w:t>
      </w:r>
    </w:p>
    <w:p>
      <w:pPr>
        <w:ind w:firstLine="480"/>
        <w:rPr>
          <w:color w:val="auto"/>
          <w:highlight w:val="none"/>
        </w:rPr>
      </w:pPr>
      <w:r>
        <w:rPr>
          <w:color w:val="auto"/>
          <w:highlight w:val="none"/>
        </w:rPr>
        <w:t>（十）我方与其他投标人不存在单位负责人为同一人或者存在直接控股、管理关系。</w:t>
      </w:r>
    </w:p>
    <w:p>
      <w:pPr>
        <w:ind w:firstLine="480"/>
        <w:rPr>
          <w:color w:val="auto"/>
          <w:highlight w:val="none"/>
        </w:rPr>
      </w:pPr>
      <w:r>
        <w:rPr>
          <w:color w:val="auto"/>
          <w:highlight w:val="none"/>
        </w:rPr>
        <w:t>（十一）我方承诺未为本项目提供整体设计、规范编制或者项目管理、监理、检测等服务。</w:t>
      </w:r>
    </w:p>
    <w:p>
      <w:pPr>
        <w:ind w:firstLine="480"/>
        <w:rPr>
          <w:color w:val="auto"/>
          <w:highlight w:val="none"/>
        </w:rPr>
      </w:pPr>
      <w:r>
        <w:rPr>
          <w:color w:val="auto"/>
          <w:highlight w:val="none"/>
        </w:rPr>
        <w:t>（十二）我方未被列入法院失信被执行人名单中。</w:t>
      </w:r>
    </w:p>
    <w:p>
      <w:pPr>
        <w:ind w:firstLine="480"/>
        <w:rPr>
          <w:color w:val="auto"/>
          <w:highlight w:val="none"/>
        </w:rPr>
      </w:pPr>
      <w:r>
        <w:rPr>
          <w:color w:val="auto"/>
          <w:highlight w:val="none"/>
        </w:rPr>
        <w:t>（十三）我方具备《中华人民共和国政府采购法》第二十二条规定的条件，承诺如下：</w:t>
      </w:r>
    </w:p>
    <w:p>
      <w:pPr>
        <w:ind w:firstLine="480"/>
        <w:rPr>
          <w:color w:val="auto"/>
          <w:highlight w:val="none"/>
        </w:rPr>
      </w:pPr>
      <w:r>
        <w:rPr>
          <w:color w:val="auto"/>
          <w:highlight w:val="none"/>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rPr>
          <w:color w:val="auto"/>
          <w:highlight w:val="none"/>
        </w:rPr>
      </w:pPr>
      <w:r>
        <w:rPr>
          <w:color w:val="auto"/>
          <w:highlight w:val="none"/>
        </w:rPr>
        <w:t>（2）我方符合法律、行政法规规定的其他条件。</w:t>
      </w:r>
    </w:p>
    <w:p>
      <w:pPr>
        <w:ind w:firstLine="480"/>
        <w:rPr>
          <w:color w:val="auto"/>
          <w:highlight w:val="none"/>
        </w:rPr>
      </w:pPr>
      <w:r>
        <w:rPr>
          <w:color w:val="auto"/>
          <w:highlight w:val="none"/>
        </w:rPr>
        <w:t>以上内容如有虚假或与事实不符的，评标委员会可将我方做无效投标处理，我方愿意承担相应的法律责任。</w:t>
      </w:r>
    </w:p>
    <w:p>
      <w:pPr>
        <w:ind w:firstLine="480"/>
        <w:rPr>
          <w:color w:val="auto"/>
          <w:highlight w:val="none"/>
        </w:rPr>
      </w:pPr>
      <w:r>
        <w:rPr>
          <w:color w:val="auto"/>
          <w:highlight w:val="none"/>
        </w:rPr>
        <w:t>（十四）我方对在本函及投标文件中所作的所有承诺承担法律责任。</w:t>
      </w:r>
    </w:p>
    <w:p>
      <w:pPr>
        <w:ind w:firstLine="480"/>
        <w:rPr>
          <w:color w:val="auto"/>
          <w:highlight w:val="none"/>
        </w:rPr>
      </w:pPr>
      <w:r>
        <w:rPr>
          <w:color w:val="auto"/>
          <w:highlight w:val="none"/>
        </w:rPr>
        <w:t>（十五）所有与本招标有关的函件请发往下列地址：</w:t>
      </w:r>
    </w:p>
    <w:p>
      <w:pPr>
        <w:ind w:firstLine="480"/>
        <w:rPr>
          <w:color w:val="auto"/>
          <w:highlight w:val="none"/>
        </w:rPr>
      </w:pPr>
      <w:r>
        <w:rPr>
          <w:color w:val="auto"/>
          <w:highlight w:val="none"/>
        </w:rPr>
        <w:t>地 址：__________________邮政编码：__________________</w:t>
      </w:r>
    </w:p>
    <w:p>
      <w:pPr>
        <w:ind w:firstLine="480"/>
        <w:rPr>
          <w:color w:val="auto"/>
          <w:highlight w:val="none"/>
        </w:rPr>
      </w:pPr>
      <w:r>
        <w:rPr>
          <w:color w:val="auto"/>
          <w:highlight w:val="none"/>
        </w:rPr>
        <w:t>电 话：__________________</w:t>
      </w:r>
    </w:p>
    <w:p>
      <w:pPr>
        <w:ind w:firstLine="480"/>
        <w:rPr>
          <w:color w:val="auto"/>
          <w:highlight w:val="none"/>
        </w:rPr>
      </w:pPr>
      <w:r>
        <w:rPr>
          <w:color w:val="auto"/>
          <w:highlight w:val="none"/>
        </w:rPr>
        <w:t>传 真：__________________</w:t>
      </w:r>
    </w:p>
    <w:p>
      <w:pPr>
        <w:ind w:firstLine="480"/>
        <w:rPr>
          <w:color w:val="auto"/>
          <w:highlight w:val="none"/>
        </w:rPr>
      </w:pPr>
      <w:r>
        <w:rPr>
          <w:color w:val="auto"/>
          <w:highlight w:val="none"/>
        </w:rPr>
        <w:t>代表姓名：__________________职 务：__________________</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rPr>
          <w:color w:val="auto"/>
          <w:highlight w:val="none"/>
        </w:rPr>
      </w:pPr>
      <w:r>
        <w:rPr>
          <w:color w:val="auto"/>
          <w:highlight w:val="none"/>
        </w:rPr>
        <w:t>投标人法定代表人（或法定代表人授权代表）签字或盖章：__________________</w:t>
      </w:r>
    </w:p>
    <w:p>
      <w:pPr>
        <w:rPr>
          <w:color w:val="auto"/>
          <w:highlight w:val="none"/>
        </w:rPr>
      </w:pPr>
      <w:r>
        <w:rPr>
          <w:color w:val="auto"/>
          <w:highlight w:val="none"/>
        </w:rPr>
        <w:t>投标人名称（盖章）：__________________</w:t>
      </w:r>
    </w:p>
    <w:p>
      <w:pPr>
        <w:rPr>
          <w:color w:val="auto"/>
          <w:highlight w:val="none"/>
        </w:rPr>
      </w:pPr>
      <w:r>
        <w:rPr>
          <w:color w:val="auto"/>
          <w:highlight w:val="none"/>
        </w:rPr>
        <w:t>日期： 年 月 日</w:t>
      </w: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u w:val="single"/>
        </w:rPr>
      </w:pPr>
      <w:r>
        <w:rPr>
          <w:rFonts w:ascii="Times New Roman" w:hAnsi="Times New Roman" w:eastAsia="仿宋"/>
          <w:b/>
          <w:color w:val="auto"/>
          <w:sz w:val="24"/>
          <w:highlight w:val="none"/>
          <w:u w:val="single"/>
        </w:rPr>
        <w:t>注：供应商不得修改本投标函的任何内容，否则后果自负。</w:t>
      </w: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r>
        <w:rPr>
          <w:rFonts w:ascii="Times New Roman" w:hAnsi="Times New Roman" w:eastAsia="仿宋"/>
          <w:b/>
          <w:color w:val="auto"/>
          <w:sz w:val="24"/>
          <w:highlight w:val="none"/>
        </w:rPr>
        <w:t>2索引表</w:t>
      </w: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r>
        <w:rPr>
          <w:rFonts w:ascii="Times New Roman" w:hAnsi="Times New Roman" w:eastAsia="仿宋"/>
          <w:b/>
          <w:color w:val="auto"/>
          <w:sz w:val="24"/>
          <w:highlight w:val="none"/>
        </w:rPr>
        <w:t>温馨提示：供应商封装投标文件前，请根据此索引表再检查一遍，以确保投标文件完整无误！</w:t>
      </w:r>
    </w:p>
    <w:p>
      <w:pPr>
        <w:rPr>
          <w:rFonts w:ascii="Times New Roman" w:hAnsi="Times New Roman" w:eastAsia="仿宋"/>
          <w:b/>
          <w:color w:val="auto"/>
          <w:sz w:val="24"/>
          <w:highlight w:val="none"/>
        </w:rPr>
      </w:pPr>
      <w:r>
        <w:rPr>
          <w:rFonts w:ascii="Times New Roman" w:hAnsi="Times New Roman" w:eastAsia="仿宋"/>
          <w:b/>
          <w:color w:val="auto"/>
          <w:sz w:val="24"/>
          <w:highlight w:val="none"/>
        </w:rPr>
        <w:br w:type="page"/>
      </w:r>
      <w:r>
        <w:rPr>
          <w:rFonts w:ascii="Times New Roman" w:hAnsi="Times New Roman" w:eastAsia="仿宋"/>
          <w:b/>
          <w:color w:val="auto"/>
          <w:sz w:val="24"/>
          <w:highlight w:val="none"/>
        </w:rPr>
        <w:t>2.1资格性审查索引表</w:t>
      </w:r>
    </w:p>
    <w:p>
      <w:pPr>
        <w:jc w:val="center"/>
        <w:rPr>
          <w:rFonts w:ascii="Times New Roman" w:hAnsi="Times New Roman" w:eastAsia="仿宋"/>
          <w:color w:val="auto"/>
          <w:sz w:val="24"/>
          <w:highlight w:val="none"/>
        </w:rPr>
      </w:pPr>
      <w:r>
        <w:rPr>
          <w:rFonts w:ascii="Times New Roman" w:hAnsi="Times New Roman" w:eastAsia="仿宋"/>
          <w:b/>
          <w:bCs/>
          <w:color w:val="auto"/>
          <w:sz w:val="24"/>
          <w:highlight w:val="none"/>
        </w:rPr>
        <w:t>资格性审查索引表</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2"/>
        <w:gridCol w:w="4832"/>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573" w:type="pct"/>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序号</w:t>
            </w:r>
          </w:p>
        </w:tc>
        <w:tc>
          <w:tcPr>
            <w:tcW w:w="2905" w:type="pct"/>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招标文件要求</w:t>
            </w:r>
          </w:p>
        </w:tc>
        <w:tc>
          <w:tcPr>
            <w:tcW w:w="1521" w:type="pct"/>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573"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1</w:t>
            </w:r>
          </w:p>
        </w:tc>
        <w:tc>
          <w:tcPr>
            <w:tcW w:w="2905" w:type="pct"/>
            <w:vAlign w:val="center"/>
          </w:tcPr>
          <w:p>
            <w:pPr>
              <w:rPr>
                <w:rFonts w:ascii="Times New Roman" w:hAnsi="Times New Roman" w:eastAsia="仿宋"/>
                <w:color w:val="auto"/>
                <w:szCs w:val="21"/>
                <w:highlight w:val="none"/>
              </w:rPr>
            </w:pPr>
            <w:r>
              <w:rPr>
                <w:rFonts w:ascii="Times New Roman" w:hAnsi="Times New Roman" w:eastAsia="仿宋"/>
                <w:color w:val="auto"/>
                <w:szCs w:val="21"/>
                <w:highlight w:val="none"/>
              </w:rPr>
              <w:t>具有独立承担民事责任的能力；</w:t>
            </w:r>
          </w:p>
        </w:tc>
        <w:tc>
          <w:tcPr>
            <w:tcW w:w="1521"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573"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2</w:t>
            </w:r>
          </w:p>
        </w:tc>
        <w:tc>
          <w:tcPr>
            <w:tcW w:w="2905" w:type="pct"/>
            <w:vAlign w:val="center"/>
          </w:tcPr>
          <w:p>
            <w:pPr>
              <w:rPr>
                <w:rFonts w:ascii="Times New Roman" w:hAnsi="Times New Roman" w:eastAsia="仿宋"/>
                <w:color w:val="auto"/>
                <w:szCs w:val="21"/>
                <w:highlight w:val="none"/>
              </w:rPr>
            </w:pPr>
            <w:r>
              <w:rPr>
                <w:rFonts w:ascii="Times New Roman" w:hAnsi="Times New Roman" w:eastAsia="仿宋"/>
                <w:color w:val="auto"/>
                <w:szCs w:val="21"/>
                <w:highlight w:val="none"/>
              </w:rPr>
              <w:t>具有良好的商业信誉和健全的财务会计制度；</w:t>
            </w:r>
          </w:p>
        </w:tc>
        <w:tc>
          <w:tcPr>
            <w:tcW w:w="1521"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73"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3</w:t>
            </w:r>
          </w:p>
        </w:tc>
        <w:tc>
          <w:tcPr>
            <w:tcW w:w="2905" w:type="pct"/>
            <w:vAlign w:val="center"/>
          </w:tcPr>
          <w:p>
            <w:pPr>
              <w:rPr>
                <w:rFonts w:ascii="Times New Roman" w:hAnsi="Times New Roman" w:eastAsia="仿宋"/>
                <w:color w:val="auto"/>
                <w:szCs w:val="21"/>
                <w:highlight w:val="none"/>
              </w:rPr>
            </w:pPr>
            <w:r>
              <w:rPr>
                <w:rFonts w:ascii="Times New Roman" w:hAnsi="Times New Roman" w:eastAsia="仿宋"/>
                <w:color w:val="auto"/>
                <w:szCs w:val="21"/>
                <w:highlight w:val="none"/>
              </w:rPr>
              <w:t>具有履行合同所必需的设备和专业技术能力；</w:t>
            </w:r>
          </w:p>
        </w:tc>
        <w:tc>
          <w:tcPr>
            <w:tcW w:w="1521"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573"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4</w:t>
            </w:r>
          </w:p>
        </w:tc>
        <w:tc>
          <w:tcPr>
            <w:tcW w:w="2905" w:type="pct"/>
            <w:vAlign w:val="center"/>
          </w:tcPr>
          <w:p>
            <w:pPr>
              <w:rPr>
                <w:rFonts w:ascii="Times New Roman" w:hAnsi="Times New Roman" w:eastAsia="仿宋"/>
                <w:color w:val="auto"/>
                <w:szCs w:val="21"/>
                <w:highlight w:val="none"/>
              </w:rPr>
            </w:pPr>
            <w:r>
              <w:rPr>
                <w:rFonts w:ascii="Times New Roman" w:hAnsi="Times New Roman" w:eastAsia="仿宋"/>
                <w:color w:val="auto"/>
                <w:szCs w:val="21"/>
                <w:highlight w:val="none"/>
              </w:rPr>
              <w:t>有依法缴纳税收的良好记录；</w:t>
            </w:r>
          </w:p>
        </w:tc>
        <w:tc>
          <w:tcPr>
            <w:tcW w:w="1521"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573"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5</w:t>
            </w:r>
          </w:p>
        </w:tc>
        <w:tc>
          <w:tcPr>
            <w:tcW w:w="2905" w:type="pct"/>
            <w:vAlign w:val="center"/>
          </w:tcPr>
          <w:p>
            <w:pPr>
              <w:rPr>
                <w:rFonts w:ascii="Times New Roman" w:hAnsi="Times New Roman" w:eastAsia="仿宋"/>
                <w:color w:val="auto"/>
                <w:szCs w:val="21"/>
                <w:highlight w:val="none"/>
              </w:rPr>
            </w:pPr>
            <w:r>
              <w:rPr>
                <w:rFonts w:ascii="Times New Roman" w:hAnsi="Times New Roman" w:eastAsia="仿宋"/>
                <w:color w:val="auto"/>
                <w:szCs w:val="21"/>
                <w:highlight w:val="none"/>
              </w:rPr>
              <w:t>有依法缴纳社会保障资金的良好记录；</w:t>
            </w:r>
          </w:p>
        </w:tc>
        <w:tc>
          <w:tcPr>
            <w:tcW w:w="1521"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573"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6</w:t>
            </w:r>
          </w:p>
        </w:tc>
        <w:tc>
          <w:tcPr>
            <w:tcW w:w="2905" w:type="pct"/>
            <w:vAlign w:val="center"/>
          </w:tcPr>
          <w:p>
            <w:pPr>
              <w:rPr>
                <w:rFonts w:ascii="Times New Roman" w:hAnsi="Times New Roman" w:eastAsia="仿宋"/>
                <w:color w:val="auto"/>
                <w:szCs w:val="21"/>
                <w:highlight w:val="none"/>
              </w:rPr>
            </w:pPr>
            <w:r>
              <w:rPr>
                <w:rFonts w:ascii="Times New Roman" w:hAnsi="Times New Roman" w:eastAsia="仿宋"/>
                <w:color w:val="auto"/>
                <w:szCs w:val="21"/>
                <w:highlight w:val="none"/>
              </w:rPr>
              <w:t xml:space="preserve">参加政府采购活动前三年内，在经营活动中没有重大违法记录； </w:t>
            </w:r>
          </w:p>
        </w:tc>
        <w:tc>
          <w:tcPr>
            <w:tcW w:w="1521"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573"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7</w:t>
            </w:r>
          </w:p>
        </w:tc>
        <w:tc>
          <w:tcPr>
            <w:tcW w:w="2905" w:type="pct"/>
            <w:vAlign w:val="center"/>
          </w:tcPr>
          <w:p>
            <w:pPr>
              <w:rPr>
                <w:rFonts w:ascii="Times New Roman" w:hAnsi="Times New Roman" w:eastAsia="仿宋"/>
                <w:color w:val="auto"/>
                <w:szCs w:val="21"/>
                <w:highlight w:val="none"/>
              </w:rPr>
            </w:pPr>
            <w:r>
              <w:rPr>
                <w:rFonts w:ascii="Times New Roman" w:hAnsi="Times New Roman" w:eastAsia="仿宋"/>
                <w:color w:val="auto"/>
                <w:szCs w:val="21"/>
                <w:highlight w:val="none"/>
              </w:rPr>
              <w:t>不同供应商的单位负责人不为同一人或者存在直接控股、管理关系</w:t>
            </w:r>
          </w:p>
        </w:tc>
        <w:tc>
          <w:tcPr>
            <w:tcW w:w="1521"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trPr>
        <w:tc>
          <w:tcPr>
            <w:tcW w:w="573"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8</w:t>
            </w:r>
          </w:p>
        </w:tc>
        <w:tc>
          <w:tcPr>
            <w:tcW w:w="2905" w:type="pct"/>
            <w:vAlign w:val="center"/>
          </w:tcPr>
          <w:p>
            <w:pPr>
              <w:rPr>
                <w:rFonts w:ascii="Times New Roman" w:hAnsi="Times New Roman" w:eastAsia="仿宋"/>
                <w:color w:val="auto"/>
                <w:szCs w:val="21"/>
                <w:highlight w:val="none"/>
              </w:rPr>
            </w:pPr>
            <w:r>
              <w:rPr>
                <w:rFonts w:ascii="Times New Roman" w:hAnsi="Times New Roman" w:eastAsia="仿宋"/>
                <w:color w:val="auto"/>
                <w:szCs w:val="21"/>
                <w:highlight w:val="none"/>
              </w:rPr>
              <w:t>采购人或招投标所通过“信用中国”网站及中国政府采购网查询，供应商没有被人民法院列入失信被执行人、重大税收违法案件当事人名单、政府采购严重违法失信行为记录名单及其他不符合《中华人民共和国政府采购法》第二十二条规定条件的供应商；供应商具有分支机构的，其所属分支机构有上述记录或不符合规定条件的，按无效投标处理；</w:t>
            </w:r>
          </w:p>
        </w:tc>
        <w:tc>
          <w:tcPr>
            <w:tcW w:w="1521"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573" w:type="pct"/>
            <w:vAlign w:val="center"/>
          </w:tcPr>
          <w:p>
            <w:pPr>
              <w:jc w:val="center"/>
              <w:rPr>
                <w:rFonts w:ascii="Times New Roman" w:hAnsi="Times New Roman" w:eastAsia="仿宋"/>
                <w:color w:val="auto"/>
                <w:szCs w:val="21"/>
                <w:highlight w:val="none"/>
              </w:rPr>
            </w:pPr>
            <w:r>
              <w:rPr>
                <w:rFonts w:ascii="Times New Roman" w:hAnsi="Times New Roman" w:eastAsia="仿宋"/>
                <w:color w:val="auto"/>
                <w:szCs w:val="21"/>
                <w:highlight w:val="none"/>
              </w:rPr>
              <w:t>9</w:t>
            </w:r>
          </w:p>
        </w:tc>
        <w:tc>
          <w:tcPr>
            <w:tcW w:w="2905" w:type="pct"/>
            <w:vAlign w:val="center"/>
          </w:tcPr>
          <w:p>
            <w:pPr>
              <w:rPr>
                <w:rFonts w:ascii="Times New Roman" w:hAnsi="Times New Roman" w:eastAsia="仿宋"/>
                <w:color w:val="auto"/>
                <w:szCs w:val="21"/>
                <w:highlight w:val="none"/>
              </w:rPr>
            </w:pPr>
            <w:r>
              <w:rPr>
                <w:rFonts w:ascii="Times New Roman" w:hAnsi="Times New Roman" w:eastAsia="仿宋"/>
                <w:color w:val="auto"/>
                <w:szCs w:val="21"/>
                <w:highlight w:val="none"/>
              </w:rPr>
              <w:t>招标文件要求的其他资格条件</w:t>
            </w:r>
          </w:p>
        </w:tc>
        <w:tc>
          <w:tcPr>
            <w:tcW w:w="1521" w:type="pct"/>
            <w:vAlign w:val="center"/>
          </w:tcPr>
          <w:p>
            <w:pPr>
              <w:rPr>
                <w:rFonts w:ascii="Times New Roman" w:hAnsi="Times New Roman"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573" w:type="pct"/>
            <w:vAlign w:val="center"/>
          </w:tcPr>
          <w:p>
            <w:pPr>
              <w:rPr>
                <w:rFonts w:ascii="Times New Roman" w:hAnsi="Times New Roman" w:eastAsia="仿宋"/>
                <w:color w:val="auto"/>
                <w:sz w:val="18"/>
                <w:szCs w:val="18"/>
                <w:highlight w:val="none"/>
              </w:rPr>
            </w:pPr>
          </w:p>
        </w:tc>
        <w:tc>
          <w:tcPr>
            <w:tcW w:w="2905" w:type="pct"/>
            <w:vAlign w:val="center"/>
          </w:tcPr>
          <w:p>
            <w:pPr>
              <w:jc w:val="center"/>
              <w:rPr>
                <w:rFonts w:ascii="Times New Roman" w:hAnsi="Times New Roman" w:eastAsia="仿宋"/>
                <w:color w:val="auto"/>
                <w:sz w:val="18"/>
                <w:szCs w:val="18"/>
                <w:highlight w:val="none"/>
              </w:rPr>
            </w:pPr>
            <w:r>
              <w:rPr>
                <w:rFonts w:ascii="Times New Roman" w:hAnsi="Times New Roman" w:eastAsia="仿宋"/>
                <w:color w:val="auto"/>
                <w:sz w:val="18"/>
                <w:szCs w:val="18"/>
                <w:highlight w:val="none"/>
              </w:rPr>
              <w:t>……</w:t>
            </w:r>
          </w:p>
        </w:tc>
        <w:tc>
          <w:tcPr>
            <w:tcW w:w="1521" w:type="pct"/>
            <w:vAlign w:val="center"/>
          </w:tcPr>
          <w:p>
            <w:pPr>
              <w:rPr>
                <w:rFonts w:ascii="Times New Roman" w:hAnsi="Times New Roman" w:eastAsia="仿宋"/>
                <w:color w:val="auto"/>
                <w:sz w:val="18"/>
                <w:szCs w:val="18"/>
                <w:highlight w:val="none"/>
              </w:rPr>
            </w:pPr>
          </w:p>
        </w:tc>
      </w:tr>
    </w:tbl>
    <w:p>
      <w:pPr>
        <w:rPr>
          <w:rFonts w:ascii="Times New Roman" w:hAnsi="Times New Roman" w:eastAsia="仿宋"/>
          <w:color w:val="auto"/>
          <w:sz w:val="24"/>
          <w:highlight w:val="none"/>
        </w:rPr>
      </w:pPr>
      <w:r>
        <w:rPr>
          <w:rFonts w:ascii="Times New Roman" w:hAnsi="Times New Roman" w:eastAsia="仿宋"/>
          <w:b/>
          <w:bCs/>
          <w:color w:val="auto"/>
          <w:szCs w:val="21"/>
          <w:highlight w:val="none"/>
        </w:rPr>
        <w:t xml:space="preserve">备注：以上材料将作为供应商资格审核的重要内容，供应商必须严格按照其内容要求在投标文件中对应如实提供。 </w:t>
      </w:r>
      <w:r>
        <w:rPr>
          <w:rFonts w:ascii="Times New Roman" w:hAnsi="Times New Roman" w:eastAsia="仿宋"/>
          <w:color w:val="auto"/>
          <w:sz w:val="24"/>
          <w:highlight w:val="none"/>
        </w:rPr>
        <w:br w:type="page"/>
      </w:r>
    </w:p>
    <w:p>
      <w:pPr>
        <w:rPr>
          <w:rFonts w:ascii="Times New Roman" w:hAnsi="Times New Roman" w:eastAsia="仿宋"/>
          <w:b/>
          <w:color w:val="auto"/>
          <w:sz w:val="24"/>
          <w:highlight w:val="none"/>
        </w:rPr>
      </w:pPr>
      <w:r>
        <w:rPr>
          <w:rFonts w:ascii="Times New Roman" w:hAnsi="Times New Roman" w:eastAsia="仿宋"/>
          <w:b/>
          <w:color w:val="auto"/>
          <w:sz w:val="24"/>
          <w:highlight w:val="none"/>
        </w:rPr>
        <w:t>2.2符合性审查索引表</w:t>
      </w: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r>
        <w:rPr>
          <w:rFonts w:ascii="Times New Roman" w:hAnsi="Times New Roman" w:eastAsia="仿宋"/>
          <w:b/>
          <w:bCs/>
          <w:color w:val="auto"/>
          <w:sz w:val="24"/>
          <w:highlight w:val="none"/>
        </w:rPr>
        <w:t>符合性审查索引表</w:t>
      </w:r>
    </w:p>
    <w:tbl>
      <w:tblPr>
        <w:tblStyle w:val="14"/>
        <w:tblpPr w:leftFromText="180" w:rightFromText="180" w:vertAnchor="text" w:tblpY="1"/>
        <w:tblOverlap w:val="never"/>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485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序号</w:t>
            </w:r>
          </w:p>
        </w:tc>
        <w:tc>
          <w:tcPr>
            <w:tcW w:w="4854"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自查内容</w:t>
            </w:r>
          </w:p>
        </w:tc>
        <w:tc>
          <w:tcPr>
            <w:tcW w:w="2518"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1</w:t>
            </w:r>
          </w:p>
        </w:tc>
        <w:tc>
          <w:tcPr>
            <w:tcW w:w="4854"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提交投标文件数量满足招标文件要求</w:t>
            </w:r>
          </w:p>
        </w:tc>
        <w:tc>
          <w:tcPr>
            <w:tcW w:w="2518"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2</w:t>
            </w:r>
          </w:p>
        </w:tc>
        <w:tc>
          <w:tcPr>
            <w:tcW w:w="4854"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按照招标文件规定要求编制、签署和盖章的</w:t>
            </w:r>
          </w:p>
        </w:tc>
        <w:tc>
          <w:tcPr>
            <w:tcW w:w="2518"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1273"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3</w:t>
            </w:r>
          </w:p>
        </w:tc>
        <w:tc>
          <w:tcPr>
            <w:tcW w:w="4854"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投标函已提交，并且投标有效期符合招标文件规定；</w:t>
            </w:r>
          </w:p>
        </w:tc>
        <w:tc>
          <w:tcPr>
            <w:tcW w:w="2518"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4</w:t>
            </w:r>
          </w:p>
        </w:tc>
        <w:tc>
          <w:tcPr>
            <w:tcW w:w="4854"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投标文件完全满足招标文件的实质性条款（即标注★号条款）无偏离的(招标文件无★号条款则不需要提供)；</w:t>
            </w:r>
          </w:p>
        </w:tc>
        <w:tc>
          <w:tcPr>
            <w:tcW w:w="2518"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5</w:t>
            </w:r>
          </w:p>
        </w:tc>
        <w:tc>
          <w:tcPr>
            <w:tcW w:w="4854"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报价超过招标文件中规定的预算金额或者最高限价的</w:t>
            </w:r>
          </w:p>
        </w:tc>
        <w:tc>
          <w:tcPr>
            <w:tcW w:w="2518"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请见投标文件第（）页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273"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6</w:t>
            </w:r>
          </w:p>
        </w:tc>
        <w:tc>
          <w:tcPr>
            <w:tcW w:w="4854"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报价不是固定价或者投标方案是可选择的</w:t>
            </w:r>
          </w:p>
        </w:tc>
        <w:tc>
          <w:tcPr>
            <w:tcW w:w="2518"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273"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7</w:t>
            </w:r>
          </w:p>
        </w:tc>
        <w:tc>
          <w:tcPr>
            <w:tcW w:w="4854" w:type="dxa"/>
            <w:vAlign w:val="center"/>
          </w:tcPr>
          <w:p>
            <w:pPr>
              <w:rPr>
                <w:rFonts w:ascii="Times New Roman" w:hAnsi="Times New Roman" w:eastAsia="仿宋"/>
                <w:color w:val="auto"/>
                <w:sz w:val="24"/>
                <w:highlight w:val="none"/>
              </w:rPr>
            </w:pPr>
            <w:r>
              <w:rPr>
                <w:rFonts w:ascii="Times New Roman" w:hAnsi="Times New Roman" w:eastAsia="仿宋"/>
                <w:color w:val="auto"/>
                <w:sz w:val="24"/>
                <w:highlight w:val="none"/>
              </w:rPr>
              <w:t>未有法律、法规和招标文件规定的其他无效情形</w:t>
            </w:r>
          </w:p>
        </w:tc>
        <w:tc>
          <w:tcPr>
            <w:tcW w:w="2518"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w:t>
            </w:r>
          </w:p>
        </w:tc>
      </w:tr>
    </w:tbl>
    <w:p>
      <w:pPr>
        <w:rPr>
          <w:rFonts w:ascii="Times New Roman" w:hAnsi="Times New Roman" w:eastAsia="仿宋"/>
          <w:b/>
          <w:bCs/>
          <w:color w:val="auto"/>
          <w:sz w:val="24"/>
          <w:highlight w:val="none"/>
        </w:rPr>
      </w:pPr>
      <w:r>
        <w:rPr>
          <w:rFonts w:ascii="Times New Roman" w:hAnsi="Times New Roman" w:eastAsia="仿宋"/>
          <w:b/>
          <w:bCs/>
          <w:color w:val="auto"/>
          <w:sz w:val="24"/>
          <w:highlight w:val="none"/>
        </w:rPr>
        <w:t xml:space="preserve">备注：以上材料将作为供应商符合性审核的重要内容，供应商必须严格按照其内容要求在投标文件中对应如实提供。 </w:t>
      </w: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r>
        <w:rPr>
          <w:rFonts w:ascii="Times New Roman" w:hAnsi="Times New Roman" w:eastAsia="仿宋"/>
          <w:b/>
          <w:color w:val="auto"/>
          <w:sz w:val="24"/>
          <w:highlight w:val="none"/>
        </w:rPr>
        <w:t>2.3</w:t>
      </w:r>
      <w:r>
        <w:rPr>
          <w:rFonts w:hint="eastAsia" w:ascii="Times New Roman" w:hAnsi="Times New Roman" w:eastAsia="仿宋"/>
          <w:b/>
          <w:color w:val="auto"/>
          <w:sz w:val="24"/>
          <w:highlight w:val="none"/>
        </w:rPr>
        <w:t>商务条件响应表</w:t>
      </w:r>
    </w:p>
    <w:p>
      <w:pPr>
        <w:rPr>
          <w:rFonts w:ascii="Times New Roman" w:hAnsi="Times New Roman" w:eastAsia="仿宋"/>
          <w:b/>
          <w:color w:val="auto"/>
          <w:sz w:val="24"/>
          <w:highlight w:val="none"/>
        </w:rPr>
      </w:pPr>
    </w:p>
    <w:p>
      <w:pPr>
        <w:jc w:val="center"/>
        <w:rPr>
          <w:color w:val="auto"/>
          <w:highlight w:val="none"/>
        </w:rPr>
      </w:pPr>
      <w:r>
        <w:rPr>
          <w:b/>
          <w:color w:val="auto"/>
          <w:sz w:val="24"/>
          <w:highlight w:val="none"/>
        </w:rPr>
        <w:t>《商务条件响应表》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序号</w:t>
            </w:r>
          </w:p>
        </w:tc>
        <w:tc>
          <w:tcPr>
            <w:tcW w:w="1187" w:type="dxa"/>
          </w:tcPr>
          <w:p>
            <w:pPr>
              <w:rPr>
                <w:color w:val="auto"/>
                <w:highlight w:val="none"/>
              </w:rPr>
            </w:pPr>
            <w:r>
              <w:rPr>
                <w:color w:val="auto"/>
                <w:highlight w:val="none"/>
              </w:rPr>
              <w:t>参数性质</w:t>
            </w:r>
          </w:p>
        </w:tc>
        <w:tc>
          <w:tcPr>
            <w:tcW w:w="1187" w:type="dxa"/>
          </w:tcPr>
          <w:p>
            <w:pPr>
              <w:rPr>
                <w:color w:val="auto"/>
                <w:highlight w:val="none"/>
              </w:rPr>
            </w:pPr>
            <w:r>
              <w:rPr>
                <w:color w:val="auto"/>
                <w:highlight w:val="none"/>
              </w:rPr>
              <w:t>采购文件规定的商务条件</w:t>
            </w:r>
          </w:p>
        </w:tc>
        <w:tc>
          <w:tcPr>
            <w:tcW w:w="1187" w:type="dxa"/>
          </w:tcPr>
          <w:p>
            <w:pPr>
              <w:rPr>
                <w:color w:val="auto"/>
                <w:highlight w:val="none"/>
              </w:rPr>
            </w:pPr>
            <w:r>
              <w:rPr>
                <w:color w:val="auto"/>
                <w:highlight w:val="none"/>
              </w:rPr>
              <w:t>投标文件响应的具体内容</w:t>
            </w:r>
          </w:p>
        </w:tc>
        <w:tc>
          <w:tcPr>
            <w:tcW w:w="1187" w:type="dxa"/>
          </w:tcPr>
          <w:p>
            <w:pPr>
              <w:rPr>
                <w:color w:val="auto"/>
                <w:highlight w:val="none"/>
              </w:rPr>
            </w:pPr>
            <w:r>
              <w:rPr>
                <w:color w:val="auto"/>
                <w:highlight w:val="none"/>
              </w:rPr>
              <w:t>是否偏离</w:t>
            </w:r>
          </w:p>
        </w:tc>
        <w:tc>
          <w:tcPr>
            <w:tcW w:w="1187" w:type="dxa"/>
          </w:tcPr>
          <w:p>
            <w:pPr>
              <w:rPr>
                <w:color w:val="auto"/>
                <w:highlight w:val="none"/>
              </w:rPr>
            </w:pPr>
            <w:r>
              <w:rPr>
                <w:color w:val="auto"/>
                <w:highlight w:val="none"/>
              </w:rPr>
              <w:t>证明文件所在位置</w:t>
            </w:r>
          </w:p>
        </w:tc>
        <w:tc>
          <w:tcPr>
            <w:tcW w:w="1187" w:type="dxa"/>
          </w:tcPr>
          <w:p>
            <w:pPr>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2</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3</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4</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5</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6</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7</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8</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9</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ind w:firstLine="480"/>
        <w:rPr>
          <w:rFonts w:ascii="Times New Roman" w:hAnsi="Times New Roman" w:eastAsia="仿宋" w:cs="Times New Roman"/>
          <w:b/>
          <w:bCs/>
          <w:color w:val="auto"/>
          <w:sz w:val="24"/>
          <w:szCs w:val="22"/>
          <w:highlight w:val="none"/>
        </w:rPr>
      </w:pPr>
      <w:r>
        <w:rPr>
          <w:rFonts w:ascii="Times New Roman" w:hAnsi="Times New Roman" w:eastAsia="仿宋" w:cs="Times New Roman"/>
          <w:b/>
          <w:bCs/>
          <w:color w:val="auto"/>
          <w:sz w:val="24"/>
          <w:szCs w:val="22"/>
          <w:highlight w:val="none"/>
        </w:rPr>
        <w:t>说明：</w:t>
      </w:r>
    </w:p>
    <w:p>
      <w:pPr>
        <w:ind w:firstLine="480"/>
        <w:rPr>
          <w:rFonts w:ascii="Times New Roman" w:hAnsi="Times New Roman" w:eastAsia="仿宋" w:cs="Times New Roman"/>
          <w:b/>
          <w:bCs/>
          <w:color w:val="auto"/>
          <w:sz w:val="24"/>
          <w:szCs w:val="22"/>
          <w:highlight w:val="none"/>
        </w:rPr>
      </w:pPr>
      <w:r>
        <w:rPr>
          <w:rFonts w:ascii="Times New Roman" w:hAnsi="Times New Roman" w:eastAsia="仿宋" w:cs="Times New Roman"/>
          <w:b/>
          <w:bCs/>
          <w:color w:val="auto"/>
          <w:sz w:val="24"/>
          <w:szCs w:val="22"/>
          <w:highlight w:val="none"/>
        </w:rPr>
        <w:t>1. “采购文件规定的商务条件”项下填写的内容应与招标文件中采购需求的 “商务要求”的内容保持一致。</w:t>
      </w:r>
    </w:p>
    <w:p>
      <w:pPr>
        <w:ind w:firstLine="480"/>
        <w:rPr>
          <w:rFonts w:ascii="Times New Roman" w:hAnsi="Times New Roman" w:eastAsia="仿宋" w:cs="Times New Roman"/>
          <w:b/>
          <w:bCs/>
          <w:color w:val="auto"/>
          <w:sz w:val="24"/>
          <w:szCs w:val="22"/>
          <w:highlight w:val="none"/>
        </w:rPr>
      </w:pPr>
      <w:r>
        <w:rPr>
          <w:rFonts w:ascii="Times New Roman" w:hAnsi="Times New Roman" w:eastAsia="仿宋" w:cs="Times New Roman"/>
          <w:b/>
          <w:bCs/>
          <w:color w:val="auto"/>
          <w:sz w:val="24"/>
          <w:szCs w:val="22"/>
          <w:highlight w:val="none"/>
        </w:rPr>
        <w:t>2.</w:t>
      </w:r>
      <w:r>
        <w:rPr>
          <w:rFonts w:ascii="Times New Roman" w:hAnsi="Times New Roman" w:eastAsia="仿宋" w:cs="Times New Roman"/>
          <w:b/>
          <w:bCs/>
          <w:color w:val="auto"/>
          <w:sz w:val="24"/>
          <w:szCs w:val="22"/>
          <w:highlight w:val="none"/>
        </w:rPr>
        <w:tab/>
      </w:r>
      <w:r>
        <w:rPr>
          <w:rFonts w:ascii="Times New Roman" w:hAnsi="Times New Roman" w:eastAsia="仿宋" w:cs="Times New Roman"/>
          <w:b/>
          <w:bCs/>
          <w:color w:val="auto"/>
          <w:sz w:val="24"/>
          <w:szCs w:val="22"/>
          <w:highlight w:val="none"/>
        </w:rPr>
        <w:t>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rPr>
          <w:rFonts w:ascii="Times New Roman" w:hAnsi="Times New Roman" w:eastAsia="仿宋" w:cs="Times New Roman"/>
          <w:b/>
          <w:bCs/>
          <w:color w:val="auto"/>
          <w:sz w:val="24"/>
          <w:szCs w:val="22"/>
          <w:highlight w:val="none"/>
        </w:rPr>
      </w:pPr>
      <w:r>
        <w:rPr>
          <w:rFonts w:ascii="Times New Roman" w:hAnsi="Times New Roman" w:eastAsia="仿宋" w:cs="Times New Roman"/>
          <w:b/>
          <w:bCs/>
          <w:color w:val="auto"/>
          <w:sz w:val="24"/>
          <w:szCs w:val="22"/>
          <w:highlight w:val="none"/>
        </w:rPr>
        <w:t>3.</w:t>
      </w:r>
      <w:r>
        <w:rPr>
          <w:rFonts w:ascii="Times New Roman" w:hAnsi="Times New Roman" w:eastAsia="仿宋" w:cs="Times New Roman"/>
          <w:b/>
          <w:bCs/>
          <w:color w:val="auto"/>
          <w:sz w:val="24"/>
          <w:szCs w:val="22"/>
          <w:highlight w:val="none"/>
        </w:rPr>
        <w:tab/>
      </w:r>
      <w:r>
        <w:rPr>
          <w:rFonts w:ascii="Times New Roman" w:hAnsi="Times New Roman" w:eastAsia="仿宋" w:cs="Times New Roman"/>
          <w:b/>
          <w:bCs/>
          <w:color w:val="auto"/>
          <w:sz w:val="24"/>
          <w:szCs w:val="22"/>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rPr>
          <w:rFonts w:ascii="Times New Roman" w:hAnsi="Times New Roman" w:eastAsia="仿宋" w:cs="Times New Roman"/>
          <w:b/>
          <w:bCs/>
          <w:color w:val="auto"/>
          <w:sz w:val="24"/>
          <w:szCs w:val="22"/>
          <w:highlight w:val="none"/>
        </w:rPr>
      </w:pPr>
      <w:r>
        <w:rPr>
          <w:rFonts w:ascii="Times New Roman" w:hAnsi="Times New Roman" w:eastAsia="仿宋" w:cs="Times New Roman"/>
          <w:b/>
          <w:bCs/>
          <w:color w:val="auto"/>
          <w:sz w:val="24"/>
          <w:szCs w:val="22"/>
          <w:highlight w:val="none"/>
        </w:rPr>
        <w:t>4. “是否偏离”项下应按下列规定填写：优于的，填写“正偏离”；符合的，填写“无偏离”；低于的，填写“负偏离”。</w:t>
      </w:r>
    </w:p>
    <w:p>
      <w:pPr>
        <w:ind w:firstLine="480"/>
        <w:rPr>
          <w:rFonts w:ascii="Times New Roman" w:hAnsi="Times New Roman" w:eastAsia="仿宋" w:cs="Times New Roman"/>
          <w:b/>
          <w:bCs/>
          <w:color w:val="auto"/>
          <w:sz w:val="24"/>
          <w:szCs w:val="22"/>
          <w:highlight w:val="none"/>
        </w:rPr>
      </w:pPr>
      <w:r>
        <w:rPr>
          <w:rFonts w:ascii="Times New Roman" w:hAnsi="Times New Roman" w:eastAsia="仿宋" w:cs="Times New Roman"/>
          <w:b/>
          <w:bCs/>
          <w:color w:val="auto"/>
          <w:sz w:val="24"/>
          <w:szCs w:val="22"/>
          <w:highlight w:val="none"/>
        </w:rPr>
        <w:t>5.“备注”处可填写偏离情况的说明。</w:t>
      </w:r>
    </w:p>
    <w:p>
      <w:pPr>
        <w:ind w:firstLine="480"/>
        <w:rPr>
          <w:rFonts w:ascii="Times New Roman" w:hAnsi="Times New Roman" w:eastAsia="仿宋" w:cs="Times New Roman"/>
          <w:b/>
          <w:bCs/>
          <w:color w:val="auto"/>
          <w:sz w:val="24"/>
          <w:szCs w:val="22"/>
          <w:highlight w:val="none"/>
        </w:rPr>
      </w:pPr>
      <w:r>
        <w:rPr>
          <w:rFonts w:hint="eastAsia" w:ascii="Times New Roman" w:hAnsi="Times New Roman" w:eastAsia="仿宋" w:cs="Times New Roman"/>
          <w:b/>
          <w:bCs/>
          <w:color w:val="auto"/>
          <w:sz w:val="24"/>
          <w:szCs w:val="22"/>
          <w:highlight w:val="none"/>
        </w:rPr>
        <w:t>6.</w:t>
      </w:r>
      <w:r>
        <w:rPr>
          <w:rFonts w:hint="eastAsia" w:ascii="Times New Roman" w:hAnsi="Times New Roman" w:eastAsia="仿宋"/>
          <w:b/>
          <w:bCs/>
          <w:color w:val="auto"/>
          <w:sz w:val="24"/>
          <w:highlight w:val="none"/>
        </w:rPr>
        <w:t>供应商可自行增加行数，但不得删除列表内容。</w:t>
      </w: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r>
        <w:rPr>
          <w:rFonts w:ascii="Times New Roman" w:hAnsi="Times New Roman" w:eastAsia="仿宋"/>
          <w:b/>
          <w:color w:val="auto"/>
          <w:sz w:val="24"/>
          <w:highlight w:val="none"/>
        </w:rPr>
        <w:t>2.4</w:t>
      </w:r>
      <w:r>
        <w:rPr>
          <w:rFonts w:hint="eastAsia" w:ascii="Times New Roman" w:hAnsi="Times New Roman" w:eastAsia="仿宋"/>
          <w:b/>
          <w:bCs/>
          <w:color w:val="auto"/>
          <w:sz w:val="24"/>
          <w:highlight w:val="none"/>
        </w:rPr>
        <w:t>技术和服务要求响应表</w:t>
      </w:r>
    </w:p>
    <w:p>
      <w:pPr>
        <w:rPr>
          <w:rFonts w:ascii="Times New Roman" w:hAnsi="Times New Roman" w:eastAsia="仿宋"/>
          <w:bCs/>
          <w:color w:val="auto"/>
          <w:sz w:val="24"/>
          <w:highlight w:val="none"/>
        </w:rPr>
      </w:pPr>
    </w:p>
    <w:p>
      <w:pPr>
        <w:jc w:val="center"/>
        <w:rPr>
          <w:color w:val="auto"/>
          <w:highlight w:val="none"/>
        </w:rPr>
      </w:pPr>
      <w:r>
        <w:rPr>
          <w:b/>
          <w:color w:val="auto"/>
          <w:sz w:val="24"/>
          <w:highlight w:val="none"/>
        </w:rPr>
        <w:t>《技术和服务要求响应表》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color w:val="auto"/>
                <w:highlight w:val="none"/>
              </w:rPr>
            </w:pPr>
            <w:r>
              <w:rPr>
                <w:color w:val="auto"/>
                <w:highlight w:val="none"/>
              </w:rPr>
              <w:t>序号</w:t>
            </w:r>
          </w:p>
        </w:tc>
        <w:tc>
          <w:tcPr>
            <w:tcW w:w="923" w:type="dxa"/>
          </w:tcPr>
          <w:p>
            <w:pPr>
              <w:rPr>
                <w:color w:val="auto"/>
                <w:highlight w:val="none"/>
              </w:rPr>
            </w:pPr>
            <w:r>
              <w:rPr>
                <w:color w:val="auto"/>
                <w:highlight w:val="none"/>
              </w:rPr>
              <w:t>标的名称</w:t>
            </w:r>
          </w:p>
        </w:tc>
        <w:tc>
          <w:tcPr>
            <w:tcW w:w="923" w:type="dxa"/>
          </w:tcPr>
          <w:p>
            <w:pPr>
              <w:rPr>
                <w:color w:val="auto"/>
                <w:highlight w:val="none"/>
              </w:rPr>
            </w:pPr>
            <w:r>
              <w:rPr>
                <w:color w:val="auto"/>
                <w:highlight w:val="none"/>
              </w:rPr>
              <w:t>参数性质</w:t>
            </w:r>
          </w:p>
        </w:tc>
        <w:tc>
          <w:tcPr>
            <w:tcW w:w="923" w:type="dxa"/>
          </w:tcPr>
          <w:p>
            <w:pPr>
              <w:rPr>
                <w:color w:val="auto"/>
                <w:highlight w:val="none"/>
              </w:rPr>
            </w:pPr>
            <w:r>
              <w:rPr>
                <w:color w:val="auto"/>
                <w:highlight w:val="none"/>
              </w:rPr>
              <w:t>采购文件规定的技术和服务要求</w:t>
            </w:r>
          </w:p>
        </w:tc>
        <w:tc>
          <w:tcPr>
            <w:tcW w:w="923" w:type="dxa"/>
          </w:tcPr>
          <w:p>
            <w:pPr>
              <w:rPr>
                <w:color w:val="auto"/>
                <w:highlight w:val="none"/>
              </w:rPr>
            </w:pPr>
            <w:r>
              <w:rPr>
                <w:color w:val="auto"/>
                <w:highlight w:val="none"/>
              </w:rPr>
              <w:t>投标文件响应的具体内容</w:t>
            </w:r>
          </w:p>
        </w:tc>
        <w:tc>
          <w:tcPr>
            <w:tcW w:w="923" w:type="dxa"/>
          </w:tcPr>
          <w:p>
            <w:pPr>
              <w:rPr>
                <w:color w:val="auto"/>
                <w:highlight w:val="none"/>
              </w:rPr>
            </w:pPr>
            <w:r>
              <w:rPr>
                <w:color w:val="auto"/>
                <w:highlight w:val="none"/>
              </w:rPr>
              <w:t>型号</w:t>
            </w:r>
          </w:p>
        </w:tc>
        <w:tc>
          <w:tcPr>
            <w:tcW w:w="923" w:type="dxa"/>
          </w:tcPr>
          <w:p>
            <w:pPr>
              <w:rPr>
                <w:color w:val="auto"/>
                <w:highlight w:val="none"/>
              </w:rPr>
            </w:pPr>
            <w:r>
              <w:rPr>
                <w:color w:val="auto"/>
                <w:highlight w:val="none"/>
              </w:rPr>
              <w:t>是否偏离</w:t>
            </w:r>
          </w:p>
        </w:tc>
        <w:tc>
          <w:tcPr>
            <w:tcW w:w="923" w:type="dxa"/>
          </w:tcPr>
          <w:p>
            <w:pPr>
              <w:rPr>
                <w:color w:val="auto"/>
                <w:highlight w:val="none"/>
              </w:rPr>
            </w:pPr>
            <w:r>
              <w:rPr>
                <w:color w:val="auto"/>
                <w:highlight w:val="none"/>
              </w:rPr>
              <w:t>证明文件所在位置</w:t>
            </w:r>
          </w:p>
        </w:tc>
        <w:tc>
          <w:tcPr>
            <w:tcW w:w="923" w:type="dxa"/>
          </w:tcPr>
          <w:p>
            <w:pPr>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color w:val="auto"/>
                <w:highlight w:val="none"/>
              </w:rPr>
            </w:pPr>
            <w:r>
              <w:rPr>
                <w:color w:val="auto"/>
                <w:highlight w:val="none"/>
              </w:rPr>
              <w:t>1</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color w:val="auto"/>
                <w:highlight w:val="none"/>
              </w:rPr>
            </w:pPr>
            <w:r>
              <w:rPr>
                <w:color w:val="auto"/>
                <w:highlight w:val="none"/>
              </w:rPr>
              <w:t>2</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color w:val="auto"/>
                <w:highlight w:val="none"/>
              </w:rPr>
            </w:pPr>
            <w:r>
              <w:rPr>
                <w:color w:val="auto"/>
                <w:highlight w:val="none"/>
              </w:rPr>
              <w:t>3</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color w:val="auto"/>
                <w:highlight w:val="none"/>
              </w:rPr>
            </w:pPr>
            <w:r>
              <w:rPr>
                <w:color w:val="auto"/>
                <w:highlight w:val="none"/>
              </w:rPr>
              <w:t>4</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color w:val="auto"/>
                <w:highlight w:val="none"/>
              </w:rPr>
            </w:pPr>
            <w:r>
              <w:rPr>
                <w:color w:val="auto"/>
                <w:highlight w:val="none"/>
              </w:rPr>
              <w:t>5</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color w:val="auto"/>
                <w:highlight w:val="none"/>
              </w:rPr>
            </w:pPr>
            <w:r>
              <w:rPr>
                <w:color w:val="auto"/>
                <w:highlight w:val="none"/>
              </w:rPr>
              <w:t>6</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bl>
    <w:p>
      <w:pPr>
        <w:ind w:firstLine="480"/>
        <w:rPr>
          <w:color w:val="auto"/>
          <w:highlight w:val="none"/>
        </w:rPr>
      </w:pPr>
      <w:r>
        <w:rPr>
          <w:color w:val="auto"/>
          <w:highlight w:val="none"/>
        </w:rPr>
        <w:t>说明：</w:t>
      </w:r>
    </w:p>
    <w:p>
      <w:pPr>
        <w:pStyle w:val="8"/>
        <w:ind w:firstLine="482" w:firstLineChars="200"/>
        <w:rPr>
          <w:rFonts w:ascii="Times New Roman" w:hAnsi="Times New Roman" w:eastAsia="仿宋"/>
          <w:b/>
          <w:bCs/>
          <w:color w:val="auto"/>
          <w:sz w:val="24"/>
          <w:highlight w:val="none"/>
        </w:rPr>
      </w:pPr>
      <w:r>
        <w:rPr>
          <w:rFonts w:ascii="Times New Roman" w:hAnsi="Times New Roman" w:eastAsia="仿宋"/>
          <w:b/>
          <w:bCs/>
          <w:color w:val="auto"/>
          <w:sz w:val="24"/>
          <w:highlight w:val="none"/>
        </w:rPr>
        <w:t>1.“采购文件规定的技术和服务要求”项下填写的内容应与招标文件中采购需求的</w:t>
      </w:r>
      <w:r>
        <w:rPr>
          <w:rFonts w:ascii="Times New Roman" w:hAnsi="Times New Roman" w:eastAsia="仿宋"/>
          <w:b/>
          <w:bCs/>
          <w:color w:val="auto"/>
          <w:sz w:val="24"/>
          <w:highlight w:val="none"/>
        </w:rPr>
        <w:tab/>
      </w:r>
      <w:r>
        <w:rPr>
          <w:rFonts w:ascii="Times New Roman" w:hAnsi="Times New Roman" w:eastAsia="仿宋"/>
          <w:b/>
          <w:bCs/>
          <w:color w:val="auto"/>
          <w:sz w:val="24"/>
          <w:highlight w:val="none"/>
        </w:rPr>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ind w:firstLine="482" w:firstLineChars="200"/>
        <w:rPr>
          <w:rFonts w:ascii="Times New Roman" w:hAnsi="Times New Roman" w:eastAsia="仿宋"/>
          <w:b/>
          <w:bCs/>
          <w:color w:val="auto"/>
          <w:sz w:val="24"/>
          <w:highlight w:val="none"/>
        </w:rPr>
      </w:pPr>
      <w:r>
        <w:rPr>
          <w:rFonts w:ascii="Times New Roman" w:hAnsi="Times New Roman" w:eastAsia="仿宋"/>
          <w:b/>
          <w:bCs/>
          <w:color w:val="auto"/>
          <w:sz w:val="24"/>
          <w:highlight w:val="none"/>
        </w:rPr>
        <w:t>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ind w:firstLine="482" w:firstLineChars="200"/>
        <w:rPr>
          <w:rFonts w:ascii="Times New Roman" w:hAnsi="Times New Roman" w:eastAsia="仿宋"/>
          <w:b/>
          <w:bCs/>
          <w:color w:val="auto"/>
          <w:sz w:val="24"/>
          <w:highlight w:val="none"/>
        </w:rPr>
      </w:pPr>
      <w:r>
        <w:rPr>
          <w:rFonts w:ascii="Times New Roman" w:hAnsi="Times New Roman" w:eastAsia="仿宋"/>
          <w:b/>
          <w:bCs/>
          <w:color w:val="auto"/>
          <w:sz w:val="24"/>
          <w:highlight w:val="none"/>
        </w:rPr>
        <w:t>3. “是否偏离”项下应按下列规定填写：优于的，填写“正偏离”；符合的，填写“无偏离”；低于的，填写“负偏离”。</w:t>
      </w:r>
    </w:p>
    <w:p>
      <w:pPr>
        <w:pStyle w:val="8"/>
        <w:ind w:firstLine="482" w:firstLineChars="200"/>
        <w:rPr>
          <w:rFonts w:ascii="Times New Roman" w:hAnsi="Times New Roman" w:eastAsia="仿宋"/>
          <w:b/>
          <w:bCs/>
          <w:color w:val="auto"/>
          <w:sz w:val="24"/>
          <w:highlight w:val="none"/>
        </w:rPr>
      </w:pPr>
      <w:r>
        <w:rPr>
          <w:rFonts w:ascii="Times New Roman" w:hAnsi="Times New Roman" w:eastAsia="仿宋"/>
          <w:b/>
          <w:bCs/>
          <w:color w:val="auto"/>
          <w:sz w:val="24"/>
          <w:highlight w:val="none"/>
        </w:rPr>
        <w:t>4.“备注”处可填写偏离情况的说明。</w:t>
      </w:r>
    </w:p>
    <w:p>
      <w:pPr>
        <w:pStyle w:val="8"/>
        <w:ind w:firstLine="482" w:firstLineChars="200"/>
        <w:rPr>
          <w:rFonts w:ascii="Times New Roman" w:hAnsi="Times New Roman" w:eastAsia="仿宋"/>
          <w:b/>
          <w:bCs/>
          <w:color w:val="auto"/>
          <w:sz w:val="24"/>
          <w:highlight w:val="none"/>
        </w:rPr>
      </w:pPr>
      <w:r>
        <w:rPr>
          <w:rFonts w:hint="eastAsia" w:ascii="Times New Roman" w:hAnsi="Times New Roman" w:eastAsia="仿宋"/>
          <w:b/>
          <w:bCs/>
          <w:color w:val="auto"/>
          <w:sz w:val="24"/>
          <w:highlight w:val="none"/>
        </w:rPr>
        <w:t>5.供应商可自行增加行数，但不得删除列表内容。</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Times New Roman" w:hAnsi="Times New Roman" w:eastAsia="仿宋"/>
          <w:b/>
          <w:bCs/>
          <w:color w:val="auto"/>
          <w:sz w:val="24"/>
          <w:highlight w:val="none"/>
        </w:rPr>
      </w:pPr>
      <w:r>
        <w:rPr>
          <w:rFonts w:ascii="Times New Roman" w:hAnsi="Times New Roman" w:eastAsia="仿宋"/>
          <w:b/>
          <w:color w:val="auto"/>
          <w:sz w:val="24"/>
          <w:highlight w:val="none"/>
        </w:rPr>
        <w:t>2.5</w:t>
      </w:r>
      <w:r>
        <w:rPr>
          <w:rFonts w:ascii="Times New Roman" w:hAnsi="Times New Roman" w:eastAsia="仿宋"/>
          <w:b/>
          <w:bCs/>
          <w:color w:val="auto"/>
          <w:sz w:val="24"/>
          <w:highlight w:val="none"/>
        </w:rPr>
        <w:t>政策适用性说明</w:t>
      </w:r>
    </w:p>
    <w:p>
      <w:pPr>
        <w:rPr>
          <w:color w:val="auto"/>
          <w:highlight w:val="none"/>
        </w:rPr>
      </w:pPr>
      <w:r>
        <w:rPr>
          <w:color w:val="auto"/>
          <w:highlight w:val="none"/>
        </w:rPr>
        <w:t>按照政府采购有关政策的要求，在本次的技术方案中，采用符合政策的小型或微型企业产品、节能产品、环境标志产品，主要产品与核心技术介绍说明如下：</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highlight w:val="none"/>
              </w:rPr>
            </w:pPr>
            <w:r>
              <w:rPr>
                <w:color w:val="auto"/>
                <w:highlight w:val="none"/>
              </w:rPr>
              <w:t>序号</w:t>
            </w:r>
          </w:p>
        </w:tc>
        <w:tc>
          <w:tcPr>
            <w:tcW w:w="1038" w:type="dxa"/>
          </w:tcPr>
          <w:p>
            <w:pPr>
              <w:rPr>
                <w:color w:val="auto"/>
                <w:highlight w:val="none"/>
              </w:rPr>
            </w:pPr>
            <w:r>
              <w:rPr>
                <w:color w:val="auto"/>
                <w:highlight w:val="none"/>
              </w:rPr>
              <w:t>主要产品/技术名称（规格型号、注册商标）</w:t>
            </w:r>
          </w:p>
        </w:tc>
        <w:tc>
          <w:tcPr>
            <w:tcW w:w="1038" w:type="dxa"/>
          </w:tcPr>
          <w:p>
            <w:pPr>
              <w:rPr>
                <w:color w:val="auto"/>
                <w:highlight w:val="none"/>
              </w:rPr>
            </w:pPr>
            <w:r>
              <w:rPr>
                <w:color w:val="auto"/>
                <w:highlight w:val="none"/>
              </w:rPr>
              <w:t>制造商(开发商)</w:t>
            </w:r>
          </w:p>
        </w:tc>
        <w:tc>
          <w:tcPr>
            <w:tcW w:w="1038" w:type="dxa"/>
          </w:tcPr>
          <w:p>
            <w:pPr>
              <w:rPr>
                <w:color w:val="auto"/>
                <w:highlight w:val="none"/>
              </w:rPr>
            </w:pPr>
            <w:r>
              <w:rPr>
                <w:color w:val="auto"/>
                <w:highlight w:val="none"/>
              </w:rPr>
              <w:t>制造商企业类型</w:t>
            </w:r>
          </w:p>
        </w:tc>
        <w:tc>
          <w:tcPr>
            <w:tcW w:w="1038" w:type="dxa"/>
          </w:tcPr>
          <w:p>
            <w:pPr>
              <w:rPr>
                <w:color w:val="auto"/>
                <w:highlight w:val="none"/>
              </w:rPr>
            </w:pPr>
            <w:r>
              <w:rPr>
                <w:color w:val="auto"/>
                <w:highlight w:val="none"/>
              </w:rPr>
              <w:t>节能产品</w:t>
            </w:r>
          </w:p>
        </w:tc>
        <w:tc>
          <w:tcPr>
            <w:tcW w:w="1038" w:type="dxa"/>
          </w:tcPr>
          <w:p>
            <w:pPr>
              <w:rPr>
                <w:color w:val="auto"/>
                <w:highlight w:val="none"/>
              </w:rPr>
            </w:pPr>
            <w:r>
              <w:rPr>
                <w:color w:val="auto"/>
                <w:highlight w:val="none"/>
              </w:rPr>
              <w:t>环境标志产品</w:t>
            </w:r>
          </w:p>
        </w:tc>
        <w:tc>
          <w:tcPr>
            <w:tcW w:w="1038" w:type="dxa"/>
          </w:tcPr>
          <w:p>
            <w:pPr>
              <w:rPr>
                <w:color w:val="auto"/>
                <w:highlight w:val="none"/>
              </w:rPr>
            </w:pPr>
            <w:r>
              <w:rPr>
                <w:color w:val="auto"/>
                <w:highlight w:val="none"/>
              </w:rPr>
              <w:t>认证证书编号</w:t>
            </w:r>
          </w:p>
        </w:tc>
        <w:tc>
          <w:tcPr>
            <w:tcW w:w="1038" w:type="dxa"/>
          </w:tcPr>
          <w:p>
            <w:pPr>
              <w:rPr>
                <w:color w:val="auto"/>
                <w:highlight w:val="none"/>
              </w:rPr>
            </w:pPr>
            <w:r>
              <w:rPr>
                <w:color w:val="auto"/>
                <w:highlight w:val="none"/>
              </w:rP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highlight w:val="none"/>
              </w:rPr>
            </w:pPr>
            <w:r>
              <w:rPr>
                <w:color w:val="auto"/>
                <w:highlight w:val="none"/>
              </w:rPr>
              <w:t>1</w:t>
            </w: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highlight w:val="none"/>
              </w:rPr>
            </w:pPr>
            <w:r>
              <w:rPr>
                <w:color w:val="auto"/>
                <w:highlight w:val="none"/>
              </w:rPr>
              <w:t>2</w:t>
            </w: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highlight w:val="none"/>
              </w:rPr>
            </w:pPr>
            <w:r>
              <w:rPr>
                <w:color w:val="auto"/>
                <w:highlight w:val="none"/>
              </w:rPr>
              <w:t>3</w:t>
            </w: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highlight w:val="none"/>
              </w:rPr>
            </w:pPr>
            <w:r>
              <w:rPr>
                <w:color w:val="auto"/>
                <w:highlight w:val="none"/>
              </w:rPr>
              <w:t>4</w:t>
            </w: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highlight w:val="none"/>
              </w:rPr>
            </w:pPr>
            <w:r>
              <w:rPr>
                <w:color w:val="auto"/>
                <w:highlight w:val="none"/>
              </w:rPr>
              <w:t>5</w:t>
            </w: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highlight w:val="none"/>
              </w:rPr>
            </w:pPr>
            <w:r>
              <w:rPr>
                <w:color w:val="auto"/>
                <w:highlight w:val="none"/>
              </w:rPr>
              <w:t>...</w:t>
            </w: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c>
          <w:tcPr>
            <w:tcW w:w="1038" w:type="dxa"/>
          </w:tcPr>
          <w:p>
            <w:pPr>
              <w:rPr>
                <w:color w:val="auto"/>
                <w:highlight w:val="none"/>
              </w:rPr>
            </w:pPr>
          </w:p>
        </w:tc>
      </w:tr>
    </w:tbl>
    <w:p>
      <w:pPr>
        <w:ind w:firstLine="480"/>
        <w:rPr>
          <w:color w:val="auto"/>
          <w:highlight w:val="none"/>
        </w:rPr>
      </w:pPr>
      <w:r>
        <w:rPr>
          <w:color w:val="auto"/>
          <w:highlight w:val="none"/>
        </w:rPr>
        <w:t>注：1.制造商为小型或微型企业时才需要填“制造商企业类型”栏,填写内容为“小型”或“微型”；</w:t>
      </w:r>
    </w:p>
    <w:p>
      <w:pPr>
        <w:ind w:firstLine="480"/>
        <w:rPr>
          <w:color w:val="auto"/>
          <w:highlight w:val="none"/>
        </w:rPr>
      </w:pPr>
      <w:r>
        <w:rPr>
          <w:color w:val="auto"/>
          <w:highlight w:val="none"/>
        </w:rPr>
        <w:t>2.“节能产品、环境标志产品”须填写认证证书编号，并在对应“节能产品”、“环境标志产品”栏中勾选，同时提供有效期内的证书复印件（加盖投标人公章）</w:t>
      </w:r>
    </w:p>
    <w:p>
      <w:pPr>
        <w:rPr>
          <w:color w:val="auto"/>
          <w:highlight w:val="none"/>
        </w:rPr>
      </w:pPr>
      <w:r>
        <w:rPr>
          <w:color w:val="auto"/>
          <w:highlight w:val="none"/>
        </w:rPr>
        <w:t xml:space="preserve"> 投标人名称（盖章）：__________________</w:t>
      </w:r>
    </w:p>
    <w:p>
      <w:pPr>
        <w:rPr>
          <w:color w:val="auto"/>
          <w:highlight w:val="none"/>
        </w:rPr>
      </w:pPr>
      <w:r>
        <w:rPr>
          <w:color w:val="auto"/>
          <w:highlight w:val="none"/>
        </w:rPr>
        <w:t>日期： 年 月 日</w:t>
      </w:r>
    </w:p>
    <w:p>
      <w:pPr>
        <w:jc w:val="left"/>
        <w:rPr>
          <w:rFonts w:ascii="Times New Roman" w:hAnsi="Times New Roman"/>
          <w:color w:val="auto"/>
          <w:highlight w:val="none"/>
        </w:rPr>
      </w:pPr>
    </w:p>
    <w:p>
      <w:pPr>
        <w:rPr>
          <w:rFonts w:ascii="Times New Roman" w:hAnsi="Times New Roman"/>
          <w:color w:val="auto"/>
          <w:highlight w:val="none"/>
        </w:rPr>
      </w:pPr>
    </w:p>
    <w:p>
      <w:pPr>
        <w:pStyle w:val="8"/>
        <w:rPr>
          <w:rFonts w:ascii="Times New Roman" w:hAnsi="Times New Roman"/>
          <w:color w:val="auto"/>
          <w:highlight w:val="none"/>
        </w:rPr>
      </w:pPr>
    </w:p>
    <w:p>
      <w:pPr>
        <w:rPr>
          <w:rFonts w:ascii="Times New Roman" w:hAnsi="Times New Roman"/>
          <w:color w:val="auto"/>
          <w:highlight w:val="none"/>
        </w:rPr>
      </w:pPr>
    </w:p>
    <w:p>
      <w:pPr>
        <w:pStyle w:val="8"/>
        <w:rPr>
          <w:rFonts w:ascii="Times New Roman" w:hAnsi="Times New Roman"/>
          <w:color w:val="auto"/>
          <w:highlight w:val="none"/>
        </w:rPr>
      </w:pPr>
    </w:p>
    <w:p>
      <w:pPr>
        <w:rPr>
          <w:rFonts w:ascii="Times New Roman" w:hAnsi="Times New Roman"/>
          <w:color w:val="auto"/>
          <w:highlight w:val="none"/>
        </w:rPr>
      </w:pPr>
    </w:p>
    <w:p>
      <w:pPr>
        <w:pStyle w:val="29"/>
        <w:rPr>
          <w:rFonts w:ascii="Times New Roman" w:hAnsi="Times New Roman"/>
          <w:color w:val="auto"/>
          <w:highlight w:val="none"/>
        </w:rPr>
      </w:pPr>
    </w:p>
    <w:p>
      <w:pPr>
        <w:pStyle w:val="8"/>
        <w:rPr>
          <w:rFonts w:ascii="Times New Roman" w:hAnsi="Times New Roman"/>
          <w:color w:val="auto"/>
          <w:highlight w:val="none"/>
        </w:rPr>
      </w:pPr>
    </w:p>
    <w:p>
      <w:pPr>
        <w:rPr>
          <w:rFonts w:ascii="Times New Roman" w:hAnsi="Times New Roman"/>
          <w:color w:val="auto"/>
          <w:highlight w:val="none"/>
        </w:rPr>
      </w:pPr>
    </w:p>
    <w:p>
      <w:pPr>
        <w:pStyle w:val="8"/>
        <w:rPr>
          <w:rFonts w:ascii="Times New Roman" w:hAnsi="Times New Roman"/>
          <w:color w:val="auto"/>
          <w:highlight w:val="none"/>
        </w:rPr>
      </w:pPr>
    </w:p>
    <w:p>
      <w:pPr>
        <w:rPr>
          <w:rFonts w:ascii="Times New Roman" w:hAnsi="Times New Roman"/>
          <w:color w:val="auto"/>
          <w:highlight w:val="none"/>
        </w:rPr>
      </w:pPr>
    </w:p>
    <w:p>
      <w:pPr>
        <w:pStyle w:val="8"/>
        <w:rPr>
          <w:rFonts w:ascii="Times New Roman" w:hAnsi="Times New Roman"/>
          <w:color w:val="auto"/>
          <w:highlight w:val="none"/>
        </w:rPr>
      </w:pPr>
    </w:p>
    <w:p>
      <w:pPr>
        <w:rPr>
          <w:rFonts w:ascii="Times New Roman" w:hAnsi="Times New Roman"/>
          <w:color w:val="auto"/>
          <w:highlight w:val="none"/>
        </w:rPr>
      </w:pPr>
    </w:p>
    <w:p>
      <w:pPr>
        <w:pStyle w:val="8"/>
        <w:rPr>
          <w:rFonts w:ascii="Times New Roman" w:hAnsi="Times New Roman"/>
          <w:color w:val="auto"/>
          <w:highlight w:val="none"/>
        </w:rPr>
      </w:pPr>
    </w:p>
    <w:p>
      <w:pPr>
        <w:jc w:val="cente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r>
        <w:rPr>
          <w:rFonts w:ascii="Times New Roman" w:hAnsi="Times New Roman" w:eastAsia="仿宋"/>
          <w:b/>
          <w:color w:val="auto"/>
          <w:sz w:val="24"/>
          <w:highlight w:val="none"/>
        </w:rPr>
        <w:br w:type="page"/>
      </w:r>
    </w:p>
    <w:p>
      <w:pPr>
        <w:rPr>
          <w:rFonts w:ascii="Times New Roman" w:hAnsi="Times New Roman" w:eastAsia="仿宋"/>
          <w:b/>
          <w:color w:val="auto"/>
          <w:sz w:val="24"/>
          <w:highlight w:val="none"/>
        </w:rPr>
      </w:pPr>
      <w:r>
        <w:rPr>
          <w:rFonts w:ascii="Times New Roman" w:hAnsi="Times New Roman" w:eastAsia="仿宋"/>
          <w:b/>
          <w:color w:val="auto"/>
          <w:sz w:val="24"/>
          <w:highlight w:val="none"/>
        </w:rPr>
        <w:t>3资格性文件</w:t>
      </w: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r>
        <w:rPr>
          <w:rFonts w:ascii="Times New Roman" w:hAnsi="Times New Roman" w:eastAsia="仿宋"/>
          <w:b/>
          <w:color w:val="auto"/>
          <w:sz w:val="24"/>
          <w:highlight w:val="none"/>
        </w:rPr>
        <w:t>3.1法人或者非法人组织的营业执照等证明文件或自然人的身份证明</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说明：1.提供有效的营业执照等证明文件复印件，复印件上应加盖本单位公章。</w:t>
      </w: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2.供应商为自然人的，应提供身份证明的复印件。</w:t>
      </w: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3.联合体投标应提供联合体各方满足以上要求的证明文件。</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w:t>
      </w: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r>
        <w:rPr>
          <w:rFonts w:ascii="Times New Roman" w:hAnsi="Times New Roman" w:eastAsia="仿宋"/>
          <w:b/>
          <w:color w:val="auto"/>
          <w:sz w:val="24"/>
          <w:highlight w:val="none"/>
        </w:rPr>
        <w:t>3.1.1.法定代表人身份证明书</w:t>
      </w:r>
    </w:p>
    <w:p>
      <w:pPr>
        <w:pStyle w:val="8"/>
        <w:rPr>
          <w:rFonts w:ascii="Times New Roman" w:hAnsi="Times New Roman" w:eastAsia="仿宋"/>
          <w:color w:val="auto"/>
          <w:highlight w:val="none"/>
        </w:rPr>
      </w:pPr>
    </w:p>
    <w:p>
      <w:pPr>
        <w:rPr>
          <w:rFonts w:ascii="Times New Roman" w:hAnsi="Times New Roman" w:eastAsia="仿宋"/>
          <w:bCs/>
          <w:color w:val="auto"/>
          <w:sz w:val="24"/>
          <w:highlight w:val="none"/>
        </w:rPr>
      </w:pPr>
    </w:p>
    <w:p>
      <w:pPr>
        <w:jc w:val="center"/>
        <w:rPr>
          <w:rFonts w:ascii="Times New Roman" w:hAnsi="Times New Roman" w:eastAsia="仿宋"/>
          <w:b/>
          <w:color w:val="auto"/>
          <w:sz w:val="24"/>
          <w:highlight w:val="none"/>
        </w:rPr>
      </w:pPr>
      <w:r>
        <w:rPr>
          <w:rFonts w:ascii="Times New Roman" w:hAnsi="Times New Roman" w:eastAsia="仿宋"/>
          <w:b/>
          <w:color w:val="auto"/>
          <w:sz w:val="24"/>
          <w:highlight w:val="none"/>
        </w:rPr>
        <w:t>法定代表人身份证明书</w:t>
      </w:r>
    </w:p>
    <w:p>
      <w:pPr>
        <w:spacing w:line="600" w:lineRule="exact"/>
        <w:rPr>
          <w:rFonts w:ascii="Times New Roman" w:hAnsi="Times New Roman" w:eastAsia="仿宋"/>
          <w:color w:val="auto"/>
          <w:sz w:val="28"/>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致：东莞市万江招投标服务所</w:t>
      </w:r>
    </w:p>
    <w:p>
      <w:pPr>
        <w:ind w:firstLine="480" w:firstLineChars="200"/>
        <w:rPr>
          <w:rFonts w:ascii="Times New Roman" w:hAnsi="Times New Roman" w:eastAsia="仿宋"/>
          <w:color w:val="auto"/>
          <w:sz w:val="24"/>
          <w:highlight w:val="none"/>
        </w:rPr>
      </w:pPr>
      <w:r>
        <w:rPr>
          <w:rFonts w:ascii="Times New Roman" w:hAnsi="Times New Roman" w:eastAsia="仿宋"/>
          <w:color w:val="auto"/>
          <w:sz w:val="24"/>
          <w:highlight w:val="none"/>
        </w:rPr>
        <w:t xml:space="preserve">本证明书声明：注册于 </w:t>
      </w:r>
      <w:r>
        <w:rPr>
          <w:rFonts w:ascii="Times New Roman" w:hAnsi="Times New Roman" w:eastAsia="仿宋"/>
          <w:color w:val="auto"/>
          <w:sz w:val="28"/>
          <w:highlight w:val="none"/>
          <w:u w:val="single"/>
        </w:rPr>
        <w:t xml:space="preserve">        </w:t>
      </w:r>
      <w:r>
        <w:rPr>
          <w:rFonts w:ascii="Times New Roman" w:hAnsi="Times New Roman" w:eastAsia="仿宋"/>
          <w:color w:val="auto"/>
          <w:sz w:val="24"/>
          <w:highlight w:val="none"/>
        </w:rPr>
        <w:t>（国家名称）的</w:t>
      </w:r>
      <w:r>
        <w:rPr>
          <w:rFonts w:ascii="Times New Roman" w:hAnsi="Times New Roman" w:eastAsia="仿宋"/>
          <w:color w:val="auto"/>
          <w:sz w:val="28"/>
          <w:highlight w:val="none"/>
          <w:u w:val="single"/>
        </w:rPr>
        <w:t>　           　</w:t>
      </w:r>
      <w:r>
        <w:rPr>
          <w:rFonts w:ascii="Times New Roman" w:hAnsi="Times New Roman" w:eastAsia="仿宋"/>
          <w:color w:val="auto"/>
          <w:sz w:val="24"/>
          <w:highlight w:val="none"/>
        </w:rPr>
        <w:t>（供应商名称）在下面签字的</w:t>
      </w:r>
      <w:r>
        <w:rPr>
          <w:rFonts w:ascii="Times New Roman" w:hAnsi="Times New Roman" w:eastAsia="仿宋"/>
          <w:color w:val="auto"/>
          <w:sz w:val="28"/>
          <w:highlight w:val="none"/>
          <w:u w:val="single"/>
        </w:rPr>
        <w:t>　　　　　</w:t>
      </w:r>
      <w:r>
        <w:rPr>
          <w:rFonts w:ascii="Times New Roman" w:hAnsi="Times New Roman" w:eastAsia="仿宋"/>
          <w:color w:val="auto"/>
          <w:sz w:val="24"/>
          <w:highlight w:val="none"/>
        </w:rPr>
        <w:t>（法定代表人姓名、职务）为本公司的合法代表人（须提供法定代表人身份证复印件）。</w:t>
      </w:r>
    </w:p>
    <w:p>
      <w:pPr>
        <w:rPr>
          <w:rFonts w:ascii="Times New Roman" w:hAnsi="Times New Roman" w:eastAsia="仿宋"/>
          <w:color w:val="auto"/>
          <w:sz w:val="24"/>
          <w:highlight w:val="none"/>
        </w:rPr>
      </w:pPr>
      <w:r>
        <w:rPr>
          <w:rFonts w:ascii="Times New Roman" w:hAnsi="Times New Roman" w:eastAsia="仿宋"/>
          <w:color w:val="auto"/>
          <w:sz w:val="24"/>
          <w:highlight w:val="none"/>
        </w:rPr>
        <w:t>特此证明。</w:t>
      </w:r>
    </w:p>
    <w:p>
      <w:pPr>
        <w:spacing w:line="600" w:lineRule="exact"/>
        <w:rPr>
          <w:rFonts w:ascii="Times New Roman" w:hAnsi="Times New Roman" w:eastAsia="仿宋"/>
          <w:color w:val="auto"/>
          <w:sz w:val="28"/>
          <w:highlight w:val="none"/>
        </w:rPr>
      </w:pPr>
    </w:p>
    <w:tbl>
      <w:tblPr>
        <w:tblStyle w:val="14"/>
        <w:tblpPr w:leftFromText="180" w:rightFromText="180" w:vertAnchor="text" w:horzAnchor="page" w:tblpX="3519" w:tblpY="34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Times New Roman" w:hAnsi="Times New Roman" w:eastAsia="仿宋"/>
                <w:color w:val="auto"/>
                <w:sz w:val="24"/>
                <w:highlight w:val="none"/>
              </w:rPr>
            </w:pPr>
            <w:r>
              <w:rPr>
                <w:rFonts w:ascii="Times New Roman" w:hAnsi="Times New Roman" w:eastAsia="仿宋"/>
                <w:color w:val="auto"/>
                <w:sz w:val="24"/>
                <w:highlight w:val="none"/>
              </w:rPr>
              <w:t>法定代表人身份证复印件（正、反面）粘贴处</w:t>
            </w:r>
          </w:p>
        </w:tc>
      </w:tr>
    </w:tbl>
    <w:p>
      <w:pPr>
        <w:spacing w:line="600" w:lineRule="exact"/>
        <w:rPr>
          <w:rFonts w:ascii="Times New Roman" w:hAnsi="Times New Roman" w:eastAsia="仿宋"/>
          <w:color w:val="auto"/>
          <w:sz w:val="28"/>
          <w:highlight w:val="none"/>
        </w:rPr>
      </w:pPr>
    </w:p>
    <w:p>
      <w:pPr>
        <w:spacing w:line="600" w:lineRule="exact"/>
        <w:rPr>
          <w:rFonts w:ascii="Times New Roman" w:hAnsi="Times New Roman" w:eastAsia="仿宋"/>
          <w:color w:val="auto"/>
          <w:sz w:val="28"/>
          <w:highlight w:val="none"/>
        </w:rPr>
      </w:pPr>
    </w:p>
    <w:p>
      <w:pPr>
        <w:spacing w:line="600" w:lineRule="exact"/>
        <w:rPr>
          <w:rFonts w:ascii="Times New Roman" w:hAnsi="Times New Roman" w:eastAsia="仿宋"/>
          <w:color w:val="auto"/>
          <w:sz w:val="28"/>
          <w:highlight w:val="none"/>
        </w:rPr>
      </w:pPr>
    </w:p>
    <w:p>
      <w:pPr>
        <w:spacing w:line="600" w:lineRule="exact"/>
        <w:rPr>
          <w:rFonts w:ascii="Times New Roman" w:hAnsi="Times New Roman" w:eastAsia="仿宋"/>
          <w:color w:val="auto"/>
          <w:sz w:val="28"/>
          <w:highlight w:val="none"/>
        </w:rPr>
      </w:pPr>
    </w:p>
    <w:p>
      <w:pPr>
        <w:spacing w:line="600" w:lineRule="exact"/>
        <w:rPr>
          <w:rFonts w:ascii="Times New Roman" w:hAnsi="Times New Roman" w:eastAsia="仿宋"/>
          <w:color w:val="auto"/>
          <w:sz w:val="28"/>
          <w:highlight w:val="none"/>
        </w:rPr>
      </w:pPr>
    </w:p>
    <w:p>
      <w:pPr>
        <w:spacing w:line="600" w:lineRule="exact"/>
        <w:rPr>
          <w:rFonts w:ascii="Times New Roman" w:hAnsi="Times New Roman" w:eastAsia="仿宋"/>
          <w:color w:val="auto"/>
          <w:sz w:val="28"/>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供应商名称（加盖公章）：</w:t>
      </w:r>
    </w:p>
    <w:p>
      <w:pPr>
        <w:rPr>
          <w:rFonts w:ascii="Times New Roman" w:hAnsi="Times New Roman" w:eastAsia="仿宋"/>
          <w:color w:val="auto"/>
          <w:sz w:val="24"/>
          <w:highlight w:val="none"/>
        </w:rPr>
      </w:pPr>
      <w:r>
        <w:rPr>
          <w:rFonts w:ascii="Times New Roman" w:hAnsi="Times New Roman" w:eastAsia="仿宋"/>
          <w:color w:val="auto"/>
          <w:sz w:val="24"/>
          <w:highlight w:val="none"/>
        </w:rPr>
        <w:t>法定代表人（签名或盖私章）：</w:t>
      </w:r>
    </w:p>
    <w:p>
      <w:pPr>
        <w:rPr>
          <w:rFonts w:ascii="Times New Roman" w:hAnsi="Times New Roman" w:eastAsia="仿宋"/>
          <w:color w:val="auto"/>
          <w:sz w:val="24"/>
          <w:highlight w:val="none"/>
        </w:rPr>
      </w:pPr>
      <w:r>
        <w:rPr>
          <w:rFonts w:ascii="Times New Roman" w:hAnsi="Times New Roman" w:eastAsia="仿宋"/>
          <w:color w:val="auto"/>
          <w:sz w:val="24"/>
          <w:highlight w:val="none"/>
        </w:rPr>
        <w:t>日期：</w:t>
      </w:r>
    </w:p>
    <w:p>
      <w:pPr>
        <w:rPr>
          <w:rFonts w:ascii="Times New Roman" w:hAnsi="Times New Roman" w:eastAsia="仿宋"/>
          <w:color w:val="auto"/>
          <w:sz w:val="24"/>
          <w:highlight w:val="none"/>
        </w:rPr>
      </w:pPr>
      <w:r>
        <w:rPr>
          <w:rFonts w:ascii="Times New Roman" w:hAnsi="Times New Roman" w:eastAsia="仿宋"/>
          <w:color w:val="auto"/>
          <w:sz w:val="24"/>
          <w:highlight w:val="none"/>
        </w:rPr>
        <w:br w:type="page"/>
      </w:r>
    </w:p>
    <w:p>
      <w:pPr>
        <w:rPr>
          <w:rFonts w:ascii="Times New Roman" w:hAnsi="Times New Roman" w:eastAsia="仿宋"/>
          <w:b/>
          <w:color w:val="auto"/>
          <w:sz w:val="24"/>
          <w:highlight w:val="none"/>
        </w:rPr>
      </w:pPr>
      <w:r>
        <w:rPr>
          <w:rFonts w:ascii="Times New Roman" w:hAnsi="Times New Roman" w:eastAsia="仿宋"/>
          <w:b/>
          <w:color w:val="auto"/>
          <w:sz w:val="24"/>
          <w:highlight w:val="none"/>
        </w:rPr>
        <w:t>3.1.2. 法定代表人授权书（法定代表人作为投标负责人的无需提供）</w:t>
      </w:r>
    </w:p>
    <w:p>
      <w:pPr>
        <w:pStyle w:val="29"/>
        <w:rPr>
          <w:rFonts w:ascii="Times New Roman" w:hAnsi="Times New Roman"/>
          <w:color w:val="auto"/>
          <w:highlight w:val="none"/>
        </w:rPr>
      </w:pPr>
    </w:p>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w:t>
      </w:r>
      <w:r>
        <w:rPr>
          <w:rFonts w:ascii="Times New Roman" w:hAnsi="Times New Roman" w:eastAsia="仿宋"/>
          <w:b/>
          <w:bCs/>
          <w:color w:val="auto"/>
          <w:sz w:val="24"/>
          <w:highlight w:val="none"/>
        </w:rPr>
        <w:t>法定代表人授权书</w:t>
      </w:r>
    </w:p>
    <w:p>
      <w:pPr>
        <w:rPr>
          <w:rFonts w:ascii="Times New Roman" w:hAnsi="Times New Roman" w:eastAsia="仿宋"/>
          <w:color w:val="auto"/>
          <w:sz w:val="24"/>
          <w:highlight w:val="none"/>
        </w:rPr>
      </w:pPr>
      <w:r>
        <w:rPr>
          <w:rFonts w:ascii="Times New Roman" w:hAnsi="Times New Roman" w:eastAsia="仿宋"/>
          <w:color w:val="auto"/>
          <w:sz w:val="24"/>
          <w:highlight w:val="none"/>
        </w:rPr>
        <w:t>致：东莞市万江招投标服务所</w:t>
      </w: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委托书声明：在下面签字的</w:t>
      </w:r>
      <w:r>
        <w:rPr>
          <w:rFonts w:ascii="Times New Roman" w:hAnsi="Times New Roman" w:eastAsia="仿宋"/>
          <w:color w:val="auto"/>
          <w:sz w:val="24"/>
          <w:highlight w:val="none"/>
          <w:u w:val="single"/>
        </w:rPr>
        <w:t xml:space="preserve">           </w:t>
      </w:r>
      <w:r>
        <w:rPr>
          <w:rFonts w:ascii="Times New Roman" w:hAnsi="Times New Roman" w:eastAsia="仿宋"/>
          <w:color w:val="auto"/>
          <w:sz w:val="24"/>
          <w:highlight w:val="none"/>
        </w:rPr>
        <w:t>（法定代表人姓名、职务）代表             （供应商名称）委托在下面签字的</w:t>
      </w:r>
      <w:r>
        <w:rPr>
          <w:rFonts w:ascii="Times New Roman" w:hAnsi="Times New Roman" w:eastAsia="仿宋"/>
          <w:color w:val="auto"/>
          <w:sz w:val="24"/>
          <w:highlight w:val="none"/>
          <w:u w:val="single"/>
        </w:rPr>
        <w:t xml:space="preserve">          </w:t>
      </w:r>
      <w:r>
        <w:rPr>
          <w:rFonts w:ascii="Times New Roman" w:hAnsi="Times New Roman" w:eastAsia="仿宋"/>
          <w:color w:val="auto"/>
          <w:sz w:val="24"/>
          <w:highlight w:val="none"/>
        </w:rPr>
        <w:t>（授权代表的姓名、职务）为本公司的合法代表人，就</w:t>
      </w:r>
      <w:r>
        <w:rPr>
          <w:rFonts w:ascii="Times New Roman" w:hAnsi="Times New Roman" w:eastAsia="仿宋"/>
          <w:color w:val="auto"/>
          <w:sz w:val="24"/>
          <w:highlight w:val="none"/>
          <w:u w:val="single"/>
        </w:rPr>
        <w:t xml:space="preserve">                     </w:t>
      </w:r>
      <w:r>
        <w:rPr>
          <w:rFonts w:ascii="Times New Roman" w:hAnsi="Times New Roman" w:eastAsia="仿宋"/>
          <w:color w:val="auto"/>
          <w:sz w:val="24"/>
          <w:highlight w:val="none"/>
        </w:rPr>
        <w:t>采购项目（采购编号：</w:t>
      </w:r>
      <w:r>
        <w:rPr>
          <w:rFonts w:ascii="Times New Roman" w:hAnsi="Times New Roman" w:eastAsia="仿宋"/>
          <w:color w:val="auto"/>
          <w:sz w:val="24"/>
          <w:highlight w:val="none"/>
          <w:u w:val="single"/>
        </w:rPr>
        <w:t xml:space="preserve">          </w:t>
      </w:r>
      <w:r>
        <w:rPr>
          <w:rFonts w:ascii="Times New Roman" w:hAnsi="Times New Roman" w:eastAsia="仿宋"/>
          <w:color w:val="auto"/>
          <w:sz w:val="24"/>
          <w:highlight w:val="none"/>
        </w:rPr>
        <w:t>）招标的相关服务的投标和合同的执行，以本公司的名义处理一切与之有关的事宜（须提供授权代表身份证复印件）。</w:t>
      </w:r>
    </w:p>
    <w:p>
      <w:pPr>
        <w:rPr>
          <w:rFonts w:ascii="Times New Roman" w:hAnsi="Times New Roman" w:eastAsia="仿宋"/>
          <w:color w:val="auto"/>
          <w:sz w:val="24"/>
          <w:highlight w:val="none"/>
        </w:rPr>
      </w:pPr>
      <w:r>
        <w:rPr>
          <w:rFonts w:ascii="Times New Roman" w:hAnsi="Times New Roman" w:eastAsia="仿宋"/>
          <w:color w:val="auto"/>
          <w:sz w:val="24"/>
          <w:highlight w:val="none"/>
        </w:rPr>
        <w:t>本委托书于</w:t>
      </w:r>
      <w:r>
        <w:rPr>
          <w:rFonts w:ascii="Times New Roman" w:hAnsi="Times New Roman" w:eastAsia="仿宋"/>
          <w:color w:val="auto"/>
          <w:sz w:val="24"/>
          <w:highlight w:val="none"/>
          <w:u w:val="single"/>
        </w:rPr>
        <w:t xml:space="preserve">　  </w:t>
      </w:r>
      <w:r>
        <w:rPr>
          <w:rFonts w:ascii="Times New Roman" w:hAnsi="Times New Roman" w:eastAsia="仿宋"/>
          <w:color w:val="auto"/>
          <w:sz w:val="24"/>
          <w:highlight w:val="none"/>
        </w:rPr>
        <w:t>年</w:t>
      </w:r>
      <w:r>
        <w:rPr>
          <w:rFonts w:ascii="Times New Roman" w:hAnsi="Times New Roman" w:eastAsia="仿宋"/>
          <w:color w:val="auto"/>
          <w:sz w:val="24"/>
          <w:highlight w:val="none"/>
          <w:u w:val="single"/>
        </w:rPr>
        <w:t xml:space="preserve">　 </w:t>
      </w:r>
      <w:r>
        <w:rPr>
          <w:rFonts w:ascii="Times New Roman" w:hAnsi="Times New Roman" w:eastAsia="仿宋"/>
          <w:color w:val="auto"/>
          <w:sz w:val="24"/>
          <w:highlight w:val="none"/>
        </w:rPr>
        <w:t>月</w:t>
      </w:r>
      <w:r>
        <w:rPr>
          <w:rFonts w:ascii="Times New Roman" w:hAnsi="Times New Roman" w:eastAsia="仿宋"/>
          <w:color w:val="auto"/>
          <w:sz w:val="24"/>
          <w:highlight w:val="none"/>
          <w:u w:val="single"/>
        </w:rPr>
        <w:t xml:space="preserve">　 </w:t>
      </w:r>
      <w:r>
        <w:rPr>
          <w:rFonts w:ascii="Times New Roman" w:hAnsi="Times New Roman" w:eastAsia="仿宋"/>
          <w:color w:val="auto"/>
          <w:sz w:val="24"/>
          <w:highlight w:val="none"/>
        </w:rPr>
        <w:t>日签字生效。</w:t>
      </w:r>
    </w:p>
    <w:p>
      <w:pPr>
        <w:rPr>
          <w:rFonts w:ascii="Times New Roman" w:hAnsi="Times New Roman" w:eastAsia="仿宋"/>
          <w:color w:val="auto"/>
          <w:sz w:val="24"/>
          <w:highlight w:val="none"/>
        </w:rPr>
      </w:pPr>
    </w:p>
    <w:tbl>
      <w:tblPr>
        <w:tblStyle w:val="14"/>
        <w:tblpPr w:leftFromText="180" w:rightFromText="180" w:vertAnchor="text" w:horzAnchor="page" w:tblpX="3532" w:tblpY="432"/>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rPr>
                <w:rFonts w:ascii="Times New Roman" w:hAnsi="Times New Roman" w:eastAsia="仿宋"/>
                <w:color w:val="auto"/>
                <w:sz w:val="24"/>
                <w:highlight w:val="none"/>
              </w:rPr>
            </w:pPr>
            <w:r>
              <w:rPr>
                <w:rFonts w:ascii="Times New Roman" w:hAnsi="Times New Roman" w:eastAsia="仿宋"/>
                <w:color w:val="auto"/>
                <w:sz w:val="24"/>
                <w:highlight w:val="none"/>
              </w:rPr>
              <w:t>授权代表人身份证复印件（正、反面）粘贴处</w:t>
            </w:r>
          </w:p>
        </w:tc>
      </w:tr>
    </w:tbl>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ind w:firstLine="1440" w:firstLineChars="600"/>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供应商名称（加盖公章）：</w:t>
      </w:r>
    </w:p>
    <w:p>
      <w:pPr>
        <w:rPr>
          <w:rFonts w:ascii="Times New Roman" w:hAnsi="Times New Roman" w:eastAsia="仿宋"/>
          <w:color w:val="auto"/>
          <w:sz w:val="24"/>
          <w:highlight w:val="none"/>
        </w:rPr>
      </w:pPr>
      <w:r>
        <w:rPr>
          <w:rFonts w:ascii="Times New Roman" w:hAnsi="Times New Roman" w:eastAsia="仿宋"/>
          <w:color w:val="auto"/>
          <w:sz w:val="24"/>
          <w:highlight w:val="none"/>
        </w:rPr>
        <w:t>法定代表人（签名或盖私章）：</w:t>
      </w:r>
    </w:p>
    <w:p>
      <w:pPr>
        <w:rPr>
          <w:rFonts w:ascii="Times New Roman" w:hAnsi="Times New Roman" w:eastAsia="仿宋"/>
          <w:color w:val="auto"/>
          <w:sz w:val="24"/>
          <w:highlight w:val="none"/>
        </w:rPr>
      </w:pPr>
      <w:r>
        <w:rPr>
          <w:rFonts w:ascii="Times New Roman" w:hAnsi="Times New Roman" w:eastAsia="仿宋"/>
          <w:color w:val="auto"/>
          <w:sz w:val="24"/>
          <w:highlight w:val="none"/>
        </w:rPr>
        <w:t>授权代表（签名或盖私章）：</w:t>
      </w:r>
    </w:p>
    <w:p>
      <w:pPr>
        <w:rPr>
          <w:rFonts w:ascii="Times New Roman" w:hAnsi="Times New Roman" w:eastAsia="仿宋"/>
          <w:color w:val="auto"/>
          <w:sz w:val="24"/>
          <w:highlight w:val="none"/>
        </w:rPr>
      </w:pPr>
      <w:r>
        <w:rPr>
          <w:rFonts w:ascii="Times New Roman" w:hAnsi="Times New Roman" w:eastAsia="仿宋"/>
          <w:color w:val="auto"/>
          <w:sz w:val="24"/>
          <w:highlight w:val="none"/>
        </w:rPr>
        <w:t>日期：</w:t>
      </w:r>
    </w:p>
    <w:p>
      <w:pPr>
        <w:rPr>
          <w:rFonts w:ascii="Times New Roman" w:hAnsi="Times New Roman" w:eastAsia="仿宋"/>
          <w:color w:val="auto"/>
          <w:sz w:val="24"/>
          <w:highlight w:val="none"/>
        </w:rPr>
      </w:pP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r>
        <w:rPr>
          <w:rFonts w:ascii="Times New Roman" w:hAnsi="Times New Roman" w:eastAsia="仿宋"/>
          <w:b/>
          <w:color w:val="auto"/>
          <w:sz w:val="24"/>
          <w:highlight w:val="none"/>
        </w:rPr>
        <w:t>3.2 具有良好的商业信誉和健全的财务会计制度的证明文件</w:t>
      </w: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提供财务报告或基本开户银行出具的资信证明或专业担保机构出具的投标担保函</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spacing w:line="480" w:lineRule="exact"/>
        <w:rPr>
          <w:rFonts w:ascii="Times New Roman" w:hAnsi="Times New Roman" w:eastAsia="仿宋"/>
          <w:color w:val="auto"/>
          <w:sz w:val="24"/>
          <w:highlight w:val="none"/>
        </w:rPr>
      </w:pPr>
      <w:r>
        <w:rPr>
          <w:rFonts w:ascii="Times New Roman" w:hAnsi="Times New Roman" w:eastAsia="仿宋"/>
          <w:color w:val="auto"/>
          <w:sz w:val="24"/>
          <w:highlight w:val="none"/>
        </w:rPr>
        <w:t>说明：</w:t>
      </w:r>
    </w:p>
    <w:p>
      <w:pPr>
        <w:spacing w:line="480" w:lineRule="exact"/>
        <w:rPr>
          <w:rFonts w:ascii="Times New Roman" w:hAnsi="Times New Roman" w:eastAsia="仿宋"/>
          <w:color w:val="auto"/>
          <w:sz w:val="24"/>
          <w:highlight w:val="none"/>
        </w:rPr>
      </w:pPr>
      <w:r>
        <w:rPr>
          <w:rFonts w:ascii="Times New Roman" w:hAnsi="Times New Roman" w:eastAsia="仿宋"/>
          <w:color w:val="auto"/>
          <w:sz w:val="24"/>
          <w:highlight w:val="none"/>
        </w:rPr>
        <w:t>1.如提供会计师事务所出具的审计的财务报告复印件，须加盖本单位公章。</w:t>
      </w:r>
    </w:p>
    <w:p>
      <w:pPr>
        <w:spacing w:line="480" w:lineRule="exact"/>
        <w:rPr>
          <w:rFonts w:ascii="Times New Roman" w:hAnsi="Times New Roman" w:eastAsia="仿宋"/>
          <w:color w:val="auto"/>
          <w:sz w:val="24"/>
          <w:highlight w:val="none"/>
        </w:rPr>
      </w:pPr>
      <w:r>
        <w:rPr>
          <w:rFonts w:ascii="Times New Roman" w:hAnsi="Times New Roman" w:eastAsia="仿宋"/>
          <w:color w:val="auto"/>
          <w:sz w:val="24"/>
          <w:highlight w:val="none"/>
        </w:rPr>
        <w:t>2.如提供银行出具的资信证明文件。银行资信证明文件可提供原件，也可提供银行开具资信证明文件的复印件。若提供的是复印件，采购人保留审核原件的权利。</w:t>
      </w:r>
    </w:p>
    <w:p>
      <w:pPr>
        <w:spacing w:line="480" w:lineRule="exact"/>
        <w:rPr>
          <w:rFonts w:ascii="Times New Roman" w:hAnsi="Times New Roman" w:eastAsia="仿宋"/>
          <w:color w:val="auto"/>
          <w:sz w:val="24"/>
          <w:highlight w:val="none"/>
        </w:rPr>
      </w:pPr>
      <w:r>
        <w:rPr>
          <w:rFonts w:ascii="Times New Roman" w:hAnsi="Times New Roman" w:eastAsia="仿宋"/>
          <w:color w:val="auto"/>
          <w:sz w:val="24"/>
          <w:highlight w:val="none"/>
        </w:rPr>
        <w:t>3.如果是联合体投标，联合体各方均需提供上述证明。</w:t>
      </w:r>
    </w:p>
    <w:p>
      <w:pPr>
        <w:spacing w:line="480" w:lineRule="exact"/>
        <w:rPr>
          <w:rFonts w:ascii="Times New Roman" w:hAnsi="Times New Roman" w:eastAsia="仿宋"/>
          <w:color w:val="auto"/>
          <w:sz w:val="24"/>
          <w:highlight w:val="none"/>
        </w:rPr>
      </w:pPr>
      <w:r>
        <w:rPr>
          <w:rFonts w:ascii="Times New Roman" w:hAnsi="Times New Roman" w:eastAsia="仿宋"/>
          <w:color w:val="auto"/>
          <w:sz w:val="24"/>
          <w:highlight w:val="none"/>
        </w:rPr>
        <w:t>4.如采用合格的投标担保函的，可提供投标担保函复印件替代。</w:t>
      </w:r>
    </w:p>
    <w:p>
      <w:pPr>
        <w:rPr>
          <w:rFonts w:ascii="Times New Roman" w:hAnsi="Times New Roman" w:eastAsia="仿宋"/>
          <w:color w:val="auto"/>
          <w:sz w:val="24"/>
          <w:highlight w:val="none"/>
        </w:rPr>
      </w:pP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r>
        <w:rPr>
          <w:rFonts w:ascii="Times New Roman" w:hAnsi="Times New Roman" w:eastAsia="仿宋"/>
          <w:b/>
          <w:color w:val="auto"/>
          <w:sz w:val="24"/>
          <w:highlight w:val="none"/>
        </w:rPr>
        <w:t>3.3具备履行合同所必需的设备和专业技术能力的证明材料，须提供《供应商具有履行合同所必需的设备和专业技术能力情况》</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说明：供应商按照招标文件提供的《供应商具有履行合同所必需的设备和专业技术能力情况》格式填写，否则不良后果供应商自行承担。</w:t>
      </w: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p>
    <w:p>
      <w:pPr>
        <w:rPr>
          <w:rFonts w:ascii="Times New Roman" w:hAnsi="Times New Roman" w:eastAsia="仿宋"/>
          <w:b/>
          <w:color w:val="auto"/>
          <w:sz w:val="24"/>
          <w:highlight w:val="none"/>
        </w:rPr>
      </w:pPr>
      <w:r>
        <w:rPr>
          <w:rFonts w:ascii="Times New Roman" w:hAnsi="Times New Roman" w:eastAsia="仿宋"/>
          <w:b/>
          <w:color w:val="auto"/>
          <w:sz w:val="24"/>
          <w:highlight w:val="none"/>
        </w:rPr>
        <w:t>3.3.1供应商具有履行合同所必需的设备和专业技术能力情况</w:t>
      </w:r>
    </w:p>
    <w:p>
      <w:pPr>
        <w:jc w:val="center"/>
        <w:rPr>
          <w:rFonts w:ascii="Times New Roman" w:hAnsi="Times New Roman" w:eastAsia="仿宋"/>
          <w:b/>
          <w:bCs/>
          <w:color w:val="auto"/>
          <w:sz w:val="24"/>
          <w:highlight w:val="none"/>
        </w:rPr>
      </w:pPr>
      <w:r>
        <w:rPr>
          <w:rFonts w:ascii="Times New Roman" w:hAnsi="Times New Roman" w:eastAsia="仿宋"/>
          <w:b/>
          <w:bCs/>
          <w:color w:val="auto"/>
          <w:sz w:val="24"/>
          <w:highlight w:val="none"/>
        </w:rPr>
        <w:t>供应商具有履行合同所必需的设备和专业技术能力情况</w:t>
      </w:r>
    </w:p>
    <w:p>
      <w:pPr>
        <w:jc w:val="center"/>
        <w:rPr>
          <w:rFonts w:ascii="Times New Roman" w:hAnsi="Times New Roman" w:eastAsia="仿宋"/>
          <w:b/>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一、设备情况</w:t>
      </w:r>
    </w:p>
    <w:tbl>
      <w:tblPr>
        <w:tblStyle w:val="14"/>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868"/>
        <w:gridCol w:w="1693"/>
        <w:gridCol w:w="172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84"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序号</w:t>
            </w:r>
          </w:p>
        </w:tc>
        <w:tc>
          <w:tcPr>
            <w:tcW w:w="2868"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设备名称</w:t>
            </w:r>
          </w:p>
        </w:tc>
        <w:tc>
          <w:tcPr>
            <w:tcW w:w="1693"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数量</w:t>
            </w:r>
          </w:p>
        </w:tc>
        <w:tc>
          <w:tcPr>
            <w:tcW w:w="1721"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运行状况</w:t>
            </w:r>
          </w:p>
        </w:tc>
        <w:tc>
          <w:tcPr>
            <w:tcW w:w="1576"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Times New Roman" w:hAnsi="Times New Roman" w:eastAsia="仿宋"/>
                <w:color w:val="auto"/>
                <w:sz w:val="24"/>
                <w:highlight w:val="none"/>
              </w:rPr>
            </w:pPr>
          </w:p>
        </w:tc>
        <w:tc>
          <w:tcPr>
            <w:tcW w:w="2868" w:type="dxa"/>
            <w:vAlign w:val="center"/>
          </w:tcPr>
          <w:p>
            <w:pPr>
              <w:rPr>
                <w:rFonts w:ascii="Times New Roman" w:hAnsi="Times New Roman" w:eastAsia="仿宋"/>
                <w:color w:val="auto"/>
                <w:sz w:val="24"/>
                <w:highlight w:val="none"/>
              </w:rPr>
            </w:pPr>
          </w:p>
        </w:tc>
        <w:tc>
          <w:tcPr>
            <w:tcW w:w="1693" w:type="dxa"/>
          </w:tcPr>
          <w:p>
            <w:pPr>
              <w:rPr>
                <w:rFonts w:ascii="Times New Roman" w:hAnsi="Times New Roman" w:eastAsia="仿宋"/>
                <w:color w:val="auto"/>
                <w:sz w:val="24"/>
                <w:highlight w:val="none"/>
              </w:rPr>
            </w:pPr>
          </w:p>
        </w:tc>
        <w:tc>
          <w:tcPr>
            <w:tcW w:w="1721" w:type="dxa"/>
            <w:vAlign w:val="center"/>
          </w:tcPr>
          <w:p>
            <w:pPr>
              <w:rPr>
                <w:rFonts w:ascii="Times New Roman" w:hAnsi="Times New Roman" w:eastAsia="仿宋"/>
                <w:color w:val="auto"/>
                <w:sz w:val="24"/>
                <w:highlight w:val="none"/>
              </w:rPr>
            </w:pPr>
          </w:p>
        </w:tc>
        <w:tc>
          <w:tcPr>
            <w:tcW w:w="1576" w:type="dxa"/>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84" w:type="dxa"/>
            <w:vAlign w:val="center"/>
          </w:tcPr>
          <w:p>
            <w:pPr>
              <w:rPr>
                <w:rFonts w:ascii="Times New Roman" w:hAnsi="Times New Roman" w:eastAsia="仿宋"/>
                <w:color w:val="auto"/>
                <w:sz w:val="24"/>
                <w:highlight w:val="none"/>
              </w:rPr>
            </w:pPr>
          </w:p>
        </w:tc>
        <w:tc>
          <w:tcPr>
            <w:tcW w:w="2868" w:type="dxa"/>
            <w:vAlign w:val="center"/>
          </w:tcPr>
          <w:p>
            <w:pPr>
              <w:rPr>
                <w:rFonts w:ascii="Times New Roman" w:hAnsi="Times New Roman" w:eastAsia="仿宋"/>
                <w:color w:val="auto"/>
                <w:sz w:val="24"/>
                <w:highlight w:val="none"/>
              </w:rPr>
            </w:pPr>
          </w:p>
        </w:tc>
        <w:tc>
          <w:tcPr>
            <w:tcW w:w="1693" w:type="dxa"/>
          </w:tcPr>
          <w:p>
            <w:pPr>
              <w:rPr>
                <w:rFonts w:ascii="Times New Roman" w:hAnsi="Times New Roman" w:eastAsia="仿宋"/>
                <w:color w:val="auto"/>
                <w:sz w:val="24"/>
                <w:highlight w:val="none"/>
              </w:rPr>
            </w:pPr>
          </w:p>
        </w:tc>
        <w:tc>
          <w:tcPr>
            <w:tcW w:w="1721" w:type="dxa"/>
            <w:vAlign w:val="center"/>
          </w:tcPr>
          <w:p>
            <w:pPr>
              <w:rPr>
                <w:rFonts w:ascii="Times New Roman" w:hAnsi="Times New Roman" w:eastAsia="仿宋"/>
                <w:color w:val="auto"/>
                <w:sz w:val="24"/>
                <w:highlight w:val="none"/>
              </w:rPr>
            </w:pPr>
          </w:p>
        </w:tc>
        <w:tc>
          <w:tcPr>
            <w:tcW w:w="1576" w:type="dxa"/>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4" w:type="dxa"/>
            <w:vAlign w:val="center"/>
          </w:tcPr>
          <w:p>
            <w:pPr>
              <w:rPr>
                <w:rFonts w:ascii="Times New Roman" w:hAnsi="Times New Roman" w:eastAsia="仿宋"/>
                <w:color w:val="auto"/>
                <w:sz w:val="24"/>
                <w:highlight w:val="none"/>
              </w:rPr>
            </w:pPr>
          </w:p>
        </w:tc>
        <w:tc>
          <w:tcPr>
            <w:tcW w:w="2868" w:type="dxa"/>
            <w:vAlign w:val="center"/>
          </w:tcPr>
          <w:p>
            <w:pPr>
              <w:rPr>
                <w:rFonts w:ascii="Times New Roman" w:hAnsi="Times New Roman" w:eastAsia="仿宋"/>
                <w:color w:val="auto"/>
                <w:sz w:val="24"/>
                <w:highlight w:val="none"/>
              </w:rPr>
            </w:pPr>
          </w:p>
        </w:tc>
        <w:tc>
          <w:tcPr>
            <w:tcW w:w="1693" w:type="dxa"/>
          </w:tcPr>
          <w:p>
            <w:pPr>
              <w:rPr>
                <w:rFonts w:ascii="Times New Roman" w:hAnsi="Times New Roman" w:eastAsia="仿宋"/>
                <w:color w:val="auto"/>
                <w:sz w:val="24"/>
                <w:highlight w:val="none"/>
              </w:rPr>
            </w:pPr>
          </w:p>
        </w:tc>
        <w:tc>
          <w:tcPr>
            <w:tcW w:w="1721" w:type="dxa"/>
            <w:vAlign w:val="center"/>
          </w:tcPr>
          <w:p>
            <w:pPr>
              <w:rPr>
                <w:rFonts w:ascii="Times New Roman" w:hAnsi="Times New Roman" w:eastAsia="仿宋"/>
                <w:color w:val="auto"/>
                <w:sz w:val="24"/>
                <w:highlight w:val="none"/>
              </w:rPr>
            </w:pPr>
          </w:p>
        </w:tc>
        <w:tc>
          <w:tcPr>
            <w:tcW w:w="1576" w:type="dxa"/>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84" w:type="dxa"/>
            <w:vAlign w:val="center"/>
          </w:tcPr>
          <w:p>
            <w:pPr>
              <w:rPr>
                <w:rFonts w:ascii="Times New Roman" w:hAnsi="Times New Roman" w:eastAsia="仿宋"/>
                <w:color w:val="auto"/>
                <w:sz w:val="24"/>
                <w:highlight w:val="none"/>
              </w:rPr>
            </w:pPr>
          </w:p>
        </w:tc>
        <w:tc>
          <w:tcPr>
            <w:tcW w:w="2868" w:type="dxa"/>
            <w:vAlign w:val="center"/>
          </w:tcPr>
          <w:p>
            <w:pPr>
              <w:rPr>
                <w:rFonts w:ascii="Times New Roman" w:hAnsi="Times New Roman" w:eastAsia="仿宋"/>
                <w:color w:val="auto"/>
                <w:sz w:val="24"/>
                <w:highlight w:val="none"/>
              </w:rPr>
            </w:pPr>
          </w:p>
        </w:tc>
        <w:tc>
          <w:tcPr>
            <w:tcW w:w="1693" w:type="dxa"/>
          </w:tcPr>
          <w:p>
            <w:pPr>
              <w:rPr>
                <w:rFonts w:ascii="Times New Roman" w:hAnsi="Times New Roman" w:eastAsia="仿宋"/>
                <w:color w:val="auto"/>
                <w:sz w:val="24"/>
                <w:highlight w:val="none"/>
              </w:rPr>
            </w:pPr>
          </w:p>
        </w:tc>
        <w:tc>
          <w:tcPr>
            <w:tcW w:w="1721" w:type="dxa"/>
            <w:vAlign w:val="center"/>
          </w:tcPr>
          <w:p>
            <w:pPr>
              <w:rPr>
                <w:rFonts w:ascii="Times New Roman" w:hAnsi="Times New Roman" w:eastAsia="仿宋"/>
                <w:color w:val="auto"/>
                <w:sz w:val="24"/>
                <w:highlight w:val="none"/>
              </w:rPr>
            </w:pPr>
          </w:p>
        </w:tc>
        <w:tc>
          <w:tcPr>
            <w:tcW w:w="1576" w:type="dxa"/>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auto"/>
                <w:sz w:val="24"/>
                <w:highlight w:val="none"/>
              </w:rPr>
            </w:pPr>
          </w:p>
        </w:tc>
        <w:tc>
          <w:tcPr>
            <w:tcW w:w="2868" w:type="dxa"/>
            <w:vAlign w:val="center"/>
          </w:tcPr>
          <w:p>
            <w:pPr>
              <w:rPr>
                <w:rFonts w:ascii="Times New Roman" w:hAnsi="Times New Roman" w:eastAsia="仿宋"/>
                <w:color w:val="auto"/>
                <w:sz w:val="24"/>
                <w:highlight w:val="none"/>
              </w:rPr>
            </w:pPr>
          </w:p>
        </w:tc>
        <w:tc>
          <w:tcPr>
            <w:tcW w:w="1693" w:type="dxa"/>
          </w:tcPr>
          <w:p>
            <w:pPr>
              <w:rPr>
                <w:rFonts w:ascii="Times New Roman" w:hAnsi="Times New Roman" w:eastAsia="仿宋"/>
                <w:color w:val="auto"/>
                <w:sz w:val="24"/>
                <w:highlight w:val="none"/>
              </w:rPr>
            </w:pPr>
          </w:p>
        </w:tc>
        <w:tc>
          <w:tcPr>
            <w:tcW w:w="1721" w:type="dxa"/>
            <w:vAlign w:val="center"/>
          </w:tcPr>
          <w:p>
            <w:pPr>
              <w:rPr>
                <w:rFonts w:ascii="Times New Roman" w:hAnsi="Times New Roman" w:eastAsia="仿宋"/>
                <w:color w:val="auto"/>
                <w:sz w:val="24"/>
                <w:highlight w:val="none"/>
              </w:rPr>
            </w:pPr>
          </w:p>
        </w:tc>
        <w:tc>
          <w:tcPr>
            <w:tcW w:w="1576" w:type="dxa"/>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auto"/>
                <w:sz w:val="24"/>
                <w:highlight w:val="none"/>
              </w:rPr>
            </w:pPr>
          </w:p>
        </w:tc>
        <w:tc>
          <w:tcPr>
            <w:tcW w:w="2868" w:type="dxa"/>
            <w:vAlign w:val="center"/>
          </w:tcPr>
          <w:p>
            <w:pPr>
              <w:rPr>
                <w:rFonts w:ascii="Times New Roman" w:hAnsi="Times New Roman" w:eastAsia="仿宋"/>
                <w:color w:val="auto"/>
                <w:sz w:val="24"/>
                <w:highlight w:val="none"/>
              </w:rPr>
            </w:pPr>
          </w:p>
        </w:tc>
        <w:tc>
          <w:tcPr>
            <w:tcW w:w="1693" w:type="dxa"/>
          </w:tcPr>
          <w:p>
            <w:pPr>
              <w:rPr>
                <w:rFonts w:ascii="Times New Roman" w:hAnsi="Times New Roman" w:eastAsia="仿宋"/>
                <w:color w:val="auto"/>
                <w:sz w:val="24"/>
                <w:highlight w:val="none"/>
              </w:rPr>
            </w:pPr>
          </w:p>
        </w:tc>
        <w:tc>
          <w:tcPr>
            <w:tcW w:w="1721" w:type="dxa"/>
            <w:vAlign w:val="center"/>
          </w:tcPr>
          <w:p>
            <w:pPr>
              <w:rPr>
                <w:rFonts w:ascii="Times New Roman" w:hAnsi="Times New Roman" w:eastAsia="仿宋"/>
                <w:color w:val="auto"/>
                <w:sz w:val="24"/>
                <w:highlight w:val="none"/>
              </w:rPr>
            </w:pPr>
          </w:p>
        </w:tc>
        <w:tc>
          <w:tcPr>
            <w:tcW w:w="1576" w:type="dxa"/>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84" w:type="dxa"/>
            <w:vAlign w:val="center"/>
          </w:tcPr>
          <w:p>
            <w:pPr>
              <w:rPr>
                <w:rFonts w:ascii="Times New Roman" w:hAnsi="Times New Roman" w:eastAsia="仿宋"/>
                <w:color w:val="auto"/>
                <w:sz w:val="24"/>
                <w:highlight w:val="none"/>
              </w:rPr>
            </w:pPr>
          </w:p>
        </w:tc>
        <w:tc>
          <w:tcPr>
            <w:tcW w:w="2868" w:type="dxa"/>
            <w:vAlign w:val="center"/>
          </w:tcPr>
          <w:p>
            <w:pPr>
              <w:rPr>
                <w:rFonts w:ascii="Times New Roman" w:hAnsi="Times New Roman" w:eastAsia="仿宋"/>
                <w:color w:val="auto"/>
                <w:sz w:val="24"/>
                <w:highlight w:val="none"/>
              </w:rPr>
            </w:pPr>
          </w:p>
        </w:tc>
        <w:tc>
          <w:tcPr>
            <w:tcW w:w="1693" w:type="dxa"/>
          </w:tcPr>
          <w:p>
            <w:pPr>
              <w:rPr>
                <w:rFonts w:ascii="Times New Roman" w:hAnsi="Times New Roman" w:eastAsia="仿宋"/>
                <w:color w:val="auto"/>
                <w:sz w:val="24"/>
                <w:highlight w:val="none"/>
              </w:rPr>
            </w:pPr>
          </w:p>
        </w:tc>
        <w:tc>
          <w:tcPr>
            <w:tcW w:w="1721" w:type="dxa"/>
            <w:vAlign w:val="center"/>
          </w:tcPr>
          <w:p>
            <w:pPr>
              <w:rPr>
                <w:rFonts w:ascii="Times New Roman" w:hAnsi="Times New Roman" w:eastAsia="仿宋"/>
                <w:color w:val="auto"/>
                <w:sz w:val="24"/>
                <w:highlight w:val="none"/>
              </w:rPr>
            </w:pPr>
          </w:p>
        </w:tc>
        <w:tc>
          <w:tcPr>
            <w:tcW w:w="1576" w:type="dxa"/>
          </w:tcPr>
          <w:p>
            <w:pPr>
              <w:rPr>
                <w:rFonts w:ascii="Times New Roman" w:hAnsi="Times New Roman" w:eastAsia="仿宋"/>
                <w:color w:val="auto"/>
                <w:sz w:val="24"/>
                <w:highlight w:val="none"/>
              </w:rPr>
            </w:pPr>
          </w:p>
        </w:tc>
      </w:tr>
    </w:tbl>
    <w:p>
      <w:pPr>
        <w:rPr>
          <w:rFonts w:ascii="Times New Roman" w:hAnsi="Times New Roman" w:eastAsia="仿宋"/>
          <w:color w:val="auto"/>
          <w:sz w:val="24"/>
          <w:highlight w:val="none"/>
        </w:rPr>
      </w:pPr>
      <w:r>
        <w:rPr>
          <w:rFonts w:ascii="Times New Roman" w:hAnsi="Times New Roman" w:eastAsia="仿宋"/>
          <w:color w:val="auto"/>
          <w:sz w:val="24"/>
          <w:highlight w:val="none"/>
        </w:rPr>
        <w:t>二、专业技术能力情况：</w:t>
      </w:r>
    </w:p>
    <w:tbl>
      <w:tblPr>
        <w:tblStyle w:val="1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950"/>
        <w:gridCol w:w="2647"/>
        <w:gridCol w:w="167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5"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序号</w:t>
            </w:r>
          </w:p>
        </w:tc>
        <w:tc>
          <w:tcPr>
            <w:tcW w:w="1950"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人员姓名</w:t>
            </w:r>
          </w:p>
        </w:tc>
        <w:tc>
          <w:tcPr>
            <w:tcW w:w="2647"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身份证号</w:t>
            </w:r>
          </w:p>
        </w:tc>
        <w:tc>
          <w:tcPr>
            <w:tcW w:w="1671"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岗位</w:t>
            </w:r>
          </w:p>
        </w:tc>
        <w:tc>
          <w:tcPr>
            <w:tcW w:w="1530" w:type="dxa"/>
            <w:vAlign w:val="center"/>
          </w:tcPr>
          <w:p>
            <w:pPr>
              <w:jc w:val="center"/>
              <w:rPr>
                <w:rFonts w:ascii="Times New Roman" w:hAnsi="Times New Roman" w:eastAsia="仿宋"/>
                <w:color w:val="auto"/>
                <w:sz w:val="24"/>
                <w:highlight w:val="none"/>
              </w:rPr>
            </w:pPr>
            <w:r>
              <w:rPr>
                <w:rFonts w:ascii="Times New Roman" w:hAnsi="Times New Roman"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highlight w:val="none"/>
              </w:rPr>
            </w:pPr>
          </w:p>
        </w:tc>
        <w:tc>
          <w:tcPr>
            <w:tcW w:w="1950" w:type="dxa"/>
            <w:vAlign w:val="center"/>
          </w:tcPr>
          <w:p>
            <w:pPr>
              <w:rPr>
                <w:rFonts w:ascii="Times New Roman" w:hAnsi="Times New Roman" w:eastAsia="仿宋"/>
                <w:color w:val="auto"/>
                <w:sz w:val="24"/>
                <w:highlight w:val="none"/>
              </w:rPr>
            </w:pPr>
          </w:p>
        </w:tc>
        <w:tc>
          <w:tcPr>
            <w:tcW w:w="2647" w:type="dxa"/>
            <w:vAlign w:val="center"/>
          </w:tcPr>
          <w:p>
            <w:pPr>
              <w:rPr>
                <w:rFonts w:ascii="Times New Roman" w:hAnsi="Times New Roman" w:eastAsia="仿宋"/>
                <w:color w:val="auto"/>
                <w:sz w:val="24"/>
                <w:highlight w:val="none"/>
              </w:rPr>
            </w:pPr>
          </w:p>
        </w:tc>
        <w:tc>
          <w:tcPr>
            <w:tcW w:w="1671" w:type="dxa"/>
            <w:vAlign w:val="center"/>
          </w:tcPr>
          <w:p>
            <w:pPr>
              <w:rPr>
                <w:rFonts w:ascii="Times New Roman" w:hAnsi="Times New Roman" w:eastAsia="仿宋"/>
                <w:color w:val="auto"/>
                <w:sz w:val="24"/>
                <w:highlight w:val="none"/>
              </w:rPr>
            </w:pPr>
          </w:p>
        </w:tc>
        <w:tc>
          <w:tcPr>
            <w:tcW w:w="1530" w:type="dxa"/>
            <w:vAlign w:val="center"/>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highlight w:val="none"/>
              </w:rPr>
            </w:pPr>
          </w:p>
        </w:tc>
        <w:tc>
          <w:tcPr>
            <w:tcW w:w="1950" w:type="dxa"/>
            <w:vAlign w:val="center"/>
          </w:tcPr>
          <w:p>
            <w:pPr>
              <w:rPr>
                <w:rFonts w:ascii="Times New Roman" w:hAnsi="Times New Roman" w:eastAsia="仿宋"/>
                <w:color w:val="auto"/>
                <w:sz w:val="24"/>
                <w:highlight w:val="none"/>
              </w:rPr>
            </w:pPr>
          </w:p>
        </w:tc>
        <w:tc>
          <w:tcPr>
            <w:tcW w:w="2647" w:type="dxa"/>
            <w:vAlign w:val="center"/>
          </w:tcPr>
          <w:p>
            <w:pPr>
              <w:rPr>
                <w:rFonts w:ascii="Times New Roman" w:hAnsi="Times New Roman" w:eastAsia="仿宋"/>
                <w:color w:val="auto"/>
                <w:sz w:val="24"/>
                <w:highlight w:val="none"/>
              </w:rPr>
            </w:pPr>
          </w:p>
        </w:tc>
        <w:tc>
          <w:tcPr>
            <w:tcW w:w="1671" w:type="dxa"/>
            <w:vAlign w:val="center"/>
          </w:tcPr>
          <w:p>
            <w:pPr>
              <w:rPr>
                <w:rFonts w:ascii="Times New Roman" w:hAnsi="Times New Roman" w:eastAsia="仿宋"/>
                <w:color w:val="auto"/>
                <w:sz w:val="24"/>
                <w:highlight w:val="none"/>
              </w:rPr>
            </w:pPr>
          </w:p>
        </w:tc>
        <w:tc>
          <w:tcPr>
            <w:tcW w:w="1530" w:type="dxa"/>
            <w:vAlign w:val="center"/>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highlight w:val="none"/>
              </w:rPr>
            </w:pPr>
          </w:p>
        </w:tc>
        <w:tc>
          <w:tcPr>
            <w:tcW w:w="1950" w:type="dxa"/>
            <w:vAlign w:val="center"/>
          </w:tcPr>
          <w:p>
            <w:pPr>
              <w:rPr>
                <w:rFonts w:ascii="Times New Roman" w:hAnsi="Times New Roman" w:eastAsia="仿宋"/>
                <w:color w:val="auto"/>
                <w:sz w:val="24"/>
                <w:highlight w:val="none"/>
              </w:rPr>
            </w:pPr>
          </w:p>
        </w:tc>
        <w:tc>
          <w:tcPr>
            <w:tcW w:w="2647" w:type="dxa"/>
            <w:vAlign w:val="center"/>
          </w:tcPr>
          <w:p>
            <w:pPr>
              <w:rPr>
                <w:rFonts w:ascii="Times New Roman" w:hAnsi="Times New Roman" w:eastAsia="仿宋"/>
                <w:color w:val="auto"/>
                <w:sz w:val="24"/>
                <w:highlight w:val="none"/>
              </w:rPr>
            </w:pPr>
          </w:p>
        </w:tc>
        <w:tc>
          <w:tcPr>
            <w:tcW w:w="1671" w:type="dxa"/>
            <w:vAlign w:val="center"/>
          </w:tcPr>
          <w:p>
            <w:pPr>
              <w:rPr>
                <w:rFonts w:ascii="Times New Roman" w:hAnsi="Times New Roman" w:eastAsia="仿宋"/>
                <w:color w:val="auto"/>
                <w:sz w:val="24"/>
                <w:highlight w:val="none"/>
              </w:rPr>
            </w:pPr>
          </w:p>
        </w:tc>
        <w:tc>
          <w:tcPr>
            <w:tcW w:w="1530" w:type="dxa"/>
            <w:vAlign w:val="center"/>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highlight w:val="none"/>
              </w:rPr>
            </w:pPr>
          </w:p>
        </w:tc>
        <w:tc>
          <w:tcPr>
            <w:tcW w:w="1950" w:type="dxa"/>
            <w:vAlign w:val="center"/>
          </w:tcPr>
          <w:p>
            <w:pPr>
              <w:rPr>
                <w:rFonts w:ascii="Times New Roman" w:hAnsi="Times New Roman" w:eastAsia="仿宋"/>
                <w:color w:val="auto"/>
                <w:sz w:val="24"/>
                <w:highlight w:val="none"/>
              </w:rPr>
            </w:pPr>
          </w:p>
        </w:tc>
        <w:tc>
          <w:tcPr>
            <w:tcW w:w="2647" w:type="dxa"/>
            <w:vAlign w:val="center"/>
          </w:tcPr>
          <w:p>
            <w:pPr>
              <w:rPr>
                <w:rFonts w:ascii="Times New Roman" w:hAnsi="Times New Roman" w:eastAsia="仿宋"/>
                <w:color w:val="auto"/>
                <w:sz w:val="24"/>
                <w:highlight w:val="none"/>
              </w:rPr>
            </w:pPr>
          </w:p>
        </w:tc>
        <w:tc>
          <w:tcPr>
            <w:tcW w:w="1671" w:type="dxa"/>
            <w:vAlign w:val="center"/>
          </w:tcPr>
          <w:p>
            <w:pPr>
              <w:rPr>
                <w:rFonts w:ascii="Times New Roman" w:hAnsi="Times New Roman" w:eastAsia="仿宋"/>
                <w:color w:val="auto"/>
                <w:sz w:val="24"/>
                <w:highlight w:val="none"/>
              </w:rPr>
            </w:pPr>
          </w:p>
        </w:tc>
        <w:tc>
          <w:tcPr>
            <w:tcW w:w="1530" w:type="dxa"/>
            <w:vAlign w:val="center"/>
          </w:tcPr>
          <w:p>
            <w:pPr>
              <w:rPr>
                <w:rFonts w:ascii="Times New Roman" w:hAnsi="Times New Roman"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5" w:type="dxa"/>
            <w:vAlign w:val="center"/>
          </w:tcPr>
          <w:p>
            <w:pPr>
              <w:rPr>
                <w:rFonts w:ascii="Times New Roman" w:hAnsi="Times New Roman" w:eastAsia="仿宋"/>
                <w:color w:val="auto"/>
                <w:sz w:val="24"/>
                <w:highlight w:val="none"/>
              </w:rPr>
            </w:pPr>
          </w:p>
        </w:tc>
        <w:tc>
          <w:tcPr>
            <w:tcW w:w="1950" w:type="dxa"/>
            <w:vAlign w:val="center"/>
          </w:tcPr>
          <w:p>
            <w:pPr>
              <w:rPr>
                <w:rFonts w:ascii="Times New Roman" w:hAnsi="Times New Roman" w:eastAsia="仿宋"/>
                <w:color w:val="auto"/>
                <w:sz w:val="24"/>
                <w:highlight w:val="none"/>
              </w:rPr>
            </w:pPr>
          </w:p>
        </w:tc>
        <w:tc>
          <w:tcPr>
            <w:tcW w:w="2647" w:type="dxa"/>
            <w:vAlign w:val="center"/>
          </w:tcPr>
          <w:p>
            <w:pPr>
              <w:rPr>
                <w:rFonts w:ascii="Times New Roman" w:hAnsi="Times New Roman" w:eastAsia="仿宋"/>
                <w:color w:val="auto"/>
                <w:sz w:val="24"/>
                <w:highlight w:val="none"/>
              </w:rPr>
            </w:pPr>
          </w:p>
        </w:tc>
        <w:tc>
          <w:tcPr>
            <w:tcW w:w="1671" w:type="dxa"/>
            <w:vAlign w:val="center"/>
          </w:tcPr>
          <w:p>
            <w:pPr>
              <w:rPr>
                <w:rFonts w:ascii="Times New Roman" w:hAnsi="Times New Roman" w:eastAsia="仿宋"/>
                <w:color w:val="auto"/>
                <w:sz w:val="24"/>
                <w:highlight w:val="none"/>
              </w:rPr>
            </w:pPr>
          </w:p>
        </w:tc>
        <w:tc>
          <w:tcPr>
            <w:tcW w:w="1530" w:type="dxa"/>
            <w:vAlign w:val="center"/>
          </w:tcPr>
          <w:p>
            <w:pPr>
              <w:rPr>
                <w:rFonts w:ascii="Times New Roman" w:hAnsi="Times New Roman" w:eastAsia="仿宋"/>
                <w:color w:val="auto"/>
                <w:sz w:val="24"/>
                <w:highlight w:val="none"/>
              </w:rPr>
            </w:pPr>
          </w:p>
        </w:tc>
      </w:tr>
    </w:tbl>
    <w:p>
      <w:pPr>
        <w:rPr>
          <w:rFonts w:ascii="Times New Roman" w:hAnsi="Times New Roman" w:eastAsia="仿宋"/>
          <w:color w:val="auto"/>
          <w:sz w:val="24"/>
          <w:highlight w:val="none"/>
        </w:rPr>
      </w:pPr>
      <w:r>
        <w:rPr>
          <w:rFonts w:ascii="Times New Roman" w:hAnsi="Times New Roman" w:eastAsia="仿宋"/>
          <w:color w:val="auto"/>
          <w:sz w:val="24"/>
          <w:highlight w:val="none"/>
        </w:rPr>
        <w:t>本公司承诺上述材料真实有效且具备履行合同所必需的设备和专业技术能力。</w:t>
      </w:r>
    </w:p>
    <w:p>
      <w:pPr>
        <w:rPr>
          <w:rFonts w:ascii="Times New Roman" w:hAnsi="Times New Roman" w:eastAsia="仿宋"/>
          <w:color w:val="auto"/>
          <w:sz w:val="24"/>
          <w:highlight w:val="none"/>
        </w:rPr>
      </w:pPr>
      <w:r>
        <w:rPr>
          <w:rFonts w:ascii="Times New Roman" w:hAnsi="Times New Roman" w:eastAsia="仿宋"/>
          <w:color w:val="auto"/>
          <w:sz w:val="24"/>
          <w:highlight w:val="none"/>
        </w:rPr>
        <w:t>供应商名称（加盖公章）：</w:t>
      </w:r>
    </w:p>
    <w:p>
      <w:pPr>
        <w:rPr>
          <w:rFonts w:ascii="Times New Roman" w:hAnsi="Times New Roman" w:eastAsia="仿宋"/>
          <w:color w:val="auto"/>
          <w:sz w:val="24"/>
          <w:highlight w:val="none"/>
        </w:rPr>
      </w:pPr>
      <w:r>
        <w:rPr>
          <w:rFonts w:ascii="Times New Roman" w:hAnsi="Times New Roman" w:eastAsia="仿宋"/>
          <w:color w:val="auto"/>
          <w:sz w:val="24"/>
          <w:highlight w:val="none"/>
        </w:rPr>
        <w:t>日    期：</w:t>
      </w: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p>
    <w:p>
      <w:pPr>
        <w:rPr>
          <w:rFonts w:ascii="Times New Roman" w:hAnsi="Times New Roman" w:eastAsia="仿宋"/>
          <w:b/>
          <w:color w:val="auto"/>
          <w:sz w:val="24"/>
          <w:highlight w:val="none"/>
        </w:rPr>
      </w:pPr>
      <w:r>
        <w:rPr>
          <w:rFonts w:ascii="Times New Roman" w:hAnsi="Times New Roman" w:eastAsia="仿宋"/>
          <w:b/>
          <w:color w:val="auto"/>
          <w:sz w:val="24"/>
          <w:highlight w:val="none"/>
        </w:rPr>
        <w:t>3.4  依法缴纳税收和社会保障资金的良好记录</w:t>
      </w: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提供投标截止日前6个月内任意1个月依法缴纳税收和社会保障资金的相关材料。如依法免税或不需要缴纳社会保障资金的，须提供相应证明材料</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说明： </w:t>
      </w: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1.复印件上应加盖本单位公章。</w:t>
      </w: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2.如果是联合体投标，联合体各方均需提供上述证明。</w:t>
      </w:r>
    </w:p>
    <w:p>
      <w:pPr>
        <w:rPr>
          <w:rFonts w:ascii="Times New Roman" w:hAnsi="Times New Roman" w:eastAsia="仿宋"/>
          <w:color w:val="auto"/>
          <w:sz w:val="24"/>
          <w:highlight w:val="none"/>
        </w:rPr>
      </w:pP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r>
        <w:rPr>
          <w:rFonts w:ascii="Times New Roman" w:hAnsi="Times New Roman" w:eastAsia="仿宋"/>
          <w:b/>
          <w:color w:val="auto"/>
          <w:sz w:val="24"/>
          <w:highlight w:val="none"/>
        </w:rPr>
        <w:t>3.5 参加政府采购活动前3年内在经营活动中没有重大违法记录的书面声明</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说明：1.按照招标文件格式提供，否则不良后果供应商自行承担。</w:t>
      </w: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2.如果是联合体投标，联合体各方均需提供上述证明。</w:t>
      </w:r>
      <w:r>
        <w:rPr>
          <w:rFonts w:ascii="Times New Roman" w:hAnsi="Times New Roman" w:eastAsia="仿宋"/>
          <w:color w:val="auto"/>
          <w:sz w:val="24"/>
          <w:highlight w:val="none"/>
        </w:rPr>
        <w:br w:type="textWrapping"/>
      </w:r>
    </w:p>
    <w:p>
      <w:pPr>
        <w:rPr>
          <w:rFonts w:ascii="Times New Roman" w:hAnsi="Times New Roman" w:eastAsia="仿宋"/>
          <w:b/>
          <w:color w:val="auto"/>
          <w:sz w:val="24"/>
          <w:highlight w:val="none"/>
        </w:rPr>
      </w:pPr>
      <w:r>
        <w:rPr>
          <w:rFonts w:ascii="Times New Roman" w:hAnsi="Times New Roman" w:eastAsia="仿宋"/>
          <w:b/>
          <w:color w:val="auto"/>
          <w:sz w:val="24"/>
          <w:highlight w:val="none"/>
        </w:rPr>
        <w:br w:type="page"/>
      </w:r>
      <w:r>
        <w:rPr>
          <w:rFonts w:ascii="Times New Roman" w:hAnsi="Times New Roman" w:eastAsia="仿宋"/>
          <w:b/>
          <w:color w:val="auto"/>
          <w:sz w:val="24"/>
          <w:highlight w:val="none"/>
        </w:rPr>
        <w:t>3.5.1在经营活动中没有重大违法记录的书面声明</w:t>
      </w:r>
    </w:p>
    <w:p>
      <w:pPr>
        <w:rPr>
          <w:rFonts w:ascii="Times New Roman" w:hAnsi="Times New Roman" w:eastAsia="仿宋"/>
          <w:b/>
          <w:color w:val="auto"/>
          <w:sz w:val="24"/>
          <w:highlight w:val="none"/>
        </w:rPr>
      </w:pPr>
    </w:p>
    <w:p>
      <w:pP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p>
    <w:p>
      <w:pPr>
        <w:jc w:val="center"/>
        <w:rPr>
          <w:rFonts w:ascii="Times New Roman" w:hAnsi="Times New Roman" w:eastAsia="仿宋"/>
          <w:b/>
          <w:color w:val="auto"/>
          <w:sz w:val="24"/>
          <w:highlight w:val="none"/>
        </w:rPr>
      </w:pPr>
      <w:r>
        <w:rPr>
          <w:rFonts w:ascii="Times New Roman" w:hAnsi="Times New Roman" w:eastAsia="仿宋"/>
          <w:b/>
          <w:color w:val="auto"/>
          <w:sz w:val="24"/>
          <w:highlight w:val="none"/>
        </w:rPr>
        <w:t>在经营活动中没有重大违法记录的书面声明</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致：东莞市万江招投标服务所</w:t>
      </w: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本公司参加</w:t>
      </w:r>
      <w:r>
        <w:rPr>
          <w:rFonts w:ascii="Times New Roman" w:hAnsi="Times New Roman" w:eastAsia="仿宋"/>
          <w:color w:val="auto"/>
          <w:sz w:val="24"/>
          <w:highlight w:val="none"/>
          <w:u w:val="single"/>
        </w:rPr>
        <w:t xml:space="preserve">          </w:t>
      </w:r>
      <w:r>
        <w:rPr>
          <w:rFonts w:ascii="Times New Roman" w:hAnsi="Times New Roman" w:eastAsia="仿宋"/>
          <w:color w:val="auto"/>
          <w:sz w:val="24"/>
          <w:highlight w:val="none"/>
        </w:rPr>
        <w:t>采购项目（采购编号：</w:t>
      </w:r>
      <w:r>
        <w:rPr>
          <w:rFonts w:ascii="Times New Roman" w:hAnsi="Times New Roman" w:eastAsia="仿宋"/>
          <w:color w:val="auto"/>
          <w:sz w:val="24"/>
          <w:highlight w:val="none"/>
          <w:u w:val="single"/>
        </w:rPr>
        <w:t>　　　　</w:t>
      </w:r>
      <w:r>
        <w:rPr>
          <w:rFonts w:ascii="Times New Roman" w:hAnsi="Times New Roman" w:eastAsia="仿宋"/>
          <w:color w:val="auto"/>
          <w:sz w:val="24"/>
          <w:highlight w:val="none"/>
        </w:rPr>
        <w:t>）的政府采购活动，并声明：</w:t>
      </w:r>
    </w:p>
    <w:p>
      <w:pPr>
        <w:rPr>
          <w:rFonts w:ascii="Times New Roman" w:hAnsi="Times New Roman" w:eastAsia="仿宋"/>
          <w:color w:val="auto"/>
          <w:sz w:val="24"/>
          <w:highlight w:val="none"/>
        </w:rPr>
      </w:pPr>
      <w:r>
        <w:rPr>
          <w:rFonts w:ascii="Times New Roman" w:hAnsi="Times New Roman" w:eastAsia="仿宋"/>
          <w:color w:val="auto"/>
          <w:sz w:val="24"/>
          <w:highlight w:val="none"/>
        </w:rPr>
        <w:t>本公司参加本采购项目政府采购前3年内在经营活动中没有因违法经营受到刑事处罚或者责令停产停业、吊销许可证或者执照、较大数额罚款等行政处罚。</w:t>
      </w:r>
    </w:p>
    <w:p>
      <w:pPr>
        <w:rPr>
          <w:rFonts w:ascii="Times New Roman" w:hAnsi="Times New Roman" w:eastAsia="仿宋"/>
          <w:color w:val="auto"/>
          <w:sz w:val="24"/>
          <w:highlight w:val="none"/>
        </w:rPr>
      </w:pPr>
      <w:r>
        <w:rPr>
          <w:rFonts w:ascii="Times New Roman" w:hAnsi="Times New Roman" w:eastAsia="仿宋"/>
          <w:color w:val="auto"/>
          <w:sz w:val="24"/>
          <w:highlight w:val="none"/>
        </w:rPr>
        <w:t>    特此声明！</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r>
        <w:rPr>
          <w:rFonts w:ascii="Times New Roman" w:hAnsi="Times New Roman" w:eastAsia="仿宋"/>
          <w:color w:val="auto"/>
          <w:sz w:val="24"/>
          <w:highlight w:val="none"/>
        </w:rPr>
        <w:t>供应商名称（加盖公章）：</w:t>
      </w:r>
    </w:p>
    <w:p>
      <w:pPr>
        <w:rPr>
          <w:rFonts w:ascii="Times New Roman" w:hAnsi="Times New Roman" w:eastAsia="仿宋"/>
          <w:color w:val="auto"/>
          <w:sz w:val="24"/>
          <w:highlight w:val="none"/>
        </w:rPr>
      </w:pPr>
      <w:r>
        <w:rPr>
          <w:rFonts w:ascii="Times New Roman" w:hAnsi="Times New Roman" w:eastAsia="仿宋"/>
          <w:color w:val="auto"/>
          <w:sz w:val="24"/>
          <w:highlight w:val="none"/>
        </w:rPr>
        <w:t>日期：</w:t>
      </w:r>
    </w:p>
    <w:p>
      <w:pPr>
        <w:rPr>
          <w:rFonts w:ascii="Times New Roman" w:hAnsi="Times New Roman" w:eastAsia="仿宋"/>
          <w:color w:val="auto"/>
          <w:sz w:val="24"/>
          <w:highlight w:val="none"/>
        </w:rPr>
      </w:pP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r>
        <w:rPr>
          <w:rFonts w:ascii="Times New Roman" w:hAnsi="Times New Roman" w:eastAsia="仿宋"/>
          <w:color w:val="auto"/>
          <w:sz w:val="24"/>
          <w:highlight w:val="none"/>
        </w:rPr>
        <w:t xml:space="preserve"> </w:t>
      </w:r>
      <w:r>
        <w:rPr>
          <w:rFonts w:ascii="Times New Roman" w:hAnsi="Times New Roman" w:eastAsia="仿宋"/>
          <w:b/>
          <w:color w:val="auto"/>
          <w:sz w:val="24"/>
          <w:highlight w:val="none"/>
        </w:rPr>
        <w:t>3.6供应商须知资料表要求的其他资格证明文件</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spacing w:line="480" w:lineRule="exact"/>
        <w:rPr>
          <w:rFonts w:ascii="Times New Roman" w:hAnsi="Times New Roman" w:eastAsia="仿宋"/>
          <w:color w:val="auto"/>
          <w:sz w:val="24"/>
          <w:highlight w:val="none"/>
        </w:rPr>
      </w:pPr>
      <w:r>
        <w:rPr>
          <w:rFonts w:ascii="Times New Roman" w:hAnsi="Times New Roman" w:eastAsia="仿宋"/>
          <w:color w:val="auto"/>
          <w:sz w:val="24"/>
          <w:highlight w:val="none"/>
        </w:rPr>
        <w:t>说明：1.应提供供应商须知资料表要求的其他资格证明文件。</w:t>
      </w:r>
    </w:p>
    <w:p>
      <w:pPr>
        <w:spacing w:line="480" w:lineRule="exact"/>
        <w:rPr>
          <w:rFonts w:ascii="Times New Roman" w:hAnsi="Times New Roman" w:eastAsia="仿宋"/>
          <w:color w:val="auto"/>
          <w:sz w:val="24"/>
          <w:highlight w:val="none"/>
        </w:rPr>
      </w:pPr>
      <w:r>
        <w:rPr>
          <w:rFonts w:ascii="Times New Roman" w:hAnsi="Times New Roman" w:eastAsia="仿宋"/>
          <w:color w:val="auto"/>
          <w:sz w:val="24"/>
          <w:highlight w:val="none"/>
        </w:rPr>
        <w:t xml:space="preserve">      2.复印件上应加盖本单位公章。</w:t>
      </w:r>
    </w:p>
    <w:p>
      <w:pPr>
        <w:spacing w:line="480" w:lineRule="exact"/>
        <w:ind w:left="960" w:hanging="960" w:hangingChars="400"/>
        <w:rPr>
          <w:rFonts w:ascii="Times New Roman" w:hAnsi="Times New Roman" w:eastAsia="仿宋"/>
          <w:color w:val="auto"/>
          <w:sz w:val="24"/>
          <w:highlight w:val="none"/>
        </w:rPr>
      </w:pPr>
      <w:r>
        <w:rPr>
          <w:rFonts w:ascii="Times New Roman" w:hAnsi="Times New Roman" w:eastAsia="仿宋"/>
          <w:color w:val="auto"/>
          <w:sz w:val="24"/>
          <w:highlight w:val="none"/>
        </w:rPr>
        <w:t xml:space="preserve">      3.如果是联合体投标，联合体各方需提供的满足招标文件要求的其他资格证明文件。</w:t>
      </w:r>
    </w:p>
    <w:p>
      <w:pPr>
        <w:rPr>
          <w:rFonts w:ascii="Times New Roman" w:hAnsi="Times New Roman" w:eastAsia="仿宋"/>
          <w:color w:val="auto"/>
          <w:sz w:val="24"/>
          <w:highlight w:val="none"/>
        </w:rPr>
      </w:pP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r>
        <w:rPr>
          <w:rFonts w:ascii="Times New Roman" w:hAnsi="Times New Roman" w:eastAsia="仿宋"/>
          <w:b/>
          <w:color w:val="auto"/>
          <w:sz w:val="24"/>
          <w:highlight w:val="none"/>
        </w:rPr>
        <w:t>4 商务技术证明文件</w:t>
      </w:r>
    </w:p>
    <w:p>
      <w:pPr>
        <w:jc w:val="center"/>
        <w:rPr>
          <w:rFonts w:ascii="Times New Roman" w:hAnsi="Times New Roman" w:eastAsia="仿宋"/>
          <w:b/>
          <w:color w:val="auto"/>
          <w:sz w:val="24"/>
          <w:highlight w:val="none"/>
        </w:rPr>
      </w:pPr>
    </w:p>
    <w:p>
      <w:pPr>
        <w:jc w:val="center"/>
        <w:rPr>
          <w:rFonts w:ascii="Times New Roman" w:hAnsi="Times New Roman" w:eastAsia="仿宋"/>
          <w:color w:val="auto"/>
          <w:sz w:val="24"/>
          <w:highlight w:val="none"/>
        </w:rPr>
      </w:pPr>
    </w:p>
    <w:p>
      <w:pPr>
        <w:jc w:val="center"/>
        <w:rPr>
          <w:rFonts w:ascii="Times New Roman" w:hAnsi="Times New Roman" w:eastAsia="仿宋"/>
          <w:b/>
          <w:color w:val="auto"/>
          <w:sz w:val="24"/>
          <w:highlight w:val="none"/>
        </w:rPr>
      </w:pPr>
      <w:r>
        <w:rPr>
          <w:rFonts w:ascii="Times New Roman" w:hAnsi="Times New Roman" w:eastAsia="仿宋"/>
          <w:color w:val="auto"/>
          <w:sz w:val="24"/>
          <w:highlight w:val="none"/>
        </w:rPr>
        <w:t>供应商按照招标文件商务技术评审内容提供相关的证明材料。</w:t>
      </w:r>
      <w:r>
        <w:rPr>
          <w:rFonts w:ascii="Times New Roman" w:hAnsi="Times New Roman" w:eastAsia="仿宋"/>
          <w:color w:val="auto"/>
          <w:sz w:val="24"/>
          <w:highlight w:val="none"/>
        </w:rPr>
        <w:br w:type="page"/>
      </w:r>
    </w:p>
    <w:p>
      <w:pPr>
        <w:rPr>
          <w:rFonts w:ascii="Times New Roman" w:hAnsi="Times New Roman" w:eastAsia="仿宋"/>
          <w:b/>
          <w:color w:val="auto"/>
          <w:sz w:val="24"/>
          <w:highlight w:val="none"/>
        </w:rPr>
      </w:pPr>
      <w:r>
        <w:rPr>
          <w:rFonts w:ascii="Times New Roman" w:hAnsi="Times New Roman" w:eastAsia="仿宋"/>
          <w:b/>
          <w:color w:val="auto"/>
          <w:sz w:val="24"/>
          <w:highlight w:val="none"/>
        </w:rPr>
        <w:t>5 其他文件</w:t>
      </w:r>
    </w:p>
    <w:p>
      <w:pPr>
        <w:rPr>
          <w:rFonts w:ascii="Times New Roman" w:hAnsi="Times New Roman" w:eastAsia="仿宋"/>
          <w:color w:val="auto"/>
          <w:sz w:val="24"/>
          <w:highlight w:val="none"/>
        </w:rPr>
      </w:pPr>
      <w:r>
        <w:rPr>
          <w:rFonts w:ascii="Times New Roman" w:hAnsi="Times New Roman" w:eastAsia="仿宋"/>
          <w:color w:val="auto"/>
          <w:sz w:val="24"/>
          <w:highlight w:val="none"/>
        </w:rPr>
        <w:t xml:space="preserve">  </w:t>
      </w:r>
    </w:p>
    <w:p>
      <w:pPr>
        <w:rPr>
          <w:rFonts w:ascii="Times New Roman" w:hAnsi="Times New Roman" w:eastAsia="仿宋"/>
          <w:color w:val="auto"/>
          <w:sz w:val="24"/>
          <w:highlight w:val="none"/>
        </w:rPr>
      </w:pPr>
    </w:p>
    <w:p>
      <w:pPr>
        <w:rPr>
          <w:rFonts w:ascii="Times New Roman" w:hAnsi="Times New Roman" w:eastAsia="仿宋"/>
          <w:color w:val="auto"/>
          <w:sz w:val="24"/>
          <w:highlight w:val="none"/>
        </w:rPr>
      </w:pPr>
    </w:p>
    <w:p>
      <w:pPr>
        <w:rPr>
          <w:color w:val="auto"/>
          <w:highlight w:val="none"/>
        </w:rPr>
      </w:pPr>
      <w:r>
        <w:rPr>
          <w:rFonts w:ascii="Times New Roman" w:hAnsi="Times New Roman" w:eastAsia="仿宋"/>
          <w:color w:val="auto"/>
          <w:sz w:val="24"/>
          <w:highlight w:val="none"/>
        </w:rPr>
        <w:br w:type="page"/>
      </w:r>
      <w:r>
        <w:rPr>
          <w:rFonts w:ascii="Times New Roman" w:hAnsi="Times New Roman" w:eastAsia="仿宋"/>
          <w:b/>
          <w:color w:val="auto"/>
          <w:sz w:val="24"/>
          <w:highlight w:val="none"/>
        </w:rPr>
        <w:t>5.1中小企业声明函</w:t>
      </w:r>
      <w:r>
        <w:rPr>
          <w:color w:val="auto"/>
          <w:highlight w:val="none"/>
        </w:rPr>
        <w:t>（以下格式文件由供应商根据需要选用）</w:t>
      </w:r>
    </w:p>
    <w:p>
      <w:pPr>
        <w:rPr>
          <w:rFonts w:ascii="Times New Roman" w:hAnsi="Times New Roman" w:eastAsia="仿宋"/>
          <w:b/>
          <w:color w:val="auto"/>
          <w:sz w:val="24"/>
          <w:highlight w:val="none"/>
        </w:rPr>
      </w:pPr>
    </w:p>
    <w:p>
      <w:pPr>
        <w:ind w:firstLine="480"/>
        <w:rPr>
          <w:color w:val="auto"/>
          <w:highlight w:val="none"/>
        </w:rPr>
      </w:pPr>
      <w:r>
        <w:rPr>
          <w:color w:val="auto"/>
          <w:highlight w:val="none"/>
        </w:rPr>
        <w:t>中小企业声明函（承建本项目工程为中小企业或者承接本项目服务为中小企业时提交本函，所属行业应符合采购文件中明确的本项目所属行业）</w:t>
      </w:r>
    </w:p>
    <w:p>
      <w:pPr>
        <w:jc w:val="center"/>
        <w:rPr>
          <w:color w:val="auto"/>
          <w:highlight w:val="none"/>
        </w:rPr>
      </w:pPr>
      <w:r>
        <w:rPr>
          <w:b/>
          <w:color w:val="auto"/>
          <w:sz w:val="24"/>
          <w:highlight w:val="none"/>
        </w:rPr>
        <w:t>中小企业声明函（工程、服务）</w:t>
      </w:r>
    </w:p>
    <w:p>
      <w:pPr>
        <w:ind w:firstLine="480"/>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行业；承建（承接）企业为</w:t>
      </w:r>
      <w:r>
        <w:rPr>
          <w:color w:val="auto"/>
          <w:highlight w:val="none"/>
          <w:u w:val="single"/>
        </w:rPr>
        <w:t>（企业名称）</w:t>
      </w:r>
      <w:r>
        <w:rPr>
          <w:color w:val="auto"/>
          <w:highlight w:val="none"/>
        </w:rPr>
        <w:t>，从业人员__________________人，营业收入为__________________万元，资产总额为__________________万元</w:t>
      </w:r>
      <w:r>
        <w:rPr>
          <w:color w:val="auto"/>
          <w:sz w:val="7"/>
          <w:highlight w:val="none"/>
        </w:rPr>
        <w:t>1</w:t>
      </w:r>
      <w:r>
        <w:rPr>
          <w:color w:val="auto"/>
          <w:highlight w:val="none"/>
        </w:rPr>
        <w:t>，属于</w:t>
      </w:r>
      <w:r>
        <w:rPr>
          <w:color w:val="auto"/>
          <w:highlight w:val="none"/>
          <w:u w:val="single"/>
        </w:rPr>
        <w:t>（中型企业、小型企业、微型企业）</w:t>
      </w:r>
      <w:r>
        <w:rPr>
          <w:color w:val="auto"/>
          <w:highlight w:val="none"/>
        </w:rPr>
        <w:t>；</w:t>
      </w:r>
    </w:p>
    <w:p>
      <w:pPr>
        <w:ind w:firstLine="480"/>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行业；承建（承接）企业为</w:t>
      </w:r>
      <w:r>
        <w:rPr>
          <w:color w:val="auto"/>
          <w:highlight w:val="none"/>
          <w:u w:val="single"/>
        </w:rPr>
        <w:t>（企业名称）</w:t>
      </w:r>
      <w:r>
        <w:rPr>
          <w:color w:val="auto"/>
          <w:highlight w:val="none"/>
        </w:rPr>
        <w:t>，从业人员__________________人，营业收入为__________________万元，资产总额为__________________万元</w:t>
      </w:r>
      <w:r>
        <w:rPr>
          <w:color w:val="auto"/>
          <w:sz w:val="7"/>
          <w:highlight w:val="none"/>
        </w:rPr>
        <w:t>1</w:t>
      </w:r>
      <w:r>
        <w:rPr>
          <w:color w:val="auto"/>
          <w:highlight w:val="none"/>
        </w:rPr>
        <w:t>，属于</w:t>
      </w:r>
      <w:r>
        <w:rPr>
          <w:color w:val="auto"/>
          <w:highlight w:val="none"/>
          <w:u w:val="single"/>
        </w:rPr>
        <w:t>（中型企业、小型企业、微型企业）</w:t>
      </w:r>
      <w:r>
        <w:rPr>
          <w:color w:val="auto"/>
          <w:highlight w:val="none"/>
        </w:rPr>
        <w:t>；</w:t>
      </w:r>
    </w:p>
    <w:p>
      <w:pPr>
        <w:ind w:firstLine="480"/>
        <w:rPr>
          <w:color w:val="auto"/>
          <w:highlight w:val="none"/>
        </w:rPr>
      </w:pPr>
      <w:r>
        <w:rPr>
          <w:color w:val="auto"/>
          <w:highlight w:val="none"/>
        </w:rPr>
        <w:t>……</w:t>
      </w:r>
    </w:p>
    <w:p>
      <w:pPr>
        <w:ind w:firstLine="480"/>
        <w:rPr>
          <w:color w:val="auto"/>
          <w:highlight w:val="none"/>
        </w:rPr>
      </w:pPr>
      <w:r>
        <w:rPr>
          <w:color w:val="auto"/>
          <w:highlight w:val="none"/>
        </w:rPr>
        <w:t>以上企业，不属于大企业的分支机构，不存在控股股东为大企业的情形，也不存在与大企业的负责人为同一人的情形。</w:t>
      </w:r>
    </w:p>
    <w:p>
      <w:pPr>
        <w:ind w:firstLine="480"/>
        <w:rPr>
          <w:color w:val="auto"/>
          <w:highlight w:val="none"/>
        </w:rPr>
      </w:pPr>
      <w:r>
        <w:rPr>
          <w:color w:val="auto"/>
          <w:highlight w:val="none"/>
        </w:rPr>
        <w:t>本企业对上述声明内容的真实性负责。如有虚假，将依法承担相应责任。</w:t>
      </w:r>
    </w:p>
    <w:p>
      <w:pPr>
        <w:rPr>
          <w:color w:val="auto"/>
          <w:highlight w:val="none"/>
        </w:rPr>
      </w:pPr>
      <w:r>
        <w:rPr>
          <w:color w:val="auto"/>
          <w:highlight w:val="none"/>
        </w:rPr>
        <w:t xml:space="preserve"> 企业名称（盖章）：__________________</w:t>
      </w:r>
    </w:p>
    <w:p>
      <w:pPr>
        <w:rPr>
          <w:color w:val="auto"/>
          <w:highlight w:val="none"/>
        </w:rPr>
      </w:pPr>
      <w:r>
        <w:rPr>
          <w:color w:val="auto"/>
          <w:highlight w:val="none"/>
        </w:rPr>
        <w:t>日期： 年 月 日</w:t>
      </w:r>
    </w:p>
    <w:p>
      <w:pPr>
        <w:ind w:firstLine="480"/>
        <w:rPr>
          <w:color w:val="auto"/>
          <w:highlight w:val="none"/>
        </w:rPr>
      </w:pPr>
      <w:r>
        <w:rPr>
          <w:color w:val="auto"/>
          <w:highlight w:val="none"/>
        </w:rPr>
        <w:t>1：从业人员、营业收入、资产总额填报上一年度数据，无上一年度数据的新成立企业可不填报。</w:t>
      </w:r>
    </w:p>
    <w:p>
      <w:pPr>
        <w:ind w:firstLine="480"/>
        <w:rPr>
          <w:color w:val="auto"/>
          <w:highlight w:val="none"/>
        </w:rPr>
      </w:pPr>
      <w:r>
        <w:rPr>
          <w:color w:val="auto"/>
          <w:highlight w:val="none"/>
        </w:rPr>
        <w:t>2：投标人应当自行核实是否属于小微企业，并认真填写声明函，若有虚假将追究其责任。</w:t>
      </w:r>
    </w:p>
    <w:p>
      <w:pPr>
        <w:ind w:firstLine="480"/>
        <w:rPr>
          <w:color w:val="auto"/>
          <w:highlight w:val="none"/>
        </w:rPr>
      </w:pPr>
    </w:p>
    <w:p>
      <w:pPr>
        <w:rPr>
          <w:color w:val="auto"/>
          <w:highlight w:val="none"/>
        </w:rPr>
      </w:pPr>
      <w:r>
        <w:rPr>
          <w:color w:val="auto"/>
          <w:highlight w:val="none"/>
        </w:rPr>
        <w:t xml:space="preserve"> </w:t>
      </w:r>
    </w:p>
    <w:p>
      <w:pPr>
        <w:rPr>
          <w:color w:val="auto"/>
          <w:highlight w:val="none"/>
        </w:rPr>
      </w:pPr>
    </w:p>
    <w:p>
      <w:pPr>
        <w:ind w:firstLine="480"/>
        <w:rPr>
          <w:color w:val="auto"/>
          <w:highlight w:val="none"/>
        </w:rPr>
      </w:pPr>
    </w:p>
    <w:p>
      <w:pPr>
        <w:ind w:firstLine="480"/>
        <w:rPr>
          <w:color w:val="auto"/>
          <w:highlight w:val="none"/>
        </w:rPr>
      </w:pPr>
    </w:p>
    <w:p>
      <w:pPr>
        <w:rPr>
          <w:rFonts w:ascii="Times New Roman" w:hAnsi="Times New Roman" w:eastAsia="仿宋"/>
          <w:b/>
          <w:color w:val="auto"/>
          <w:sz w:val="24"/>
          <w:highlight w:val="none"/>
        </w:rPr>
      </w:pPr>
      <w:r>
        <w:rPr>
          <w:rFonts w:ascii="Times New Roman" w:hAnsi="Times New Roman" w:eastAsia="仿宋"/>
          <w:b/>
          <w:color w:val="auto"/>
          <w:sz w:val="24"/>
          <w:highlight w:val="none"/>
        </w:rPr>
        <w:br w:type="page"/>
      </w:r>
    </w:p>
    <w:p>
      <w:pPr>
        <w:rPr>
          <w:color w:val="auto"/>
          <w:highlight w:val="none"/>
        </w:rPr>
      </w:pPr>
      <w:r>
        <w:rPr>
          <w:rFonts w:ascii="Times New Roman" w:hAnsi="Times New Roman" w:eastAsia="仿宋"/>
          <w:b/>
          <w:color w:val="auto"/>
          <w:sz w:val="24"/>
          <w:highlight w:val="none"/>
        </w:rPr>
        <w:t>5.</w:t>
      </w:r>
      <w:r>
        <w:rPr>
          <w:rFonts w:hint="eastAsia" w:ascii="Times New Roman" w:hAnsi="Times New Roman" w:eastAsia="仿宋"/>
          <w:b/>
          <w:color w:val="auto"/>
          <w:sz w:val="24"/>
          <w:highlight w:val="none"/>
        </w:rPr>
        <w:t>2</w:t>
      </w:r>
      <w:r>
        <w:rPr>
          <w:b/>
          <w:color w:val="auto"/>
          <w:sz w:val="24"/>
          <w:highlight w:val="none"/>
        </w:rPr>
        <w:t>监狱企业</w:t>
      </w:r>
      <w:r>
        <w:rPr>
          <w:rFonts w:hint="eastAsia"/>
          <w:b/>
          <w:color w:val="auto"/>
          <w:sz w:val="24"/>
          <w:highlight w:val="none"/>
        </w:rPr>
        <w:t>声明函</w:t>
      </w:r>
    </w:p>
    <w:p>
      <w:pPr>
        <w:rPr>
          <w:color w:val="auto"/>
          <w:highlight w:val="none"/>
        </w:rPr>
      </w:pPr>
    </w:p>
    <w:p>
      <w:pPr>
        <w:ind w:firstLine="480"/>
        <w:rPr>
          <w:color w:val="auto"/>
          <w:highlight w:val="none"/>
        </w:rPr>
      </w:pPr>
      <w:r>
        <w:rPr>
          <w:color w:val="auto"/>
          <w:highlight w:val="none"/>
        </w:rPr>
        <w:t>（以下格式文件由供应商根据需要选用）</w:t>
      </w:r>
    </w:p>
    <w:p>
      <w:pPr>
        <w:jc w:val="center"/>
        <w:rPr>
          <w:color w:val="auto"/>
          <w:highlight w:val="none"/>
        </w:rPr>
      </w:pPr>
      <w:r>
        <w:rPr>
          <w:b/>
          <w:color w:val="auto"/>
          <w:sz w:val="24"/>
          <w:highlight w:val="none"/>
        </w:rPr>
        <w:t>监狱企业</w:t>
      </w:r>
    </w:p>
    <w:p>
      <w:pPr>
        <w:ind w:firstLine="480"/>
        <w:rPr>
          <w:color w:val="auto"/>
          <w:highlight w:val="none"/>
        </w:rPr>
      </w:pPr>
      <w:r>
        <w:rPr>
          <w:color w:val="auto"/>
          <w:highlight w:val="none"/>
        </w:rPr>
        <w:t>提供由监狱管理局、戒毒管理局（含新疆生产建设兵团）出具的属于监狱企业的证明文件。</w:t>
      </w:r>
    </w:p>
    <w:p>
      <w:pPr>
        <w:ind w:firstLine="480"/>
        <w:rPr>
          <w:color w:val="auto"/>
          <w:highlight w:val="none"/>
        </w:rPr>
      </w:pPr>
    </w:p>
    <w:p>
      <w:pPr>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p>
    <w:p>
      <w:pPr>
        <w:rPr>
          <w:color w:val="auto"/>
          <w:highlight w:val="none"/>
        </w:rPr>
      </w:pPr>
      <w:r>
        <w:rPr>
          <w:rFonts w:ascii="Times New Roman" w:hAnsi="Times New Roman" w:eastAsia="仿宋"/>
          <w:b/>
          <w:color w:val="auto"/>
          <w:sz w:val="24"/>
          <w:highlight w:val="none"/>
        </w:rPr>
        <w:t xml:space="preserve">5.3  </w:t>
      </w:r>
      <w:r>
        <w:rPr>
          <w:b/>
          <w:color w:val="auto"/>
          <w:sz w:val="24"/>
          <w:highlight w:val="none"/>
        </w:rPr>
        <w:t>残疾人福利性单位声明函</w:t>
      </w:r>
      <w:r>
        <w:rPr>
          <w:rFonts w:ascii="Times New Roman" w:hAnsi="Times New Roman" w:eastAsia="仿宋"/>
          <w:b/>
          <w:color w:val="auto"/>
          <w:sz w:val="24"/>
          <w:highlight w:val="none"/>
        </w:rPr>
        <w:t xml:space="preserve"> </w:t>
      </w:r>
      <w:r>
        <w:rPr>
          <w:color w:val="auto"/>
          <w:highlight w:val="none"/>
        </w:rPr>
        <w:t>（以下格式文件由供应商根据需要选用）</w:t>
      </w:r>
    </w:p>
    <w:p>
      <w:pPr>
        <w:rPr>
          <w:color w:val="auto"/>
          <w:highlight w:val="none"/>
        </w:rPr>
      </w:pPr>
    </w:p>
    <w:p>
      <w:pPr>
        <w:jc w:val="center"/>
        <w:rPr>
          <w:color w:val="auto"/>
          <w:highlight w:val="none"/>
        </w:rPr>
      </w:pPr>
      <w:r>
        <w:rPr>
          <w:b/>
          <w:color w:val="auto"/>
          <w:sz w:val="24"/>
          <w:highlight w:val="none"/>
        </w:rPr>
        <w:t>残疾人福利性单位声明函</w:t>
      </w:r>
    </w:p>
    <w:p>
      <w:pPr>
        <w:ind w:firstLine="480"/>
        <w:rPr>
          <w:color w:val="auto"/>
          <w:highlight w:val="none"/>
        </w:rPr>
      </w:pPr>
      <w:r>
        <w:rPr>
          <w:color w:val="auto"/>
          <w:highlight w:val="none"/>
        </w:rPr>
        <w:t>本单位郑重声明，根据《财政部 民政部 中国残疾人联合会关于促进残疾人就业政府采购政策的通知》（财库〔2017〕</w:t>
      </w:r>
      <w:r>
        <w:rPr>
          <w:color w:val="auto"/>
          <w:highlight w:val="none"/>
        </w:rPr>
        <w:tab/>
      </w:r>
      <w:r>
        <w:rPr>
          <w:color w:val="auto"/>
          <w:highlight w:val="none"/>
        </w:rPr>
        <w:tab/>
      </w:r>
      <w:r>
        <w:rPr>
          <w:color w:val="auto"/>
          <w:highlight w:val="none"/>
        </w:rPr>
        <w:tab/>
      </w:r>
      <w:r>
        <w:rPr>
          <w:color w:val="auto"/>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color w:val="auto"/>
          <w:highlight w:val="none"/>
        </w:rPr>
      </w:pPr>
      <w:r>
        <w:rPr>
          <w:color w:val="auto"/>
          <w:highlight w:val="none"/>
        </w:rPr>
        <w:t>本单位对上述声明的真实性负责。如有虚假，将依法承担相应责任。</w:t>
      </w:r>
    </w:p>
    <w:p>
      <w:pPr>
        <w:rPr>
          <w:color w:val="auto"/>
          <w:highlight w:val="none"/>
        </w:rPr>
      </w:pPr>
      <w:r>
        <w:rPr>
          <w:color w:val="auto"/>
          <w:highlight w:val="none"/>
        </w:rPr>
        <w:t xml:space="preserve"> 单位名称（盖章）：__________________</w:t>
      </w:r>
    </w:p>
    <w:p>
      <w:pPr>
        <w:rPr>
          <w:color w:val="auto"/>
          <w:highlight w:val="none"/>
        </w:rPr>
      </w:pPr>
      <w:r>
        <w:rPr>
          <w:color w:val="auto"/>
          <w:highlight w:val="none"/>
        </w:rPr>
        <w:t>日期： 年 月 日</w:t>
      </w:r>
    </w:p>
    <w:p>
      <w:pPr>
        <w:ind w:firstLine="480"/>
        <w:rPr>
          <w:color w:val="auto"/>
          <w:highlight w:val="none"/>
        </w:rPr>
      </w:pPr>
      <w:r>
        <w:rPr>
          <w:color w:val="auto"/>
          <w:highlight w:val="none"/>
        </w:rPr>
        <w:t>注：本函未填写或未勾选视作未做声明。</w:t>
      </w:r>
    </w:p>
    <w:p>
      <w:pPr>
        <w:jc w:val="left"/>
        <w:rPr>
          <w:rFonts w:ascii="Times New Roman" w:hAnsi="Times New Roman" w:eastAsia="仿宋"/>
          <w:b/>
          <w:bCs/>
          <w:color w:val="auto"/>
          <w:sz w:val="24"/>
          <w:highlight w:val="none"/>
        </w:rPr>
      </w:pPr>
    </w:p>
    <w:p>
      <w:pPr>
        <w:jc w:val="left"/>
        <w:rPr>
          <w:rFonts w:ascii="Times New Roman" w:hAnsi="Times New Roman" w:eastAsia="仿宋"/>
          <w:b/>
          <w:color w:val="auto"/>
          <w:sz w:val="24"/>
          <w:highlight w:val="none"/>
        </w:rPr>
      </w:pPr>
      <w:r>
        <w:rPr>
          <w:rFonts w:ascii="Times New Roman" w:hAnsi="Times New Roman" w:eastAsia="仿宋"/>
          <w:color w:val="auto"/>
          <w:sz w:val="24"/>
          <w:highlight w:val="none"/>
        </w:rPr>
        <w:br w:type="page"/>
      </w:r>
      <w:r>
        <w:rPr>
          <w:rFonts w:ascii="Times New Roman" w:hAnsi="Times New Roman" w:eastAsia="仿宋"/>
          <w:b/>
          <w:color w:val="auto"/>
          <w:sz w:val="24"/>
          <w:highlight w:val="none"/>
        </w:rPr>
        <w:t>5.4联合体共同投标协议书</w:t>
      </w:r>
    </w:p>
    <w:p>
      <w:pPr>
        <w:rPr>
          <w:rFonts w:ascii="Times New Roman" w:hAnsi="Times New Roman" w:eastAsia="仿宋"/>
          <w:color w:val="auto"/>
          <w:sz w:val="24"/>
          <w:highlight w:val="none"/>
        </w:rPr>
      </w:pPr>
    </w:p>
    <w:p>
      <w:pPr>
        <w:ind w:firstLine="480"/>
        <w:rPr>
          <w:color w:val="auto"/>
          <w:highlight w:val="none"/>
        </w:rPr>
      </w:pPr>
      <w:r>
        <w:rPr>
          <w:color w:val="auto"/>
          <w:highlight w:val="none"/>
        </w:rPr>
        <w:t>（以下格式文件由供应商根据需要选用）</w:t>
      </w:r>
    </w:p>
    <w:p>
      <w:pPr>
        <w:jc w:val="center"/>
        <w:rPr>
          <w:color w:val="auto"/>
          <w:highlight w:val="none"/>
        </w:rPr>
      </w:pPr>
      <w:r>
        <w:rPr>
          <w:b/>
          <w:color w:val="auto"/>
          <w:sz w:val="24"/>
          <w:highlight w:val="none"/>
        </w:rPr>
        <w:t>联合体共同投标协议书</w:t>
      </w:r>
    </w:p>
    <w:p>
      <w:pPr>
        <w:ind w:firstLine="480"/>
        <w:rPr>
          <w:color w:val="auto"/>
          <w:highlight w:val="none"/>
        </w:rPr>
      </w:pPr>
      <w:r>
        <w:rPr>
          <w:color w:val="auto"/>
          <w:highlight w:val="none"/>
        </w:rPr>
        <w:t>立约方：</w:t>
      </w:r>
      <w:r>
        <w:rPr>
          <w:color w:val="auto"/>
          <w:highlight w:val="none"/>
          <w:u w:val="single"/>
        </w:rPr>
        <w:t>（甲公司全称）</w:t>
      </w:r>
    </w:p>
    <w:p>
      <w:pPr>
        <w:ind w:firstLine="480"/>
        <w:rPr>
          <w:color w:val="auto"/>
          <w:highlight w:val="none"/>
        </w:rPr>
      </w:pPr>
      <w:r>
        <w:rPr>
          <w:color w:val="auto"/>
          <w:highlight w:val="none"/>
          <w:u w:val="single"/>
        </w:rPr>
        <w:t>（乙公司全称）</w:t>
      </w:r>
    </w:p>
    <w:p>
      <w:pPr>
        <w:ind w:firstLine="480"/>
        <w:rPr>
          <w:color w:val="auto"/>
          <w:highlight w:val="none"/>
        </w:rPr>
      </w:pPr>
      <w:r>
        <w:rPr>
          <w:color w:val="auto"/>
          <w:highlight w:val="none"/>
          <w:u w:val="single"/>
        </w:rPr>
        <w:t>（……公司全称）</w:t>
      </w:r>
    </w:p>
    <w:p>
      <w:pPr>
        <w:ind w:firstLine="480"/>
        <w:rPr>
          <w:color w:val="auto"/>
          <w:highlight w:val="none"/>
        </w:rPr>
      </w:pPr>
      <w:r>
        <w:rPr>
          <w:color w:val="auto"/>
          <w:highlight w:val="none"/>
          <w:u w:val="single"/>
        </w:rPr>
        <w:t>（甲公司全称）、（乙公司全称）、（……公司全称）</w:t>
      </w:r>
      <w:r>
        <w:rPr>
          <w:color w:val="auto"/>
          <w:highlight w:val="none"/>
        </w:rPr>
        <w:t>自愿组成联合体，以一个投标人的身份共同参加（采购项目名称）（采购项目编号）的响应活动。经各方充分协商一致，就项目的响应和合同实施阶段的有关事务协商一致订立协议如下：</w:t>
      </w:r>
    </w:p>
    <w:p>
      <w:pPr>
        <w:ind w:firstLine="480"/>
        <w:rPr>
          <w:color w:val="auto"/>
          <w:highlight w:val="none"/>
        </w:rPr>
      </w:pPr>
      <w:r>
        <w:rPr>
          <w:color w:val="auto"/>
          <w:highlight w:val="none"/>
        </w:rPr>
        <w:t>一、联合体各方关系</w:t>
      </w:r>
    </w:p>
    <w:p>
      <w:pPr>
        <w:ind w:firstLine="480"/>
        <w:rPr>
          <w:color w:val="auto"/>
          <w:highlight w:val="none"/>
        </w:rPr>
      </w:pPr>
      <w:r>
        <w:rPr>
          <w:color w:val="auto"/>
          <w:highlight w:val="none"/>
          <w:u w:val="single"/>
        </w:rPr>
        <w:t>（甲公司全称）、（乙公司全称）、（……公司全称）</w:t>
      </w:r>
      <w:r>
        <w:rPr>
          <w:color w:val="auto"/>
          <w:highlight w:val="none"/>
        </w:rPr>
        <w:t>共同组成一个联合体，以一个投标人的身份共同参加本项目的响应。（甲公司全称）、（乙公司全称）、（……公司全称）作为联合体成员，若中标，联合体各方共同与签订政府采购合同。</w:t>
      </w:r>
    </w:p>
    <w:p>
      <w:pPr>
        <w:ind w:firstLine="480"/>
        <w:rPr>
          <w:color w:val="auto"/>
          <w:highlight w:val="none"/>
        </w:rPr>
      </w:pPr>
      <w:r>
        <w:rPr>
          <w:color w:val="auto"/>
          <w:highlight w:val="none"/>
        </w:rPr>
        <w:t>二、联合体内部有关事项约定如下：</w:t>
      </w:r>
    </w:p>
    <w:p>
      <w:pPr>
        <w:ind w:firstLine="480"/>
        <w:rPr>
          <w:color w:val="auto"/>
          <w:highlight w:val="none"/>
        </w:rPr>
      </w:pPr>
      <w:r>
        <w:rPr>
          <w:color w:val="auto"/>
          <w:highlight w:val="none"/>
        </w:rPr>
        <w:t>1.（甲公司全称）作为联合体的牵头单位，代表联合体双方负责投标和合同实施阶段的主办、协调工作。</w:t>
      </w:r>
    </w:p>
    <w:p>
      <w:pPr>
        <w:ind w:firstLine="480"/>
        <w:rPr>
          <w:color w:val="auto"/>
          <w:highlight w:val="none"/>
        </w:rPr>
      </w:pPr>
      <w:r>
        <w:rPr>
          <w:color w:val="auto"/>
          <w:highlight w:val="none"/>
        </w:rP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rPr>
          <w:color w:val="auto"/>
          <w:highlight w:val="none"/>
        </w:rPr>
      </w:pPr>
      <w:r>
        <w:rPr>
          <w:color w:val="auto"/>
          <w:highlight w:val="none"/>
        </w:rPr>
        <w:t>3.如果本联合体中标，</w:t>
      </w:r>
      <w:r>
        <w:rPr>
          <w:color w:val="auto"/>
          <w:highlight w:val="none"/>
          <w:u w:val="single"/>
        </w:rPr>
        <w:t>（甲公司全称）</w:t>
      </w:r>
      <w:r>
        <w:rPr>
          <w:color w:val="auto"/>
          <w:highlight w:val="none"/>
        </w:rPr>
        <w:t>负责本项目___________部分，</w:t>
      </w:r>
      <w:r>
        <w:rPr>
          <w:color w:val="auto"/>
          <w:highlight w:val="none"/>
          <w:u w:val="single"/>
        </w:rPr>
        <w:t>（乙公司全称）</w:t>
      </w:r>
      <w:r>
        <w:rPr>
          <w:color w:val="auto"/>
          <w:highlight w:val="none"/>
        </w:rPr>
        <w:t>负责本项目___________部分。</w:t>
      </w:r>
    </w:p>
    <w:p>
      <w:pPr>
        <w:ind w:firstLine="480"/>
        <w:rPr>
          <w:color w:val="auto"/>
          <w:highlight w:val="none"/>
        </w:rPr>
      </w:pPr>
      <w:r>
        <w:rPr>
          <w:color w:val="auto"/>
          <w:highlight w:val="none"/>
        </w:rPr>
        <w:t>4.如中标，联合体各方共同与（采购人）签订合同书，并就中标项目向采购人负责有连带的和各自的法律责任；</w:t>
      </w:r>
    </w:p>
    <w:p>
      <w:pPr>
        <w:ind w:firstLine="480"/>
        <w:rPr>
          <w:color w:val="auto"/>
          <w:highlight w:val="none"/>
        </w:rPr>
      </w:pPr>
      <w:r>
        <w:rPr>
          <w:color w:val="auto"/>
          <w:highlight w:val="none"/>
        </w:rPr>
        <w:t>5.联合体成员（公司全称）为（请填写：小型、微型）企业，将承担合同总金额_____%的工作内容（联合体成员中有小型、微型企业时适用）。</w:t>
      </w:r>
    </w:p>
    <w:p>
      <w:pPr>
        <w:ind w:firstLine="480"/>
        <w:rPr>
          <w:color w:val="auto"/>
          <w:highlight w:val="none"/>
        </w:rPr>
      </w:pPr>
      <w:r>
        <w:rPr>
          <w:color w:val="auto"/>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80"/>
        <w:rPr>
          <w:color w:val="auto"/>
          <w:highlight w:val="none"/>
        </w:rPr>
      </w:pPr>
      <w:r>
        <w:rPr>
          <w:color w:val="auto"/>
          <w:highlight w:val="none"/>
        </w:rPr>
        <w:t>四、联合体如因违约过失责任而导致采购人经济损失或被索赔时，本联合体任何一方均同意无条件优先清偿采购人的一切债务和经济赔偿。</w:t>
      </w:r>
    </w:p>
    <w:p>
      <w:pPr>
        <w:ind w:firstLine="480"/>
        <w:rPr>
          <w:color w:val="auto"/>
          <w:highlight w:val="none"/>
        </w:rPr>
      </w:pPr>
      <w:r>
        <w:rPr>
          <w:color w:val="auto"/>
          <w:highlight w:val="none"/>
        </w:rPr>
        <w:t>五、本协议在自签署之日起生效，有效期内有效，如获中标资格，合同有效期延续至合同履行完毕之日。</w:t>
      </w:r>
    </w:p>
    <w:p>
      <w:pPr>
        <w:ind w:firstLine="480"/>
        <w:rPr>
          <w:color w:val="auto"/>
          <w:highlight w:val="none"/>
        </w:rPr>
      </w:pPr>
      <w:r>
        <w:rPr>
          <w:color w:val="auto"/>
          <w:highlight w:val="none"/>
        </w:rPr>
        <w:t>六、本协议书正本一式_____份，随投标文件装订_____份，送采购人_____份，联合体成员各一份；副本一式_____份，联合体成员各执_____份。</w:t>
      </w:r>
    </w:p>
    <w:p>
      <w:pPr>
        <w:rPr>
          <w:color w:val="auto"/>
          <w:highlight w:val="none"/>
        </w:rPr>
      </w:pPr>
      <w:r>
        <w:rPr>
          <w:color w:val="auto"/>
          <w:highlight w:val="none"/>
        </w:rPr>
        <w:t>甲公司全称：____（盖章）________，乙公司全称：____（盖章）________，……公司全称：____（盖章）________，</w:t>
      </w:r>
    </w:p>
    <w:p>
      <w:pPr>
        <w:rPr>
          <w:color w:val="auto"/>
          <w:highlight w:val="none"/>
        </w:rPr>
      </w:pPr>
      <w:r>
        <w:rPr>
          <w:color w:val="auto"/>
          <w:highlight w:val="none"/>
        </w:rPr>
        <w:t>____年____月 ____日，____年____月____日，____年____月____日</w:t>
      </w:r>
    </w:p>
    <w:p>
      <w:pPr>
        <w:ind w:firstLine="480"/>
        <w:rPr>
          <w:color w:val="auto"/>
          <w:highlight w:val="none"/>
        </w:rPr>
      </w:pPr>
      <w:r>
        <w:rPr>
          <w:color w:val="auto"/>
          <w:highlight w:val="none"/>
        </w:rPr>
        <w:t>注：1．联合响应时需签本协议，联合体各方成员应在本协议上共同盖章确认。</w:t>
      </w:r>
    </w:p>
    <w:p>
      <w:pPr>
        <w:ind w:firstLine="480"/>
        <w:rPr>
          <w:color w:val="auto"/>
          <w:highlight w:val="none"/>
        </w:rPr>
      </w:pPr>
      <w:r>
        <w:rPr>
          <w:color w:val="auto"/>
          <w:highlight w:val="none"/>
        </w:rPr>
        <w:t>2．本协议内容不得擅自修改。此协议将作为签订合同的附件之一。</w:t>
      </w:r>
    </w:p>
    <w:p>
      <w:pPr>
        <w:pStyle w:val="29"/>
        <w:rPr>
          <w:rFonts w:ascii="Times New Roman" w:hAnsi="Times New Roman"/>
          <w:color w:val="auto"/>
          <w:highlight w:val="none"/>
        </w:rPr>
      </w:pPr>
    </w:p>
    <w:p>
      <w:pPr>
        <w:rPr>
          <w:rFonts w:ascii="Times New Roman" w:hAnsi="Times New Roman"/>
          <w:color w:val="auto"/>
          <w:highlight w:val="none"/>
        </w:rPr>
      </w:pPr>
    </w:p>
    <w:p>
      <w:pPr>
        <w:rPr>
          <w:rFonts w:ascii="仿宋" w:hAnsi="仿宋" w:eastAsia="仿宋" w:cs="仿宋"/>
          <w:color w:val="auto"/>
          <w:highlight w:val="none"/>
        </w:rPr>
      </w:pPr>
    </w:p>
    <w:p>
      <w:pPr>
        <w:rPr>
          <w:color w:val="auto"/>
          <w:highlight w:val="none"/>
        </w:rPr>
      </w:pPr>
    </w:p>
    <w:p>
      <w:pPr>
        <w:rPr>
          <w:rFonts w:ascii="Times New Roman" w:hAnsi="Times New Roman" w:eastAsia="仿宋"/>
          <w:b/>
          <w:color w:val="auto"/>
          <w:sz w:val="24"/>
          <w:highlight w:val="none"/>
        </w:rPr>
      </w:pPr>
      <w:r>
        <w:rPr>
          <w:rFonts w:hint="eastAsia" w:ascii="Times New Roman" w:hAnsi="Times New Roman" w:eastAsia="仿宋"/>
          <w:b/>
          <w:color w:val="auto"/>
          <w:sz w:val="24"/>
          <w:highlight w:val="none"/>
        </w:rPr>
        <w:t>5.5</w:t>
      </w:r>
      <w:r>
        <w:rPr>
          <w:rFonts w:ascii="Times New Roman" w:hAnsi="Times New Roman" w:eastAsia="仿宋"/>
          <w:b/>
          <w:color w:val="auto"/>
          <w:sz w:val="24"/>
          <w:highlight w:val="none"/>
        </w:rPr>
        <w:t>询问函、质疑函、投诉书</w:t>
      </w:r>
    </w:p>
    <w:p>
      <w:pPr>
        <w:rPr>
          <w:rFonts w:ascii="Times New Roman" w:hAnsi="Times New Roman" w:eastAsia="仿宋"/>
          <w:b/>
          <w:color w:val="auto"/>
          <w:sz w:val="24"/>
          <w:highlight w:val="none"/>
        </w:rPr>
      </w:pPr>
    </w:p>
    <w:p>
      <w:pPr>
        <w:rPr>
          <w:color w:val="auto"/>
          <w:highlight w:val="none"/>
        </w:rPr>
      </w:pPr>
      <w:r>
        <w:rPr>
          <w:color w:val="auto"/>
          <w:highlight w:val="none"/>
        </w:rPr>
        <w:t>（以下格式文件由供应商根据需要选用）</w:t>
      </w:r>
    </w:p>
    <w:p>
      <w:pPr>
        <w:jc w:val="center"/>
        <w:rPr>
          <w:color w:val="auto"/>
          <w:highlight w:val="none"/>
        </w:rPr>
      </w:pPr>
      <w:r>
        <w:rPr>
          <w:b/>
          <w:color w:val="auto"/>
          <w:sz w:val="24"/>
          <w:highlight w:val="none"/>
        </w:rPr>
        <w:t>询问函、质疑函、投诉书格式</w:t>
      </w:r>
    </w:p>
    <w:p>
      <w:pPr>
        <w:ind w:firstLine="480"/>
        <w:rPr>
          <w:color w:val="auto"/>
          <w:highlight w:val="none"/>
        </w:rPr>
      </w:pPr>
      <w:r>
        <w:rPr>
          <w:color w:val="auto"/>
          <w:highlight w:val="none"/>
        </w:rPr>
        <w:t>说明：本部分格式为投标人提交询问函、质疑函、投诉函时使用，不属于投标文件格式的组成部分。</w:t>
      </w:r>
    </w:p>
    <w:p>
      <w:pPr>
        <w:jc w:val="center"/>
        <w:rPr>
          <w:color w:val="auto"/>
          <w:highlight w:val="none"/>
        </w:rPr>
      </w:pPr>
      <w:r>
        <w:rPr>
          <w:b/>
          <w:color w:val="auto"/>
          <w:sz w:val="24"/>
          <w:highlight w:val="none"/>
        </w:rPr>
        <w:t>询问函</w:t>
      </w:r>
    </w:p>
    <w:p>
      <w:pPr>
        <w:ind w:firstLine="480"/>
        <w:rPr>
          <w:color w:val="auto"/>
          <w:highlight w:val="none"/>
        </w:rPr>
      </w:pPr>
      <w:r>
        <w:rPr>
          <w:color w:val="auto"/>
          <w:highlight w:val="none"/>
        </w:rPr>
        <w:t>东莞市万江招投标服务所</w:t>
      </w:r>
    </w:p>
    <w:p>
      <w:pPr>
        <w:ind w:firstLine="480"/>
        <w:rPr>
          <w:color w:val="auto"/>
          <w:highlight w:val="none"/>
        </w:rPr>
      </w:pPr>
      <w:r>
        <w:rPr>
          <w:color w:val="auto"/>
          <w:highlight w:val="none"/>
        </w:rPr>
        <w:t>我单位已登记并准备参与万江街道科技护城墙（一期）和智能视频(二期)光纤服务项目项目（采购项目编号：441900004-2022-00430）的投标活动，现有以下几个内容（或条款）存在疑问（或无法理解），特提出询问。</w:t>
      </w:r>
    </w:p>
    <w:p>
      <w:pPr>
        <w:ind w:firstLine="480"/>
        <w:rPr>
          <w:color w:val="auto"/>
          <w:highlight w:val="none"/>
        </w:rPr>
      </w:pPr>
      <w:r>
        <w:rPr>
          <w:color w:val="auto"/>
          <w:highlight w:val="none"/>
        </w:rPr>
        <w:t>一、_____________________（事项一）</w:t>
      </w:r>
    </w:p>
    <w:p>
      <w:pPr>
        <w:ind w:firstLine="480"/>
        <w:rPr>
          <w:color w:val="auto"/>
          <w:highlight w:val="none"/>
        </w:rPr>
      </w:pPr>
      <w:r>
        <w:rPr>
          <w:color w:val="auto"/>
          <w:highlight w:val="none"/>
        </w:rPr>
        <w:t>（1）____________________（问题或条款内容）</w:t>
      </w:r>
    </w:p>
    <w:p>
      <w:pPr>
        <w:ind w:firstLine="480"/>
        <w:rPr>
          <w:color w:val="auto"/>
          <w:highlight w:val="none"/>
        </w:rPr>
      </w:pPr>
      <w:r>
        <w:rPr>
          <w:color w:val="auto"/>
          <w:highlight w:val="none"/>
        </w:rPr>
        <w:t>（2）____________________（说明疑问或无法理解原因）</w:t>
      </w:r>
    </w:p>
    <w:p>
      <w:pPr>
        <w:ind w:firstLine="480"/>
        <w:rPr>
          <w:color w:val="auto"/>
          <w:highlight w:val="none"/>
        </w:rPr>
      </w:pPr>
      <w:r>
        <w:rPr>
          <w:color w:val="auto"/>
          <w:highlight w:val="none"/>
        </w:rPr>
        <w:t>（3）____________________（建议）</w:t>
      </w:r>
    </w:p>
    <w:p>
      <w:pPr>
        <w:ind w:firstLine="480"/>
        <w:rPr>
          <w:color w:val="auto"/>
          <w:highlight w:val="none"/>
        </w:rPr>
      </w:pPr>
      <w:r>
        <w:rPr>
          <w:color w:val="auto"/>
          <w:highlight w:val="none"/>
        </w:rPr>
        <w:t>二、_____________________（事项二）</w:t>
      </w:r>
    </w:p>
    <w:p>
      <w:pPr>
        <w:ind w:firstLine="480"/>
        <w:rPr>
          <w:color w:val="auto"/>
          <w:highlight w:val="none"/>
        </w:rPr>
      </w:pPr>
      <w:r>
        <w:rPr>
          <w:color w:val="auto"/>
          <w:highlight w:val="none"/>
        </w:rPr>
        <w:t>...</w:t>
      </w:r>
    </w:p>
    <w:p>
      <w:pPr>
        <w:ind w:firstLine="480"/>
        <w:rPr>
          <w:color w:val="auto"/>
          <w:highlight w:val="none"/>
        </w:rPr>
      </w:pPr>
      <w:r>
        <w:rPr>
          <w:color w:val="auto"/>
          <w:highlight w:val="none"/>
        </w:rPr>
        <w:t>随附相关证明材料如下：（目录）</w:t>
      </w:r>
    </w:p>
    <w:p>
      <w:pPr>
        <w:rPr>
          <w:color w:val="auto"/>
          <w:highlight w:val="none"/>
        </w:rPr>
      </w:pPr>
      <w:r>
        <w:rPr>
          <w:color w:val="auto"/>
          <w:highlight w:val="none"/>
        </w:rPr>
        <w:t>询问人（公章）：_____________________</w:t>
      </w:r>
    </w:p>
    <w:p>
      <w:pPr>
        <w:rPr>
          <w:color w:val="auto"/>
          <w:highlight w:val="none"/>
        </w:rPr>
      </w:pPr>
      <w:r>
        <w:rPr>
          <w:color w:val="auto"/>
          <w:highlight w:val="none"/>
        </w:rPr>
        <w:t>法定代表人或授权代表（签字或盖章）：_____________________</w:t>
      </w:r>
    </w:p>
    <w:p>
      <w:pPr>
        <w:rPr>
          <w:color w:val="auto"/>
          <w:highlight w:val="none"/>
        </w:rPr>
      </w:pPr>
      <w:r>
        <w:rPr>
          <w:color w:val="auto"/>
          <w:highlight w:val="none"/>
        </w:rPr>
        <w:t>地址/邮编：_____________________</w:t>
      </w:r>
    </w:p>
    <w:p>
      <w:pPr>
        <w:rPr>
          <w:color w:val="auto"/>
          <w:highlight w:val="none"/>
        </w:rPr>
      </w:pPr>
      <w:r>
        <w:rPr>
          <w:color w:val="auto"/>
          <w:highlight w:val="none"/>
        </w:rPr>
        <w:t>电话/传真：_____________________</w:t>
      </w:r>
    </w:p>
    <w:p>
      <w:pPr>
        <w:rPr>
          <w:color w:val="auto"/>
          <w:highlight w:val="none"/>
        </w:rPr>
      </w:pPr>
      <w:r>
        <w:rPr>
          <w:color w:val="auto"/>
          <w:highlight w:val="none"/>
        </w:rPr>
        <w:t>日期： 年 月 日</w:t>
      </w:r>
    </w:p>
    <w:p>
      <w:pPr>
        <w:ind w:firstLine="480"/>
        <w:rPr>
          <w:color w:val="auto"/>
          <w:highlight w:val="none"/>
        </w:rPr>
      </w:pPr>
    </w:p>
    <w:p>
      <w:pPr>
        <w:rPr>
          <w:color w:val="auto"/>
          <w:highlight w:val="none"/>
        </w:rPr>
      </w:pPr>
      <w:r>
        <w:rPr>
          <w:color w:val="auto"/>
          <w:highlight w:val="none"/>
        </w:rPr>
        <w:t xml:space="preserve"> </w:t>
      </w:r>
    </w:p>
    <w:p>
      <w:pPr>
        <w:rPr>
          <w:color w:val="auto"/>
          <w:highlight w:val="none"/>
        </w:rPr>
      </w:pPr>
    </w:p>
    <w:p>
      <w:pPr>
        <w:jc w:val="center"/>
        <w:rPr>
          <w:color w:val="auto"/>
          <w:highlight w:val="none"/>
        </w:rPr>
      </w:pPr>
      <w:r>
        <w:rPr>
          <w:b/>
          <w:color w:val="auto"/>
          <w:sz w:val="24"/>
          <w:highlight w:val="none"/>
        </w:rPr>
        <w:t>质疑函</w:t>
      </w:r>
    </w:p>
    <w:p>
      <w:pPr>
        <w:ind w:firstLine="480"/>
        <w:rPr>
          <w:color w:val="auto"/>
          <w:highlight w:val="none"/>
        </w:rPr>
      </w:pPr>
      <w:r>
        <w:rPr>
          <w:color w:val="auto"/>
          <w:highlight w:val="none"/>
        </w:rPr>
        <w:t>一、质疑供应商基本信息</w:t>
      </w:r>
    </w:p>
    <w:p>
      <w:pPr>
        <w:ind w:firstLine="480"/>
        <w:rPr>
          <w:color w:val="auto"/>
          <w:highlight w:val="none"/>
        </w:rPr>
      </w:pPr>
      <w:r>
        <w:rPr>
          <w:color w:val="auto"/>
          <w:highlight w:val="none"/>
        </w:rPr>
        <w:t>质疑供应商：</w:t>
      </w:r>
    </w:p>
    <w:p>
      <w:pPr>
        <w:ind w:firstLine="480"/>
        <w:rPr>
          <w:color w:val="auto"/>
          <w:highlight w:val="none"/>
        </w:rPr>
      </w:pPr>
      <w:r>
        <w:rPr>
          <w:color w:val="auto"/>
          <w:highlight w:val="none"/>
        </w:rPr>
        <w:t>地址：_____________________邮编：_____________________</w:t>
      </w:r>
    </w:p>
    <w:p>
      <w:pPr>
        <w:ind w:firstLine="480"/>
        <w:rPr>
          <w:color w:val="auto"/>
          <w:highlight w:val="none"/>
        </w:rPr>
      </w:pPr>
      <w:r>
        <w:rPr>
          <w:color w:val="auto"/>
          <w:highlight w:val="none"/>
        </w:rPr>
        <w:t>联系：_____________________联系电话：_____________________</w:t>
      </w:r>
    </w:p>
    <w:p>
      <w:pPr>
        <w:ind w:firstLine="480"/>
        <w:rPr>
          <w:color w:val="auto"/>
          <w:highlight w:val="none"/>
        </w:rPr>
      </w:pPr>
      <w:r>
        <w:rPr>
          <w:color w:val="auto"/>
          <w:highlight w:val="none"/>
        </w:rPr>
        <w:t>授权代表：_____________________</w:t>
      </w:r>
    </w:p>
    <w:p>
      <w:pPr>
        <w:ind w:firstLine="480"/>
        <w:rPr>
          <w:color w:val="auto"/>
          <w:highlight w:val="none"/>
        </w:rPr>
      </w:pPr>
      <w:r>
        <w:rPr>
          <w:color w:val="auto"/>
          <w:highlight w:val="none"/>
        </w:rPr>
        <w:t>联系电话：_____________________</w:t>
      </w:r>
    </w:p>
    <w:p>
      <w:pPr>
        <w:ind w:firstLine="480"/>
        <w:rPr>
          <w:color w:val="auto"/>
          <w:highlight w:val="none"/>
        </w:rPr>
      </w:pPr>
      <w:r>
        <w:rPr>
          <w:color w:val="auto"/>
          <w:highlight w:val="none"/>
        </w:rPr>
        <w:t>地址：_____________________邮编：_____________________</w:t>
      </w:r>
    </w:p>
    <w:p>
      <w:pPr>
        <w:ind w:firstLine="480"/>
        <w:rPr>
          <w:color w:val="auto"/>
          <w:highlight w:val="none"/>
        </w:rPr>
      </w:pPr>
      <w:r>
        <w:rPr>
          <w:color w:val="auto"/>
          <w:highlight w:val="none"/>
        </w:rPr>
        <w:t>二、质疑项目基本情况</w:t>
      </w:r>
    </w:p>
    <w:p>
      <w:pPr>
        <w:ind w:firstLine="480"/>
        <w:rPr>
          <w:color w:val="auto"/>
          <w:highlight w:val="none"/>
        </w:rPr>
      </w:pPr>
      <w:r>
        <w:rPr>
          <w:color w:val="auto"/>
          <w:highlight w:val="none"/>
        </w:rPr>
        <w:t>质疑项目的名称：_____________________</w:t>
      </w:r>
    </w:p>
    <w:p>
      <w:pPr>
        <w:ind w:firstLine="480"/>
        <w:rPr>
          <w:color w:val="auto"/>
          <w:highlight w:val="none"/>
        </w:rPr>
      </w:pPr>
      <w:r>
        <w:rPr>
          <w:color w:val="auto"/>
          <w:highlight w:val="none"/>
        </w:rPr>
        <w:t>质疑项目的编号：_____________________ 包号：_____________________</w:t>
      </w:r>
    </w:p>
    <w:p>
      <w:pPr>
        <w:ind w:firstLine="480"/>
        <w:rPr>
          <w:color w:val="auto"/>
          <w:highlight w:val="none"/>
        </w:rPr>
      </w:pPr>
      <w:r>
        <w:rPr>
          <w:color w:val="auto"/>
          <w:highlight w:val="none"/>
        </w:rPr>
        <w:t>采购人名称：_____________________</w:t>
      </w:r>
    </w:p>
    <w:p>
      <w:pPr>
        <w:ind w:firstLine="480"/>
        <w:rPr>
          <w:color w:val="auto"/>
          <w:highlight w:val="none"/>
        </w:rPr>
      </w:pPr>
      <w:r>
        <w:rPr>
          <w:color w:val="auto"/>
          <w:highlight w:val="none"/>
        </w:rPr>
        <w:t>采购文件获取日期：_____________________</w:t>
      </w:r>
    </w:p>
    <w:p>
      <w:pPr>
        <w:ind w:firstLine="480"/>
        <w:rPr>
          <w:color w:val="auto"/>
          <w:highlight w:val="none"/>
        </w:rPr>
      </w:pPr>
      <w:r>
        <w:rPr>
          <w:color w:val="auto"/>
          <w:highlight w:val="none"/>
        </w:rPr>
        <w:t>三、质疑事项具体内容</w:t>
      </w:r>
    </w:p>
    <w:p>
      <w:pPr>
        <w:ind w:firstLine="480"/>
        <w:rPr>
          <w:color w:val="auto"/>
          <w:highlight w:val="none"/>
        </w:rPr>
      </w:pPr>
      <w:r>
        <w:rPr>
          <w:color w:val="auto"/>
          <w:highlight w:val="none"/>
        </w:rPr>
        <w:t>质疑事项1：_____________________</w:t>
      </w:r>
    </w:p>
    <w:p>
      <w:pPr>
        <w:ind w:firstLine="480"/>
        <w:rPr>
          <w:color w:val="auto"/>
          <w:highlight w:val="none"/>
        </w:rPr>
      </w:pPr>
      <w:r>
        <w:rPr>
          <w:color w:val="auto"/>
          <w:highlight w:val="none"/>
        </w:rPr>
        <w:t>事实依据：_____________________</w:t>
      </w:r>
    </w:p>
    <w:p>
      <w:pPr>
        <w:ind w:firstLine="480"/>
        <w:rPr>
          <w:color w:val="auto"/>
          <w:highlight w:val="none"/>
        </w:rPr>
      </w:pPr>
      <w:r>
        <w:rPr>
          <w:color w:val="auto"/>
          <w:highlight w:val="none"/>
        </w:rPr>
        <w:t>法律依据：_____________________</w:t>
      </w:r>
    </w:p>
    <w:p>
      <w:pPr>
        <w:ind w:firstLine="480"/>
        <w:rPr>
          <w:color w:val="auto"/>
          <w:highlight w:val="none"/>
        </w:rPr>
      </w:pPr>
      <w:r>
        <w:rPr>
          <w:color w:val="auto"/>
          <w:highlight w:val="none"/>
        </w:rPr>
        <w:t>质疑事项2：_____________________</w:t>
      </w:r>
    </w:p>
    <w:p>
      <w:pPr>
        <w:ind w:firstLine="480"/>
        <w:rPr>
          <w:color w:val="auto"/>
          <w:highlight w:val="none"/>
        </w:rPr>
      </w:pPr>
      <w:r>
        <w:rPr>
          <w:color w:val="auto"/>
          <w:highlight w:val="none"/>
        </w:rPr>
        <w:t>……</w:t>
      </w:r>
    </w:p>
    <w:p>
      <w:pPr>
        <w:ind w:firstLine="480"/>
        <w:rPr>
          <w:color w:val="auto"/>
          <w:highlight w:val="none"/>
        </w:rPr>
      </w:pPr>
      <w:r>
        <w:rPr>
          <w:color w:val="auto"/>
          <w:highlight w:val="none"/>
        </w:rPr>
        <w:t>四、与质疑事项相关的质疑请求</w:t>
      </w:r>
    </w:p>
    <w:p>
      <w:pPr>
        <w:ind w:firstLine="480"/>
        <w:rPr>
          <w:color w:val="auto"/>
          <w:highlight w:val="none"/>
        </w:rPr>
      </w:pPr>
      <w:r>
        <w:rPr>
          <w:color w:val="auto"/>
          <w:highlight w:val="none"/>
        </w:rPr>
        <w:t>请求：__________________________________________</w:t>
      </w:r>
    </w:p>
    <w:p>
      <w:pPr>
        <w:rPr>
          <w:color w:val="auto"/>
          <w:highlight w:val="none"/>
        </w:rPr>
      </w:pPr>
      <w:r>
        <w:rPr>
          <w:color w:val="auto"/>
          <w:highlight w:val="none"/>
        </w:rPr>
        <w:t xml:space="preserve"> 签字(签章)：_____________________ 公章：_____________________</w:t>
      </w:r>
    </w:p>
    <w:p>
      <w:pPr>
        <w:rPr>
          <w:color w:val="auto"/>
          <w:highlight w:val="none"/>
        </w:rPr>
      </w:pPr>
      <w:r>
        <w:rPr>
          <w:color w:val="auto"/>
          <w:highlight w:val="none"/>
        </w:rPr>
        <w:t>日期： 年 月 日</w:t>
      </w:r>
    </w:p>
    <w:p>
      <w:pPr>
        <w:ind w:firstLine="480"/>
        <w:rPr>
          <w:color w:val="auto"/>
          <w:highlight w:val="none"/>
        </w:rPr>
      </w:pPr>
      <w:r>
        <w:rPr>
          <w:color w:val="auto"/>
          <w:highlight w:val="none"/>
        </w:rPr>
        <w:t>质疑函制作说明：</w:t>
      </w:r>
    </w:p>
    <w:p>
      <w:pPr>
        <w:ind w:firstLine="480"/>
        <w:rPr>
          <w:color w:val="auto"/>
          <w:highlight w:val="none"/>
        </w:rPr>
      </w:pPr>
      <w:r>
        <w:rPr>
          <w:color w:val="auto"/>
          <w:highlight w:val="none"/>
        </w:rPr>
        <w:t>1.供应商提出质疑时，应提交质疑函和必要的证明材料。</w:t>
      </w:r>
    </w:p>
    <w:p>
      <w:pPr>
        <w:ind w:firstLine="480"/>
        <w:rPr>
          <w:color w:val="auto"/>
          <w:highlight w:val="none"/>
        </w:rPr>
      </w:pPr>
      <w:r>
        <w:rPr>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rPr>
          <w:color w:val="auto"/>
          <w:highlight w:val="none"/>
        </w:rPr>
      </w:pPr>
      <w:r>
        <w:rPr>
          <w:color w:val="auto"/>
          <w:highlight w:val="none"/>
        </w:rPr>
        <w:t>3.质疑供应商若对项目的某一分包进行质疑，质疑函中应列明具体采购包号。</w:t>
      </w:r>
    </w:p>
    <w:p>
      <w:pPr>
        <w:ind w:firstLine="480"/>
        <w:rPr>
          <w:color w:val="auto"/>
          <w:highlight w:val="none"/>
        </w:rPr>
      </w:pPr>
      <w:r>
        <w:rPr>
          <w:color w:val="auto"/>
          <w:highlight w:val="none"/>
        </w:rPr>
        <w:t>4.质疑函的质疑事项应具体、明确，并有必要的事实依据和法律依据。</w:t>
      </w:r>
    </w:p>
    <w:p>
      <w:pPr>
        <w:ind w:firstLine="480"/>
        <w:rPr>
          <w:color w:val="auto"/>
          <w:highlight w:val="none"/>
        </w:rPr>
      </w:pPr>
      <w:r>
        <w:rPr>
          <w:color w:val="auto"/>
          <w:highlight w:val="none"/>
        </w:rPr>
        <w:t>5.质疑函的质疑请求应与质疑事项相关。</w:t>
      </w:r>
    </w:p>
    <w:p>
      <w:pPr>
        <w:ind w:firstLine="480"/>
        <w:rPr>
          <w:color w:val="auto"/>
          <w:highlight w:val="none"/>
        </w:rPr>
      </w:pPr>
      <w:r>
        <w:rPr>
          <w:color w:val="auto"/>
          <w:highlight w:val="none"/>
        </w:rPr>
        <w:t>6.质疑供应商为自然人的，质疑函应由本人签字；质疑供应商为法人或者其他组织的，质疑函应由法定代表人、主要负责人，或者其授权代表签字或者盖章，并加盖公章。</w:t>
      </w:r>
    </w:p>
    <w:p>
      <w:pPr>
        <w:ind w:firstLine="480"/>
        <w:rPr>
          <w:color w:val="auto"/>
          <w:highlight w:val="none"/>
        </w:rPr>
      </w:pPr>
    </w:p>
    <w:p>
      <w:pPr>
        <w:rPr>
          <w:color w:val="auto"/>
          <w:highlight w:val="none"/>
        </w:rPr>
      </w:pPr>
      <w:r>
        <w:rPr>
          <w:color w:val="auto"/>
          <w:highlight w:val="none"/>
        </w:rPr>
        <w:t xml:space="preserve"> </w:t>
      </w:r>
    </w:p>
    <w:p>
      <w:pPr>
        <w:rPr>
          <w:color w:val="auto"/>
          <w:highlight w:val="none"/>
        </w:rPr>
      </w:pPr>
    </w:p>
    <w:p>
      <w:pPr>
        <w:jc w:val="center"/>
        <w:rPr>
          <w:color w:val="auto"/>
          <w:highlight w:val="none"/>
        </w:rPr>
      </w:pPr>
      <w:r>
        <w:rPr>
          <w:b/>
          <w:color w:val="auto"/>
          <w:sz w:val="24"/>
          <w:highlight w:val="none"/>
        </w:rPr>
        <w:t>投诉书</w:t>
      </w:r>
    </w:p>
    <w:p>
      <w:pPr>
        <w:ind w:firstLine="480"/>
        <w:rPr>
          <w:color w:val="auto"/>
          <w:highlight w:val="none"/>
        </w:rPr>
      </w:pPr>
      <w:r>
        <w:rPr>
          <w:color w:val="auto"/>
          <w:highlight w:val="none"/>
        </w:rPr>
        <w:t>一、投诉相关主体基本情况</w:t>
      </w:r>
    </w:p>
    <w:p>
      <w:pPr>
        <w:ind w:firstLine="480"/>
        <w:rPr>
          <w:color w:val="auto"/>
          <w:highlight w:val="none"/>
        </w:rPr>
      </w:pPr>
      <w:r>
        <w:rPr>
          <w:color w:val="auto"/>
          <w:highlight w:val="none"/>
        </w:rPr>
        <w:t>投诉人：____________________</w:t>
      </w:r>
    </w:p>
    <w:p>
      <w:pPr>
        <w:ind w:firstLine="480"/>
        <w:rPr>
          <w:color w:val="auto"/>
          <w:highlight w:val="none"/>
        </w:rPr>
      </w:pPr>
      <w:r>
        <w:rPr>
          <w:color w:val="auto"/>
          <w:highlight w:val="none"/>
        </w:rPr>
        <w:t>地 址：____________________邮编：____________________</w:t>
      </w:r>
    </w:p>
    <w:p>
      <w:pPr>
        <w:ind w:firstLine="480"/>
        <w:rPr>
          <w:color w:val="auto"/>
          <w:highlight w:val="none"/>
        </w:rPr>
      </w:pPr>
      <w:r>
        <w:rPr>
          <w:color w:val="auto"/>
          <w:highlight w:val="none"/>
        </w:rPr>
        <w:t>法定代表人/主要负责人：____________________</w:t>
      </w:r>
    </w:p>
    <w:p>
      <w:pPr>
        <w:ind w:firstLine="480"/>
        <w:rPr>
          <w:color w:val="auto"/>
          <w:highlight w:val="none"/>
        </w:rPr>
      </w:pPr>
      <w:r>
        <w:rPr>
          <w:color w:val="auto"/>
          <w:highlight w:val="none"/>
        </w:rPr>
        <w:t>联系电话：____________________</w:t>
      </w:r>
    </w:p>
    <w:p>
      <w:pPr>
        <w:ind w:firstLine="480"/>
        <w:rPr>
          <w:color w:val="auto"/>
          <w:highlight w:val="none"/>
        </w:rPr>
      </w:pPr>
      <w:r>
        <w:rPr>
          <w:color w:val="auto"/>
          <w:highlight w:val="none"/>
        </w:rPr>
        <w:t>授权代表：____________________联系电话：____________________</w:t>
      </w:r>
    </w:p>
    <w:p>
      <w:pPr>
        <w:ind w:firstLine="480"/>
        <w:rPr>
          <w:color w:val="auto"/>
          <w:highlight w:val="none"/>
        </w:rPr>
      </w:pPr>
      <w:r>
        <w:rPr>
          <w:color w:val="auto"/>
          <w:highlight w:val="none"/>
        </w:rPr>
        <w:t>地 址：____________________邮编：____________________</w:t>
      </w:r>
    </w:p>
    <w:p>
      <w:pPr>
        <w:ind w:firstLine="480"/>
        <w:rPr>
          <w:color w:val="auto"/>
          <w:highlight w:val="none"/>
        </w:rPr>
      </w:pPr>
      <w:r>
        <w:rPr>
          <w:color w:val="auto"/>
          <w:highlight w:val="none"/>
        </w:rPr>
        <w:t>被投诉人1：____________________</w:t>
      </w:r>
    </w:p>
    <w:p>
      <w:pPr>
        <w:ind w:firstLine="480"/>
        <w:rPr>
          <w:color w:val="auto"/>
          <w:highlight w:val="none"/>
        </w:rPr>
      </w:pPr>
      <w:r>
        <w:rPr>
          <w:color w:val="auto"/>
          <w:highlight w:val="none"/>
        </w:rPr>
        <w:t>地址：____________________邮编：____________________</w:t>
      </w:r>
    </w:p>
    <w:p>
      <w:pPr>
        <w:ind w:firstLine="480"/>
        <w:rPr>
          <w:color w:val="auto"/>
          <w:highlight w:val="none"/>
        </w:rPr>
      </w:pPr>
      <w:r>
        <w:rPr>
          <w:color w:val="auto"/>
          <w:highlight w:val="none"/>
        </w:rPr>
        <w:t>联系人：____________________联系电话：____________________</w:t>
      </w:r>
    </w:p>
    <w:p>
      <w:pPr>
        <w:ind w:firstLine="480"/>
        <w:rPr>
          <w:color w:val="auto"/>
          <w:highlight w:val="none"/>
        </w:rPr>
      </w:pPr>
      <w:r>
        <w:rPr>
          <w:color w:val="auto"/>
          <w:highlight w:val="none"/>
        </w:rPr>
        <w:t>被投诉人2：____________________</w:t>
      </w:r>
    </w:p>
    <w:p>
      <w:pPr>
        <w:ind w:firstLine="480"/>
        <w:rPr>
          <w:color w:val="auto"/>
          <w:highlight w:val="none"/>
        </w:rPr>
      </w:pPr>
      <w:r>
        <w:rPr>
          <w:color w:val="auto"/>
          <w:highlight w:val="none"/>
        </w:rPr>
        <w:t>……</w:t>
      </w:r>
    </w:p>
    <w:p>
      <w:pPr>
        <w:ind w:firstLine="480"/>
        <w:rPr>
          <w:color w:val="auto"/>
          <w:highlight w:val="none"/>
        </w:rPr>
      </w:pPr>
      <w:r>
        <w:rPr>
          <w:color w:val="auto"/>
          <w:highlight w:val="none"/>
        </w:rPr>
        <w:t>相关供应商：_____________________</w:t>
      </w:r>
    </w:p>
    <w:p>
      <w:pPr>
        <w:ind w:firstLine="480"/>
        <w:rPr>
          <w:color w:val="auto"/>
          <w:highlight w:val="none"/>
        </w:rPr>
      </w:pPr>
      <w:r>
        <w:rPr>
          <w:color w:val="auto"/>
          <w:highlight w:val="none"/>
        </w:rPr>
        <w:t>地址：____________________邮编：____________________</w:t>
      </w:r>
    </w:p>
    <w:p>
      <w:pPr>
        <w:ind w:firstLine="480"/>
        <w:rPr>
          <w:color w:val="auto"/>
          <w:highlight w:val="none"/>
        </w:rPr>
      </w:pPr>
      <w:r>
        <w:rPr>
          <w:color w:val="auto"/>
          <w:highlight w:val="none"/>
        </w:rPr>
        <w:t>联系人：____________________联系电话：____________________</w:t>
      </w:r>
    </w:p>
    <w:p>
      <w:pPr>
        <w:ind w:firstLine="480"/>
        <w:rPr>
          <w:color w:val="auto"/>
          <w:highlight w:val="none"/>
        </w:rPr>
      </w:pPr>
      <w:r>
        <w:rPr>
          <w:color w:val="auto"/>
          <w:highlight w:val="none"/>
        </w:rPr>
        <w:t>二、投诉项目基本情况</w:t>
      </w:r>
    </w:p>
    <w:p>
      <w:pPr>
        <w:ind w:firstLine="480"/>
        <w:rPr>
          <w:color w:val="auto"/>
          <w:highlight w:val="none"/>
        </w:rPr>
      </w:pPr>
      <w:r>
        <w:rPr>
          <w:color w:val="auto"/>
          <w:highlight w:val="none"/>
        </w:rPr>
        <w:t>采购项目名称：____________________</w:t>
      </w:r>
    </w:p>
    <w:p>
      <w:pPr>
        <w:ind w:firstLine="480"/>
        <w:rPr>
          <w:color w:val="auto"/>
          <w:highlight w:val="none"/>
        </w:rPr>
      </w:pPr>
      <w:r>
        <w:rPr>
          <w:color w:val="auto"/>
          <w:highlight w:val="none"/>
        </w:rPr>
        <w:t>采购项目编号： ____________________包号：____________________</w:t>
      </w:r>
    </w:p>
    <w:p>
      <w:pPr>
        <w:ind w:firstLine="480"/>
        <w:rPr>
          <w:color w:val="auto"/>
          <w:highlight w:val="none"/>
        </w:rPr>
      </w:pPr>
      <w:r>
        <w:rPr>
          <w:color w:val="auto"/>
          <w:highlight w:val="none"/>
        </w:rPr>
        <w:t>采购人名称：____________________</w:t>
      </w:r>
    </w:p>
    <w:p>
      <w:pPr>
        <w:ind w:firstLine="480"/>
        <w:rPr>
          <w:color w:val="auto"/>
          <w:highlight w:val="none"/>
        </w:rPr>
      </w:pPr>
      <w:r>
        <w:rPr>
          <w:color w:val="auto"/>
          <w:highlight w:val="none"/>
        </w:rPr>
        <w:t>代理机构名称：____________________</w:t>
      </w:r>
    </w:p>
    <w:p>
      <w:pPr>
        <w:ind w:firstLine="480"/>
        <w:rPr>
          <w:color w:val="auto"/>
          <w:highlight w:val="none"/>
        </w:rPr>
      </w:pPr>
      <w:r>
        <w:rPr>
          <w:color w:val="auto"/>
          <w:highlight w:val="none"/>
        </w:rPr>
        <w:t>采购文件公告:</w:t>
      </w:r>
      <w:r>
        <w:rPr>
          <w:color w:val="auto"/>
          <w:highlight w:val="none"/>
          <w:u w:val="single"/>
        </w:rPr>
        <w:t>是/否</w:t>
      </w:r>
      <w:r>
        <w:rPr>
          <w:color w:val="auto"/>
          <w:highlight w:val="none"/>
        </w:rPr>
        <w:t>公告期限：_____________________</w:t>
      </w:r>
    </w:p>
    <w:p>
      <w:pPr>
        <w:ind w:firstLine="480"/>
        <w:rPr>
          <w:color w:val="auto"/>
          <w:highlight w:val="none"/>
        </w:rPr>
      </w:pPr>
      <w:r>
        <w:rPr>
          <w:color w:val="auto"/>
          <w:highlight w:val="none"/>
        </w:rPr>
        <w:t>采购结果公告:</w:t>
      </w:r>
      <w:r>
        <w:rPr>
          <w:color w:val="auto"/>
          <w:highlight w:val="none"/>
          <w:u w:val="single"/>
        </w:rPr>
        <w:t>是/否</w:t>
      </w:r>
      <w:r>
        <w:rPr>
          <w:color w:val="auto"/>
          <w:highlight w:val="none"/>
        </w:rPr>
        <w:t>公告期限：_____________________</w:t>
      </w:r>
    </w:p>
    <w:p>
      <w:pPr>
        <w:ind w:firstLine="480"/>
        <w:rPr>
          <w:color w:val="auto"/>
          <w:highlight w:val="none"/>
        </w:rPr>
      </w:pPr>
      <w:r>
        <w:rPr>
          <w:color w:val="auto"/>
          <w:highlight w:val="none"/>
        </w:rPr>
        <w:t>三、质疑基本情况</w:t>
      </w:r>
    </w:p>
    <w:p>
      <w:pPr>
        <w:ind w:firstLine="480"/>
        <w:rPr>
          <w:color w:val="auto"/>
          <w:highlight w:val="none"/>
        </w:rPr>
      </w:pPr>
      <w:r>
        <w:rPr>
          <w:color w:val="auto"/>
          <w:highlight w:val="none"/>
        </w:rPr>
        <w:t>投诉人于 ____年____月____日,向提出质疑，质疑事项为：_____________________</w:t>
      </w:r>
    </w:p>
    <w:p>
      <w:pPr>
        <w:ind w:firstLine="480"/>
        <w:rPr>
          <w:color w:val="auto"/>
          <w:highlight w:val="none"/>
        </w:rPr>
      </w:pPr>
      <w:r>
        <w:rPr>
          <w:color w:val="auto"/>
          <w:highlight w:val="none"/>
          <w:u w:val="single"/>
        </w:rPr>
        <w:t>采购人/代理机构</w:t>
      </w:r>
      <w:r>
        <w:rPr>
          <w:color w:val="auto"/>
          <w:highlight w:val="none"/>
        </w:rPr>
        <w:t>于____年____月____日,就质疑事项作出了答复/没有在法定期限内作出答复。</w:t>
      </w:r>
    </w:p>
    <w:p>
      <w:pPr>
        <w:ind w:firstLine="480"/>
        <w:rPr>
          <w:color w:val="auto"/>
          <w:highlight w:val="none"/>
        </w:rPr>
      </w:pPr>
      <w:r>
        <w:rPr>
          <w:color w:val="auto"/>
          <w:highlight w:val="none"/>
        </w:rPr>
        <w:t>四、投诉事项具体内容</w:t>
      </w:r>
    </w:p>
    <w:p>
      <w:pPr>
        <w:ind w:firstLine="480"/>
        <w:rPr>
          <w:color w:val="auto"/>
          <w:highlight w:val="none"/>
        </w:rPr>
      </w:pPr>
      <w:r>
        <w:rPr>
          <w:color w:val="auto"/>
          <w:highlight w:val="none"/>
        </w:rPr>
        <w:t>投诉事项 1：_____________________</w:t>
      </w:r>
    </w:p>
    <w:p>
      <w:pPr>
        <w:ind w:firstLine="480"/>
        <w:rPr>
          <w:color w:val="auto"/>
          <w:highlight w:val="none"/>
        </w:rPr>
      </w:pPr>
      <w:r>
        <w:rPr>
          <w:color w:val="auto"/>
          <w:highlight w:val="none"/>
        </w:rPr>
        <w:t>事实依据：_____________________</w:t>
      </w:r>
    </w:p>
    <w:p>
      <w:pPr>
        <w:ind w:firstLine="480"/>
        <w:rPr>
          <w:color w:val="auto"/>
          <w:highlight w:val="none"/>
        </w:rPr>
      </w:pPr>
      <w:r>
        <w:rPr>
          <w:color w:val="auto"/>
          <w:highlight w:val="none"/>
        </w:rPr>
        <w:t>法律依据：_____________________</w:t>
      </w:r>
    </w:p>
    <w:p>
      <w:pPr>
        <w:ind w:firstLine="480"/>
        <w:rPr>
          <w:color w:val="auto"/>
          <w:highlight w:val="none"/>
        </w:rPr>
      </w:pPr>
      <w:r>
        <w:rPr>
          <w:color w:val="auto"/>
          <w:highlight w:val="none"/>
        </w:rPr>
        <w:t>投诉事项2：_____________________</w:t>
      </w:r>
    </w:p>
    <w:p>
      <w:pPr>
        <w:ind w:firstLine="480"/>
        <w:rPr>
          <w:color w:val="auto"/>
          <w:highlight w:val="none"/>
        </w:rPr>
      </w:pPr>
      <w:r>
        <w:rPr>
          <w:color w:val="auto"/>
          <w:highlight w:val="none"/>
        </w:rPr>
        <w:t>……</w:t>
      </w:r>
    </w:p>
    <w:p>
      <w:pPr>
        <w:ind w:firstLine="480"/>
        <w:rPr>
          <w:color w:val="auto"/>
          <w:highlight w:val="none"/>
        </w:rPr>
      </w:pPr>
      <w:r>
        <w:rPr>
          <w:color w:val="auto"/>
          <w:highlight w:val="none"/>
        </w:rPr>
        <w:t>五、与投诉事项相关的投诉请求</w:t>
      </w:r>
    </w:p>
    <w:p>
      <w:pPr>
        <w:ind w:firstLine="480"/>
        <w:rPr>
          <w:color w:val="auto"/>
          <w:highlight w:val="none"/>
        </w:rPr>
      </w:pPr>
      <w:r>
        <w:rPr>
          <w:color w:val="auto"/>
          <w:highlight w:val="none"/>
        </w:rPr>
        <w:t>请求：________________________</w:t>
      </w:r>
    </w:p>
    <w:p>
      <w:pPr>
        <w:ind w:firstLine="480"/>
        <w:rPr>
          <w:color w:val="auto"/>
          <w:highlight w:val="none"/>
        </w:rPr>
      </w:pPr>
    </w:p>
    <w:p>
      <w:pPr>
        <w:rPr>
          <w:color w:val="auto"/>
          <w:highlight w:val="none"/>
        </w:rPr>
      </w:pPr>
      <w:r>
        <w:rPr>
          <w:color w:val="auto"/>
          <w:highlight w:val="none"/>
        </w:rPr>
        <w:t xml:space="preserve"> 签字(签章)： ________公章________</w:t>
      </w:r>
    </w:p>
    <w:p>
      <w:pPr>
        <w:rPr>
          <w:color w:val="auto"/>
          <w:highlight w:val="none"/>
        </w:rPr>
      </w:pPr>
      <w:r>
        <w:rPr>
          <w:color w:val="auto"/>
          <w:highlight w:val="none"/>
        </w:rPr>
        <w:t>日期：____年____月____日</w:t>
      </w:r>
    </w:p>
    <w:p>
      <w:pPr>
        <w:ind w:firstLine="480"/>
        <w:rPr>
          <w:color w:val="auto"/>
          <w:highlight w:val="none"/>
        </w:rPr>
      </w:pPr>
    </w:p>
    <w:p>
      <w:pPr>
        <w:ind w:firstLine="480"/>
        <w:rPr>
          <w:color w:val="auto"/>
          <w:highlight w:val="none"/>
        </w:rPr>
      </w:pPr>
      <w:r>
        <w:rPr>
          <w:color w:val="auto"/>
          <w:highlight w:val="none"/>
        </w:rPr>
        <w:t>投诉书制作说明：</w:t>
      </w:r>
    </w:p>
    <w:p>
      <w:pPr>
        <w:ind w:firstLine="480"/>
        <w:rPr>
          <w:color w:val="auto"/>
          <w:highlight w:val="none"/>
        </w:rPr>
      </w:pPr>
      <w:r>
        <w:rPr>
          <w:color w:val="auto"/>
          <w:highlight w:val="none"/>
        </w:rPr>
        <w:t>1.投诉人提起投诉时，应当提交投诉书和必要的证明材料，并按照被投诉人和与投诉事项有关的供应商数量提供投诉书副本。</w:t>
      </w:r>
    </w:p>
    <w:p>
      <w:pPr>
        <w:ind w:firstLine="480"/>
        <w:rPr>
          <w:color w:val="auto"/>
          <w:highlight w:val="none"/>
        </w:rPr>
      </w:pPr>
      <w:r>
        <w:rPr>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rPr>
          <w:color w:val="auto"/>
          <w:highlight w:val="none"/>
        </w:rPr>
      </w:pPr>
      <w:r>
        <w:rPr>
          <w:color w:val="auto"/>
          <w:highlight w:val="none"/>
        </w:rPr>
        <w:t>3.投诉人若对项目的某一分包进行投诉，投诉书应列明具体分包号。</w:t>
      </w:r>
    </w:p>
    <w:p>
      <w:pPr>
        <w:ind w:firstLine="480"/>
        <w:rPr>
          <w:color w:val="auto"/>
          <w:highlight w:val="none"/>
        </w:rPr>
      </w:pPr>
      <w:r>
        <w:rPr>
          <w:color w:val="auto"/>
          <w:highlight w:val="none"/>
        </w:rPr>
        <w:t>4.投诉书应简要列明质疑事项，质疑函、质疑答复等作为附件材料提供。</w:t>
      </w:r>
    </w:p>
    <w:p>
      <w:pPr>
        <w:ind w:firstLine="480"/>
        <w:rPr>
          <w:color w:val="auto"/>
          <w:highlight w:val="none"/>
        </w:rPr>
      </w:pPr>
      <w:r>
        <w:rPr>
          <w:color w:val="auto"/>
          <w:highlight w:val="none"/>
        </w:rPr>
        <w:t>5.投诉书的投诉事项应具体、明确，并有必要的事实依据和法律依据。</w:t>
      </w:r>
    </w:p>
    <w:p>
      <w:pPr>
        <w:ind w:firstLine="480"/>
        <w:rPr>
          <w:color w:val="auto"/>
          <w:highlight w:val="none"/>
        </w:rPr>
      </w:pPr>
      <w:r>
        <w:rPr>
          <w:color w:val="auto"/>
          <w:highlight w:val="none"/>
        </w:rPr>
        <w:t>6.投诉书的投诉请求应与投诉事项相关。</w:t>
      </w:r>
    </w:p>
    <w:p>
      <w:pPr>
        <w:ind w:firstLine="480"/>
        <w:rPr>
          <w:color w:val="auto"/>
          <w:highlight w:val="none"/>
        </w:rPr>
      </w:pPr>
      <w:r>
        <w:rPr>
          <w:color w:val="auto"/>
          <w:highlight w:val="none"/>
        </w:rPr>
        <w:t>7.投诉人为自然人的，投诉书应当由本人签字；投诉人为法人或者其他组织的，投诉书应当由法定代表人、主要负责人，或者其授权代表签字或者盖章，并加盖公章。</w:t>
      </w:r>
    </w:p>
    <w:p>
      <w:pPr>
        <w:ind w:firstLine="480"/>
        <w:rPr>
          <w:color w:val="auto"/>
          <w:highlight w:val="none"/>
        </w:rPr>
      </w:pPr>
    </w:p>
    <w:p>
      <w:pP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DejaVuSans">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FFDF2"/>
    <w:multiLevelType w:val="singleLevel"/>
    <w:tmpl w:val="AB3FFDF2"/>
    <w:lvl w:ilvl="0" w:tentative="0">
      <w:start w:val="1"/>
      <w:numFmt w:val="decimal"/>
      <w:suff w:val="nothing"/>
      <w:lvlText w:val="%1、"/>
      <w:lvlJc w:val="left"/>
    </w:lvl>
  </w:abstractNum>
  <w:abstractNum w:abstractNumId="1">
    <w:nsid w:val="075CA184"/>
    <w:multiLevelType w:val="singleLevel"/>
    <w:tmpl w:val="075CA184"/>
    <w:lvl w:ilvl="0" w:tentative="0">
      <w:start w:val="1"/>
      <w:numFmt w:val="decimal"/>
      <w:suff w:val="nothing"/>
      <w:lvlText w:val="%1）"/>
      <w:lvlJc w:val="left"/>
    </w:lvl>
  </w:abstractNum>
  <w:abstractNum w:abstractNumId="2">
    <w:nsid w:val="21FC91BC"/>
    <w:multiLevelType w:val="singleLevel"/>
    <w:tmpl w:val="21FC91BC"/>
    <w:lvl w:ilvl="0" w:tentative="0">
      <w:start w:val="12"/>
      <w:numFmt w:val="decimal"/>
      <w:suff w:val="space"/>
      <w:lvlText w:val="%1."/>
      <w:lvlJc w:val="left"/>
    </w:lvl>
  </w:abstractNum>
  <w:abstractNum w:abstractNumId="3">
    <w:nsid w:val="43DC0987"/>
    <w:multiLevelType w:val="multilevel"/>
    <w:tmpl w:val="43DC0987"/>
    <w:lvl w:ilvl="0" w:tentative="0">
      <w:start w:val="1"/>
      <w:numFmt w:val="decimal"/>
      <w:lvlText w:val="%1."/>
      <w:lvlJc w:val="left"/>
      <w:pPr>
        <w:ind w:left="0" w:firstLine="0"/>
      </w:pPr>
      <w:rPr>
        <w:rFonts w:hint="eastAsia" w:ascii="宋体" w:hAnsi="仿宋" w:eastAsia="宋体"/>
        <w:b/>
        <w:bCs w:val="0"/>
        <w:i w:val="0"/>
        <w:iCs w:val="0"/>
        <w:caps w:val="0"/>
        <w:smallCaps w:val="0"/>
        <w:strike w:val="0"/>
        <w:dstrike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1.%2"/>
      <w:lvlJc w:val="left"/>
      <w:pPr>
        <w:ind w:left="284" w:firstLine="0"/>
      </w:pPr>
      <w:rPr>
        <w:rFonts w:hint="eastAsia"/>
        <w:b/>
        <w:bCs w:val="0"/>
        <w:i w:val="0"/>
      </w:rPr>
    </w:lvl>
    <w:lvl w:ilvl="2" w:tentative="0">
      <w:start w:val="1"/>
      <w:numFmt w:val="decimal"/>
      <w:pStyle w:val="5"/>
      <w:lvlText w:val="%1.%2.%3."/>
      <w:lvlJc w:val="left"/>
      <w:pPr>
        <w:ind w:left="284" w:firstLine="0"/>
      </w:pPr>
      <w:rPr>
        <w:rFonts w:hint="eastAsia" w:ascii="宋体" w:hAnsi="仿宋" w:eastAsia="宋体"/>
        <w:b/>
        <w:i w:val="0"/>
        <w:sz w:val="24"/>
      </w:rPr>
    </w:lvl>
    <w:lvl w:ilvl="3" w:tentative="0">
      <w:start w:val="1"/>
      <w:numFmt w:val="decimal"/>
      <w:lvlText w:val="%1.%2.%3.%4."/>
      <w:lvlJc w:val="left"/>
      <w:pPr>
        <w:ind w:left="0" w:firstLine="0"/>
      </w:pPr>
      <w:rPr>
        <w:rFonts w:hint="eastAsia" w:ascii="宋体" w:hAnsi="仿宋"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77CC6249"/>
    <w:multiLevelType w:val="singleLevel"/>
    <w:tmpl w:val="77CC6249"/>
    <w:lvl w:ilvl="0" w:tentative="0">
      <w:start w:val="1"/>
      <w:numFmt w:val="decimal"/>
      <w:suff w:val="space"/>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23221"/>
    <w:rsid w:val="0006741E"/>
    <w:rsid w:val="00075EBE"/>
    <w:rsid w:val="00076DAB"/>
    <w:rsid w:val="000B3141"/>
    <w:rsid w:val="000C5E4D"/>
    <w:rsid w:val="000F1A16"/>
    <w:rsid w:val="00106025"/>
    <w:rsid w:val="00127900"/>
    <w:rsid w:val="0014659E"/>
    <w:rsid w:val="00155F5F"/>
    <w:rsid w:val="00175594"/>
    <w:rsid w:val="00183C0A"/>
    <w:rsid w:val="001A03A2"/>
    <w:rsid w:val="001C374C"/>
    <w:rsid w:val="001D6AEF"/>
    <w:rsid w:val="001E3F79"/>
    <w:rsid w:val="001F31B4"/>
    <w:rsid w:val="00221036"/>
    <w:rsid w:val="0025428C"/>
    <w:rsid w:val="002A4DB5"/>
    <w:rsid w:val="002E0D52"/>
    <w:rsid w:val="002E3AE4"/>
    <w:rsid w:val="002F28B4"/>
    <w:rsid w:val="00300DC1"/>
    <w:rsid w:val="0036198C"/>
    <w:rsid w:val="0037163A"/>
    <w:rsid w:val="00376517"/>
    <w:rsid w:val="003F121C"/>
    <w:rsid w:val="004227C6"/>
    <w:rsid w:val="004274A2"/>
    <w:rsid w:val="00442011"/>
    <w:rsid w:val="004B09F5"/>
    <w:rsid w:val="00526043"/>
    <w:rsid w:val="00526D26"/>
    <w:rsid w:val="00571846"/>
    <w:rsid w:val="00587D6E"/>
    <w:rsid w:val="005D01B6"/>
    <w:rsid w:val="005F3A85"/>
    <w:rsid w:val="00601EE3"/>
    <w:rsid w:val="0063756E"/>
    <w:rsid w:val="00664003"/>
    <w:rsid w:val="006779CA"/>
    <w:rsid w:val="006A3845"/>
    <w:rsid w:val="006D6232"/>
    <w:rsid w:val="00731DB5"/>
    <w:rsid w:val="007A1B33"/>
    <w:rsid w:val="007A5795"/>
    <w:rsid w:val="007B25C6"/>
    <w:rsid w:val="007C16D3"/>
    <w:rsid w:val="007E5DA6"/>
    <w:rsid w:val="00831DEE"/>
    <w:rsid w:val="008355FB"/>
    <w:rsid w:val="00846B01"/>
    <w:rsid w:val="008718A8"/>
    <w:rsid w:val="00872FC3"/>
    <w:rsid w:val="00876D8A"/>
    <w:rsid w:val="0088486C"/>
    <w:rsid w:val="008B0BB9"/>
    <w:rsid w:val="008D206F"/>
    <w:rsid w:val="00921FF1"/>
    <w:rsid w:val="00940DBE"/>
    <w:rsid w:val="00944B21"/>
    <w:rsid w:val="009926BD"/>
    <w:rsid w:val="009D758C"/>
    <w:rsid w:val="00A552E7"/>
    <w:rsid w:val="00A56032"/>
    <w:rsid w:val="00A72ED5"/>
    <w:rsid w:val="00AD1AE8"/>
    <w:rsid w:val="00AF7662"/>
    <w:rsid w:val="00B52438"/>
    <w:rsid w:val="00B660CA"/>
    <w:rsid w:val="00B7147E"/>
    <w:rsid w:val="00B86D13"/>
    <w:rsid w:val="00BC4700"/>
    <w:rsid w:val="00C017C5"/>
    <w:rsid w:val="00C2132E"/>
    <w:rsid w:val="00C269B7"/>
    <w:rsid w:val="00C738B9"/>
    <w:rsid w:val="00CB03EC"/>
    <w:rsid w:val="00D12D91"/>
    <w:rsid w:val="00D27EF0"/>
    <w:rsid w:val="00D523EB"/>
    <w:rsid w:val="00D62F24"/>
    <w:rsid w:val="00D7297E"/>
    <w:rsid w:val="00D74895"/>
    <w:rsid w:val="00D959D1"/>
    <w:rsid w:val="00DD0615"/>
    <w:rsid w:val="00DE332F"/>
    <w:rsid w:val="00DE6CD6"/>
    <w:rsid w:val="00DF4752"/>
    <w:rsid w:val="00E554B0"/>
    <w:rsid w:val="00E60C6F"/>
    <w:rsid w:val="00EB21DF"/>
    <w:rsid w:val="00EB3134"/>
    <w:rsid w:val="00EB79E3"/>
    <w:rsid w:val="00F1403B"/>
    <w:rsid w:val="00F35F36"/>
    <w:rsid w:val="00F576E1"/>
    <w:rsid w:val="00FA6138"/>
    <w:rsid w:val="00FE3C9E"/>
    <w:rsid w:val="00FE61E0"/>
    <w:rsid w:val="00FF4BA0"/>
    <w:rsid w:val="0B2A4BC6"/>
    <w:rsid w:val="0B3C5D0B"/>
    <w:rsid w:val="0B701EA7"/>
    <w:rsid w:val="0FBD6934"/>
    <w:rsid w:val="16344315"/>
    <w:rsid w:val="177F50ED"/>
    <w:rsid w:val="18666E0F"/>
    <w:rsid w:val="1CBC51D5"/>
    <w:rsid w:val="1E6C3CAF"/>
    <w:rsid w:val="275D5599"/>
    <w:rsid w:val="2B17723C"/>
    <w:rsid w:val="2C6430E1"/>
    <w:rsid w:val="2D9418D4"/>
    <w:rsid w:val="322F7249"/>
    <w:rsid w:val="338109BD"/>
    <w:rsid w:val="367A421B"/>
    <w:rsid w:val="37564CB4"/>
    <w:rsid w:val="3C167399"/>
    <w:rsid w:val="3F586D47"/>
    <w:rsid w:val="40CA0EB1"/>
    <w:rsid w:val="41327CC6"/>
    <w:rsid w:val="427A72D5"/>
    <w:rsid w:val="444B1926"/>
    <w:rsid w:val="44E0102F"/>
    <w:rsid w:val="45576E6B"/>
    <w:rsid w:val="48813FBB"/>
    <w:rsid w:val="4EF26FC9"/>
    <w:rsid w:val="4FAA3CD4"/>
    <w:rsid w:val="500F7FF9"/>
    <w:rsid w:val="53B52B8D"/>
    <w:rsid w:val="54B17DA0"/>
    <w:rsid w:val="54F10AAD"/>
    <w:rsid w:val="55E31A0A"/>
    <w:rsid w:val="57877644"/>
    <w:rsid w:val="57DD69AB"/>
    <w:rsid w:val="595B172E"/>
    <w:rsid w:val="5A9713EB"/>
    <w:rsid w:val="5B1E4304"/>
    <w:rsid w:val="5F533BE2"/>
    <w:rsid w:val="63367551"/>
    <w:rsid w:val="670037B0"/>
    <w:rsid w:val="6C51115E"/>
    <w:rsid w:val="6D2F782E"/>
    <w:rsid w:val="6FD46379"/>
    <w:rsid w:val="715D126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7"/>
    <w:qFormat/>
    <w:uiPriority w:val="0"/>
    <w:pPr>
      <w:keepNext/>
      <w:keepLines/>
      <w:spacing w:before="260" w:after="260" w:line="1200" w:lineRule="exact"/>
      <w:jc w:val="center"/>
      <w:outlineLvl w:val="1"/>
    </w:pPr>
    <w:rPr>
      <w:rFonts w:ascii="Arial" w:hAnsi="Arial" w:eastAsia="宋体" w:cs="Times New Roman"/>
      <w:b/>
      <w:sz w:val="44"/>
      <w:szCs w:val="22"/>
    </w:rPr>
  </w:style>
  <w:style w:type="paragraph" w:styleId="3">
    <w:name w:val="heading 3"/>
    <w:basedOn w:val="1"/>
    <w:next w:val="1"/>
    <w:link w:val="28"/>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keepLines/>
      <w:autoSpaceDE/>
      <w:autoSpaceDN/>
      <w:spacing w:line="360" w:lineRule="auto"/>
      <w:outlineLvl w:val="3"/>
    </w:pPr>
    <w:rPr>
      <w:rFonts w:asciiTheme="majorHAnsi" w:hAnsiTheme="majorHAnsi" w:cstheme="majorBidi"/>
      <w:b/>
      <w:bCs/>
      <w:kern w:val="2"/>
      <w:sz w:val="24"/>
      <w:szCs w:val="28"/>
    </w:rPr>
  </w:style>
  <w:style w:type="paragraph" w:styleId="5">
    <w:name w:val="heading 5"/>
    <w:basedOn w:val="1"/>
    <w:next w:val="1"/>
    <w:unhideWhenUsed/>
    <w:qFormat/>
    <w:uiPriority w:val="9"/>
    <w:pPr>
      <w:keepNext/>
      <w:keepLines/>
      <w:numPr>
        <w:ilvl w:val="2"/>
        <w:numId w:val="1"/>
      </w:numPr>
      <w:autoSpaceDE/>
      <w:autoSpaceDN/>
      <w:spacing w:line="360" w:lineRule="auto"/>
      <w:outlineLvl w:val="4"/>
    </w:pPr>
    <w:rPr>
      <w:rFonts w:asciiTheme="minorHAnsi" w:hAnsiTheme="minorHAnsi" w:cstheme="minorBidi"/>
      <w:bCs/>
      <w:kern w:val="2"/>
      <w:sz w:val="24"/>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styleId="7">
    <w:name w:val="annotation text"/>
    <w:basedOn w:val="1"/>
    <w:link w:val="25"/>
    <w:qFormat/>
    <w:uiPriority w:val="99"/>
    <w:pPr>
      <w:jc w:val="left"/>
    </w:pPr>
    <w:rPr>
      <w:rFonts w:ascii="Times New Roman" w:hAnsi="Times New Roman" w:eastAsia="宋体" w:cs="Times New Roman"/>
      <w:lang w:val="zh-CN" w:eastAsia="zh-CN"/>
    </w:rPr>
  </w:style>
  <w:style w:type="paragraph" w:styleId="8">
    <w:name w:val="Body Text"/>
    <w:basedOn w:val="1"/>
    <w:next w:val="1"/>
    <w:link w:val="19"/>
    <w:qFormat/>
    <w:uiPriority w:val="0"/>
    <w:pPr>
      <w:spacing w:after="120"/>
    </w:pPr>
    <w:rPr>
      <w:rFonts w:ascii="Calibri" w:hAnsi="Calibri" w:eastAsia="宋体" w:cs="Times New Roman"/>
      <w:szCs w:val="22"/>
    </w:rPr>
  </w:style>
  <w:style w:type="paragraph" w:styleId="9">
    <w:name w:val="Plain Text"/>
    <w:basedOn w:val="1"/>
    <w:link w:val="26"/>
    <w:qFormat/>
    <w:uiPriority w:val="0"/>
    <w:rPr>
      <w:rFonts w:ascii="宋体" w:hAnsi="Courier New" w:eastAsia="宋体" w:cs="Times New Roman"/>
      <w:szCs w:val="22"/>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tabs>
        <w:tab w:val="right" w:leader="dot" w:pos="8835"/>
      </w:tabs>
    </w:pPr>
    <w:rPr>
      <w:rFonts w:ascii="Calibri" w:hAnsi="Calibri" w:eastAsia="宋体" w:cs="Times New Roman"/>
      <w:szCs w:val="22"/>
    </w:rPr>
  </w:style>
  <w:style w:type="paragraph" w:styleId="13">
    <w:name w:val="Body Text First Indent"/>
    <w:basedOn w:val="8"/>
    <w:link w:val="30"/>
    <w:qFormat/>
    <w:uiPriority w:val="0"/>
    <w:pPr>
      <w:ind w:firstLine="420" w:firstLineChars="100"/>
    </w:pPr>
    <w:rPr>
      <w:rFonts w:asciiTheme="minorHAnsi" w:hAnsiTheme="minorHAnsi" w:eastAsiaTheme="minorEastAsia" w:cstheme="minorBidi"/>
      <w:szCs w:val="24"/>
    </w:rPr>
  </w:style>
  <w:style w:type="character" w:styleId="16">
    <w:name w:val="Strong"/>
    <w:qFormat/>
    <w:uiPriority w:val="22"/>
    <w:rPr>
      <w:rFonts w:hint="default" w:ascii="Tahoma" w:hAnsi="Tahoma" w:eastAsia="宋体" w:cs="Tahoma"/>
      <w:b/>
      <w:bCs/>
      <w:spacing w:val="10"/>
      <w:sz w:val="24"/>
      <w:lang w:val="en-US" w:eastAsia="zh-CN" w:bidi="ar-SA"/>
    </w:rPr>
  </w:style>
  <w:style w:type="character" w:customStyle="1" w:styleId="17">
    <w:name w:val="页眉 Char"/>
    <w:basedOn w:val="15"/>
    <w:link w:val="11"/>
    <w:qFormat/>
    <w:uiPriority w:val="0"/>
    <w:rPr>
      <w:kern w:val="2"/>
      <w:sz w:val="18"/>
      <w:szCs w:val="18"/>
    </w:rPr>
  </w:style>
  <w:style w:type="character" w:customStyle="1" w:styleId="18">
    <w:name w:val="页脚 Char"/>
    <w:basedOn w:val="15"/>
    <w:link w:val="10"/>
    <w:qFormat/>
    <w:uiPriority w:val="0"/>
    <w:rPr>
      <w:kern w:val="2"/>
      <w:sz w:val="18"/>
      <w:szCs w:val="18"/>
    </w:rPr>
  </w:style>
  <w:style w:type="character" w:customStyle="1" w:styleId="19">
    <w:name w:val="正文文本 Char"/>
    <w:basedOn w:val="15"/>
    <w:link w:val="8"/>
    <w:qFormat/>
    <w:uiPriority w:val="0"/>
    <w:rPr>
      <w:rFonts w:ascii="Calibri" w:hAnsi="Calibri" w:eastAsia="宋体" w:cs="Times New Roman"/>
      <w:kern w:val="2"/>
      <w:sz w:val="21"/>
      <w:szCs w:val="22"/>
    </w:rPr>
  </w:style>
  <w:style w:type="paragraph" w:styleId="20">
    <w:name w:val="List Paragraph"/>
    <w:basedOn w:val="1"/>
    <w:qFormat/>
    <w:uiPriority w:val="34"/>
    <w:pPr>
      <w:ind w:firstLine="420" w:firstLineChars="200"/>
    </w:pPr>
    <w:rPr>
      <w:rFonts w:ascii="Calibri" w:hAnsi="Calibri" w:eastAsia="宋体" w:cs="Times New Roman"/>
      <w:szCs w:val="22"/>
    </w:rPr>
  </w:style>
  <w:style w:type="paragraph" w:customStyle="1" w:styleId="21">
    <w:name w:val="列出段落1"/>
    <w:basedOn w:val="1"/>
    <w:qFormat/>
    <w:uiPriority w:val="0"/>
    <w:pPr>
      <w:spacing w:line="360" w:lineRule="auto"/>
      <w:ind w:firstLine="420" w:firstLineChars="200"/>
    </w:pPr>
    <w:rPr>
      <w:rFonts w:ascii="Calibri" w:hAnsi="Calibri" w:eastAsia="宋体" w:cs="Times New Roman"/>
      <w:szCs w:val="22"/>
    </w:rPr>
  </w:style>
  <w:style w:type="paragraph" w:customStyle="1" w:styleId="22">
    <w:name w:val="Table Paragraph"/>
    <w:basedOn w:val="1"/>
    <w:qFormat/>
    <w:uiPriority w:val="1"/>
    <w:pPr>
      <w:autoSpaceDE w:val="0"/>
      <w:autoSpaceDN w:val="0"/>
      <w:jc w:val="left"/>
    </w:pPr>
    <w:rPr>
      <w:rFonts w:ascii="宋体" w:hAnsi="宋体" w:eastAsia="宋体" w:cs="宋体"/>
      <w:kern w:val="0"/>
      <w:sz w:val="22"/>
      <w:szCs w:val="22"/>
      <w:lang w:eastAsia="en-US"/>
    </w:rPr>
  </w:style>
  <w:style w:type="character" w:customStyle="1" w:styleId="23">
    <w:name w:val="正文缩进2格 Char Char"/>
    <w:link w:val="24"/>
    <w:qFormat/>
    <w:uiPriority w:val="0"/>
    <w:rPr>
      <w:rFonts w:ascii="仿宋_GB2312" w:hAnsi="宋体" w:eastAsia="仿宋_GB2312"/>
      <w:sz w:val="31"/>
      <w:szCs w:val="28"/>
    </w:rPr>
  </w:style>
  <w:style w:type="paragraph" w:customStyle="1" w:styleId="24">
    <w:name w:val="正文缩进2格"/>
    <w:basedOn w:val="1"/>
    <w:link w:val="23"/>
    <w:qFormat/>
    <w:uiPriority w:val="99"/>
    <w:pPr>
      <w:spacing w:line="600" w:lineRule="exact"/>
      <w:ind w:firstLine="639" w:firstLineChars="206"/>
    </w:pPr>
    <w:rPr>
      <w:rFonts w:ascii="仿宋_GB2312" w:hAnsi="宋体" w:eastAsia="仿宋_GB2312"/>
      <w:kern w:val="0"/>
      <w:sz w:val="31"/>
      <w:szCs w:val="28"/>
    </w:rPr>
  </w:style>
  <w:style w:type="character" w:customStyle="1" w:styleId="25">
    <w:name w:val="批注文字 Char"/>
    <w:basedOn w:val="15"/>
    <w:link w:val="7"/>
    <w:qFormat/>
    <w:uiPriority w:val="99"/>
    <w:rPr>
      <w:rFonts w:ascii="Times New Roman" w:hAnsi="Times New Roman" w:eastAsia="宋体" w:cs="Times New Roman"/>
      <w:kern w:val="2"/>
      <w:sz w:val="21"/>
      <w:szCs w:val="24"/>
      <w:lang w:val="zh-CN" w:eastAsia="zh-CN"/>
    </w:rPr>
  </w:style>
  <w:style w:type="character" w:customStyle="1" w:styleId="26">
    <w:name w:val="纯文本 Char"/>
    <w:basedOn w:val="15"/>
    <w:link w:val="9"/>
    <w:qFormat/>
    <w:uiPriority w:val="0"/>
    <w:rPr>
      <w:rFonts w:ascii="宋体" w:hAnsi="Courier New" w:eastAsia="宋体" w:cs="Times New Roman"/>
      <w:kern w:val="2"/>
      <w:sz w:val="21"/>
      <w:szCs w:val="22"/>
    </w:rPr>
  </w:style>
  <w:style w:type="character" w:customStyle="1" w:styleId="27">
    <w:name w:val="标题 2 Char"/>
    <w:basedOn w:val="15"/>
    <w:link w:val="2"/>
    <w:qFormat/>
    <w:uiPriority w:val="0"/>
    <w:rPr>
      <w:rFonts w:ascii="Arial" w:hAnsi="Arial" w:eastAsia="宋体" w:cs="Times New Roman"/>
      <w:b/>
      <w:kern w:val="2"/>
      <w:sz w:val="44"/>
      <w:szCs w:val="22"/>
    </w:rPr>
  </w:style>
  <w:style w:type="character" w:customStyle="1" w:styleId="28">
    <w:name w:val="标题 3 Char"/>
    <w:basedOn w:val="15"/>
    <w:link w:val="3"/>
    <w:semiHidden/>
    <w:qFormat/>
    <w:uiPriority w:val="0"/>
    <w:rPr>
      <w:b/>
      <w:bCs/>
      <w:kern w:val="2"/>
      <w:sz w:val="32"/>
      <w:szCs w:val="32"/>
    </w:rPr>
  </w:style>
  <w:style w:type="paragraph" w:customStyle="1" w:styleId="29">
    <w:name w:val="表格文字"/>
    <w:basedOn w:val="1"/>
    <w:qFormat/>
    <w:uiPriority w:val="0"/>
    <w:pPr>
      <w:spacing w:before="25" w:after="25"/>
      <w:jc w:val="left"/>
    </w:pPr>
    <w:rPr>
      <w:rFonts w:ascii="Calibri" w:hAnsi="Calibri" w:eastAsia="宋体" w:cs="Times New Roman"/>
      <w:spacing w:val="10"/>
      <w:kern w:val="0"/>
      <w:sz w:val="24"/>
      <w:szCs w:val="22"/>
    </w:rPr>
  </w:style>
  <w:style w:type="character" w:customStyle="1" w:styleId="30">
    <w:name w:val="正文首行缩进 Char"/>
    <w:basedOn w:val="19"/>
    <w:link w:val="13"/>
    <w:qFormat/>
    <w:uiPriority w:val="0"/>
    <w:rPr>
      <w:rFonts w:ascii="Calibri" w:hAnsi="Calibri" w:eastAsia="宋体" w:cs="Times New Roman"/>
      <w:kern w:val="2"/>
      <w:sz w:val="21"/>
      <w:szCs w:val="24"/>
    </w:rPr>
  </w:style>
  <w:style w:type="paragraph" w:customStyle="1" w:styleId="31">
    <w:name w:val="列出段落2"/>
    <w:basedOn w:val="1"/>
    <w:qFormat/>
    <w:uiPriority w:val="34"/>
    <w:pPr>
      <w:ind w:firstLine="420" w:firstLineChars="200"/>
    </w:pPr>
    <w:rPr>
      <w:rFonts w:ascii="Calibri" w:hAnsi="Calibri" w:eastAsia="宋体" w:cs="Times New Roman"/>
      <w:szCs w:val="22"/>
    </w:rPr>
  </w:style>
  <w:style w:type="table" w:customStyle="1" w:styleId="32">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35001</Words>
  <Characters>38052</Characters>
  <Lines>92</Lines>
  <Paragraphs>117</Paragraphs>
  <TotalTime>0</TotalTime>
  <ScaleCrop>false</ScaleCrop>
  <LinksUpToDate>false</LinksUpToDate>
  <CharactersWithSpaces>39103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2022-09-15T03:28:00Z</dcterms:created>
  <dc:creator>五块钱</dc:creator>
  <cp:lastModifiedBy>lenovo</cp:lastModifiedBy>
  <cp:lastPrinted>2022-09-16T03:52:00Z</cp:lastPrinted>
  <dcterms:modified xsi:type="dcterms:W3CDTF">2023-03-01T06:55:38Z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