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lang w:val="en-US" w:eastAsia="zh-Hans"/>
        </w:rPr>
      </w:pPr>
      <w:r>
        <w:rPr>
          <w:rFonts w:hint="eastAsia" w:ascii="仿宋_GB2312" w:hAnsi="仿宋_GB2312" w:eastAsia="仿宋_GB2312" w:cs="仿宋_GB2312"/>
          <w:highlight w:val="none"/>
        </w:rPr>
        <w:br w:type="textWrapping"/>
      </w: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br w:type="textWrapping"/>
      </w:r>
      <w:r>
        <w:rPr>
          <w:rFonts w:hint="eastAsia" w:ascii="仿宋_GB2312" w:hAnsi="仿宋_GB2312" w:eastAsia="仿宋_GB2312" w:cs="仿宋_GB2312"/>
          <w:highlight w:val="none"/>
        </w:rPr>
        <w:br w:type="textWrapping"/>
      </w:r>
      <w:r>
        <w:rPr>
          <w:rFonts w:hint="eastAsia" w:ascii="仿宋_GB2312" w:hAnsi="仿宋_GB2312" w:eastAsia="仿宋_GB2312" w:cs="仿宋_GB2312"/>
          <w:highlight w:val="none"/>
        </w:rPr>
        <w:br w:type="textWrapping"/>
      </w:r>
      <w:r>
        <w:rPr>
          <w:rFonts w:hint="eastAsia" w:ascii="仿宋_GB2312" w:hAnsi="仿宋_GB2312" w:eastAsia="仿宋_GB2312" w:cs="仿宋_GB2312"/>
          <w:highlight w:val="none"/>
        </w:rPr>
        <w:br w:type="textWrapping"/>
      </w:r>
      <w:r>
        <w:rPr>
          <w:rFonts w:hint="eastAsia" w:ascii="仿宋_GB2312" w:hAnsi="仿宋_GB2312" w:eastAsia="仿宋_GB2312" w:cs="仿宋_GB2312"/>
          <w:highlight w:val="none"/>
        </w:rPr>
        <w:br w:type="textWrapping"/>
      </w:r>
    </w:p>
    <w:p>
      <w:pPr>
        <w:jc w:val="center"/>
        <w:rPr>
          <w:rFonts w:hint="eastAsia" w:ascii="仿宋_GB2312" w:hAnsi="仿宋_GB2312" w:eastAsia="仿宋_GB2312" w:cs="仿宋_GB2312"/>
          <w:highlight w:val="none"/>
        </w:rPr>
      </w:pPr>
      <w:r>
        <w:rPr>
          <w:rFonts w:hint="eastAsia" w:ascii="仿宋_GB2312" w:hAnsi="仿宋_GB2312" w:eastAsia="仿宋_GB2312" w:cs="仿宋_GB2312"/>
          <w:b/>
          <w:sz w:val="48"/>
          <w:highlight w:val="none"/>
        </w:rPr>
        <w:t>东莞市万江街道政府采购</w:t>
      </w:r>
    </w:p>
    <w:p>
      <w:pPr>
        <w:jc w:val="center"/>
        <w:rPr>
          <w:rFonts w:hint="eastAsia" w:ascii="仿宋_GB2312" w:hAnsi="仿宋_GB2312" w:eastAsia="仿宋_GB2312" w:cs="仿宋_GB2312"/>
          <w:highlight w:val="none"/>
        </w:rPr>
      </w:pPr>
      <w:r>
        <w:rPr>
          <w:rFonts w:hint="eastAsia" w:ascii="仿宋_GB2312" w:hAnsi="仿宋_GB2312" w:eastAsia="仿宋_GB2312" w:cs="仿宋_GB2312"/>
          <w:b/>
          <w:sz w:val="48"/>
          <w:highlight w:val="none"/>
        </w:rPr>
        <w:t>询价通知书</w:t>
      </w:r>
      <w:r>
        <w:rPr>
          <w:rFonts w:hint="eastAsia" w:ascii="仿宋_GB2312" w:hAnsi="仿宋_GB2312" w:eastAsia="仿宋_GB2312" w:cs="仿宋_GB2312"/>
          <w:highlight w:val="none"/>
        </w:rPr>
        <w:br w:type="textWrapping"/>
      </w:r>
      <w:r>
        <w:rPr>
          <w:rFonts w:hint="eastAsia" w:ascii="仿宋_GB2312" w:hAnsi="仿宋_GB2312" w:eastAsia="仿宋_GB2312" w:cs="仿宋_GB2312"/>
          <w:highlight w:val="none"/>
        </w:rPr>
        <w:br w:type="textWrapping"/>
      </w:r>
      <w:r>
        <w:rPr>
          <w:rFonts w:hint="eastAsia" w:ascii="仿宋_GB2312" w:hAnsi="仿宋_GB2312" w:eastAsia="仿宋_GB2312" w:cs="仿宋_GB2312"/>
          <w:highlight w:val="none"/>
        </w:rPr>
        <w:br w:type="textWrapping"/>
      </w:r>
      <w:r>
        <w:rPr>
          <w:rFonts w:hint="eastAsia" w:ascii="仿宋_GB2312" w:hAnsi="仿宋_GB2312" w:eastAsia="仿宋_GB2312" w:cs="仿宋_GB2312"/>
          <w:highlight w:val="none"/>
        </w:rPr>
        <w:br w:type="textWrapping"/>
      </w:r>
      <w:r>
        <w:rPr>
          <w:rFonts w:hint="eastAsia" w:ascii="仿宋_GB2312" w:hAnsi="仿宋_GB2312" w:eastAsia="仿宋_GB2312" w:cs="仿宋_GB2312"/>
          <w:highlight w:val="none"/>
        </w:rPr>
        <w:br w:type="textWrapping"/>
      </w:r>
      <w:r>
        <w:rPr>
          <w:rFonts w:hint="eastAsia" w:ascii="仿宋_GB2312" w:hAnsi="仿宋_GB2312" w:eastAsia="仿宋_GB2312" w:cs="仿宋_GB2312"/>
          <w:highlight w:val="none"/>
        </w:rPr>
        <w:br w:type="textWrapping"/>
      </w:r>
      <w:r>
        <w:rPr>
          <w:rFonts w:hint="eastAsia" w:ascii="仿宋_GB2312" w:hAnsi="仿宋_GB2312" w:eastAsia="仿宋_GB2312" w:cs="仿宋_GB2312"/>
          <w:highlight w:val="none"/>
        </w:rPr>
        <w:br w:type="textWrapping"/>
      </w:r>
      <w:r>
        <w:rPr>
          <w:rFonts w:hint="eastAsia" w:ascii="仿宋_GB2312" w:hAnsi="仿宋_GB2312" w:eastAsia="仿宋_GB2312" w:cs="仿宋_GB2312"/>
          <w:highlight w:val="none"/>
        </w:rPr>
        <w:br w:type="textWrapping"/>
      </w:r>
      <w:r>
        <w:rPr>
          <w:rFonts w:hint="eastAsia" w:ascii="仿宋_GB2312" w:hAnsi="仿宋_GB2312" w:eastAsia="仿宋_GB2312" w:cs="仿宋_GB2312"/>
          <w:highlight w:val="none"/>
        </w:rPr>
        <w:br w:type="textWrapping"/>
      </w:r>
      <w:r>
        <w:rPr>
          <w:rFonts w:hint="eastAsia" w:ascii="仿宋_GB2312" w:hAnsi="仿宋_GB2312" w:eastAsia="仿宋_GB2312" w:cs="仿宋_GB2312"/>
          <w:highlight w:val="none"/>
        </w:rPr>
        <w:br w:type="textWrapping"/>
      </w:r>
      <w:r>
        <w:rPr>
          <w:rFonts w:hint="eastAsia" w:ascii="仿宋_GB2312" w:hAnsi="仿宋_GB2312" w:eastAsia="仿宋_GB2312" w:cs="仿宋_GB2312"/>
          <w:highlight w:val="none"/>
        </w:rPr>
        <w:br w:type="textWrapping"/>
      </w:r>
      <w:r>
        <w:rPr>
          <w:rFonts w:hint="eastAsia" w:ascii="仿宋_GB2312" w:hAnsi="仿宋_GB2312" w:eastAsia="仿宋_GB2312" w:cs="仿宋_GB2312"/>
          <w:highlight w:val="none"/>
        </w:rPr>
        <w:br w:type="textWrapping"/>
      </w:r>
      <w:r>
        <w:rPr>
          <w:rFonts w:hint="eastAsia" w:ascii="仿宋_GB2312" w:hAnsi="仿宋_GB2312" w:eastAsia="仿宋_GB2312" w:cs="仿宋_GB2312"/>
          <w:highlight w:val="none"/>
        </w:rPr>
        <w:br w:type="textWrapping"/>
      </w:r>
      <w:r>
        <w:rPr>
          <w:rFonts w:hint="eastAsia" w:ascii="仿宋_GB2312" w:hAnsi="仿宋_GB2312" w:eastAsia="仿宋_GB2312" w:cs="仿宋_GB2312"/>
          <w:highlight w:val="none"/>
        </w:rPr>
        <w:br w:type="textWrapping"/>
      </w:r>
      <w:r>
        <w:rPr>
          <w:rFonts w:hint="eastAsia" w:ascii="仿宋_GB2312" w:hAnsi="仿宋_GB2312" w:eastAsia="仿宋_GB2312" w:cs="仿宋_GB2312"/>
          <w:highlight w:val="none"/>
        </w:rPr>
        <w:br w:type="textWrapping"/>
      </w:r>
      <w:r>
        <w:rPr>
          <w:rFonts w:hint="eastAsia" w:ascii="仿宋_GB2312" w:hAnsi="仿宋_GB2312" w:eastAsia="仿宋_GB2312" w:cs="仿宋_GB2312"/>
          <w:highlight w:val="none"/>
        </w:rPr>
        <w:br w:type="textWrapping"/>
      </w:r>
      <w:r>
        <w:rPr>
          <w:rFonts w:hint="eastAsia" w:ascii="仿宋_GB2312" w:hAnsi="仿宋_GB2312" w:eastAsia="仿宋_GB2312" w:cs="仿宋_GB2312"/>
          <w:highlight w:val="none"/>
        </w:rPr>
        <w:br w:type="textWrapping"/>
      </w:r>
      <w:r>
        <w:rPr>
          <w:rFonts w:hint="eastAsia" w:ascii="仿宋_GB2312" w:hAnsi="仿宋_GB2312" w:eastAsia="仿宋_GB2312" w:cs="仿宋_GB2312"/>
          <w:highlight w:val="none"/>
        </w:rPr>
        <w:br w:type="textWrapping"/>
      </w:r>
      <w:r>
        <w:rPr>
          <w:rFonts w:hint="eastAsia" w:ascii="仿宋_GB2312" w:hAnsi="仿宋_GB2312" w:eastAsia="仿宋_GB2312" w:cs="仿宋_GB2312"/>
          <w:highlight w:val="none"/>
        </w:rPr>
        <w:br w:type="textWrapping"/>
      </w:r>
      <w:r>
        <w:rPr>
          <w:rFonts w:hint="eastAsia" w:ascii="仿宋_GB2312" w:hAnsi="仿宋_GB2312" w:eastAsia="仿宋_GB2312" w:cs="仿宋_GB2312"/>
          <w:highlight w:val="none"/>
        </w:rPr>
        <w:br w:type="textWrapping"/>
      </w:r>
      <w:r>
        <w:rPr>
          <w:rFonts w:hint="eastAsia" w:ascii="仿宋_GB2312" w:hAnsi="仿宋_GB2312" w:eastAsia="仿宋_GB2312" w:cs="仿宋_GB2312"/>
          <w:highlight w:val="none"/>
        </w:rPr>
        <w:br w:type="textWrapping"/>
      </w:r>
    </w:p>
    <w:p>
      <w:pPr>
        <w:jc w:val="center"/>
        <w:rPr>
          <w:rFonts w:hint="eastAsia" w:ascii="仿宋_GB2312" w:hAnsi="仿宋_GB2312" w:eastAsia="仿宋_GB2312" w:cs="仿宋_GB2312"/>
          <w:b/>
          <w:sz w:val="24"/>
          <w:highlight w:val="none"/>
          <w:lang w:eastAsia="zh-CN"/>
        </w:rPr>
      </w:pPr>
      <w:r>
        <w:rPr>
          <w:rFonts w:hint="eastAsia" w:ascii="仿宋_GB2312" w:hAnsi="仿宋_GB2312" w:eastAsia="仿宋_GB2312" w:cs="仿宋_GB2312"/>
          <w:b/>
          <w:sz w:val="24"/>
          <w:highlight w:val="none"/>
        </w:rPr>
        <w:t>采购项目编号：WJGP202200</w:t>
      </w:r>
      <w:r>
        <w:rPr>
          <w:rFonts w:hint="eastAsia" w:ascii="仿宋_GB2312" w:hAnsi="仿宋_GB2312" w:eastAsia="仿宋_GB2312" w:cs="仿宋_GB2312"/>
          <w:b/>
          <w:sz w:val="24"/>
          <w:highlight w:val="none"/>
          <w:lang w:val="en-US" w:eastAsia="zh-CN"/>
        </w:rPr>
        <w:t>8</w:t>
      </w:r>
    </w:p>
    <w:p>
      <w:pPr>
        <w:jc w:val="center"/>
        <w:rPr>
          <w:rFonts w:hint="eastAsia" w:ascii="仿宋_GB2312" w:hAnsi="仿宋_GB2312" w:eastAsia="仿宋_GB2312" w:cs="仿宋_GB2312"/>
          <w:b/>
          <w:sz w:val="24"/>
          <w:highlight w:val="none"/>
          <w:lang w:eastAsia="zh-CN"/>
        </w:rPr>
      </w:pPr>
      <w:r>
        <w:rPr>
          <w:rFonts w:hint="eastAsia" w:ascii="仿宋_GB2312" w:hAnsi="仿宋_GB2312" w:eastAsia="仿宋_GB2312" w:cs="仿宋_GB2312"/>
          <w:b/>
          <w:sz w:val="24"/>
          <w:highlight w:val="none"/>
        </w:rPr>
        <w:t>项目名称：</w:t>
      </w:r>
      <w:r>
        <w:rPr>
          <w:rFonts w:hint="eastAsia" w:ascii="仿宋_GB2312" w:hAnsi="仿宋_GB2312" w:eastAsia="仿宋_GB2312" w:cs="仿宋_GB2312"/>
          <w:b/>
          <w:sz w:val="24"/>
          <w:highlight w:val="none"/>
          <w:lang w:eastAsia="zh-CN"/>
        </w:rPr>
        <w:t>万江街道办事处网络安全设备采购项目</w:t>
      </w:r>
    </w:p>
    <w:p>
      <w:pPr>
        <w:jc w:val="cente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rPr>
        <w:t>采购人：</w:t>
      </w:r>
      <w:r>
        <w:rPr>
          <w:rFonts w:hint="eastAsia" w:ascii="仿宋_GB2312" w:hAnsi="仿宋_GB2312" w:eastAsia="仿宋_GB2312" w:cs="仿宋_GB2312"/>
          <w:b/>
          <w:sz w:val="24"/>
          <w:highlight w:val="none"/>
          <w:lang w:eastAsia="zh-CN"/>
        </w:rPr>
        <w:t>东莞市</w:t>
      </w:r>
      <w:r>
        <w:rPr>
          <w:rFonts w:hint="eastAsia" w:ascii="仿宋_GB2312" w:hAnsi="仿宋_GB2312" w:eastAsia="仿宋_GB2312" w:cs="仿宋_GB2312"/>
          <w:b/>
          <w:sz w:val="24"/>
          <w:highlight w:val="none"/>
        </w:rPr>
        <w:t>万江街道办事处</w:t>
      </w:r>
    </w:p>
    <w:p>
      <w:pPr>
        <w:jc w:val="cente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rPr>
        <w:t>采购代理机构：东莞市万江招投标服务所</w:t>
      </w:r>
    </w:p>
    <w:p>
      <w:pPr>
        <w:ind w:firstLine="480"/>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 </w:t>
      </w:r>
    </w:p>
    <w:p>
      <w:pPr>
        <w:pStyle w:val="2"/>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pStyle w:val="2"/>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jc w:val="center"/>
        <w:rPr>
          <w:rFonts w:hint="eastAsia" w:ascii="仿宋_GB2312" w:hAnsi="仿宋_GB2312" w:eastAsia="仿宋_GB2312" w:cs="仿宋_GB2312"/>
          <w:highlight w:val="none"/>
        </w:rPr>
      </w:pPr>
      <w:r>
        <w:rPr>
          <w:rFonts w:hint="eastAsia" w:ascii="仿宋_GB2312" w:hAnsi="仿宋_GB2312" w:eastAsia="仿宋_GB2312" w:cs="仿宋_GB2312"/>
          <w:b/>
          <w:sz w:val="36"/>
          <w:highlight w:val="none"/>
        </w:rPr>
        <w:t>第一章 询价邀请</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东莞市万江招投标服务所受东莞市万江街道办事处的委托，采用询价方式组织</w:t>
      </w:r>
      <w:r>
        <w:rPr>
          <w:rFonts w:hint="eastAsia" w:ascii="仿宋_GB2312" w:hAnsi="仿宋_GB2312" w:eastAsia="仿宋_GB2312" w:cs="仿宋_GB2312"/>
          <w:highlight w:val="none"/>
          <w:lang w:eastAsia="zh-CN"/>
        </w:rPr>
        <w:t>万江街道办事处网络安全设备采购项目</w:t>
      </w:r>
      <w:r>
        <w:rPr>
          <w:rFonts w:hint="eastAsia" w:ascii="仿宋_GB2312" w:hAnsi="仿宋_GB2312" w:eastAsia="仿宋_GB2312" w:cs="仿宋_GB2312"/>
          <w:highlight w:val="none"/>
        </w:rPr>
        <w:t>采购项目。欢迎符合资格条件的供应商参加。</w:t>
      </w:r>
    </w:p>
    <w:p>
      <w:pPr>
        <w:rPr>
          <w:rFonts w:hint="eastAsia" w:ascii="仿宋_GB2312" w:hAnsi="仿宋_GB2312" w:eastAsia="仿宋_GB2312" w:cs="仿宋_GB2312"/>
          <w:highlight w:val="none"/>
        </w:rPr>
      </w:pPr>
      <w:r>
        <w:rPr>
          <w:rFonts w:hint="eastAsia" w:ascii="仿宋_GB2312" w:hAnsi="仿宋_GB2312" w:eastAsia="仿宋_GB2312" w:cs="仿宋_GB2312"/>
          <w:b/>
          <w:sz w:val="28"/>
          <w:highlight w:val="none"/>
        </w:rPr>
        <w:t>一.项目概述</w:t>
      </w:r>
    </w:p>
    <w:p>
      <w:pP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rPr>
        <w:t>1.名称与编号</w:t>
      </w:r>
    </w:p>
    <w:p>
      <w:pPr>
        <w:ind w:firstLine="480"/>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项目名称：</w:t>
      </w:r>
      <w:r>
        <w:rPr>
          <w:rFonts w:hint="eastAsia" w:ascii="仿宋_GB2312" w:hAnsi="仿宋_GB2312" w:eastAsia="仿宋_GB2312" w:cs="仿宋_GB2312"/>
          <w:highlight w:val="none"/>
          <w:lang w:eastAsia="zh-CN"/>
        </w:rPr>
        <w:t>万江街道办事处网络安全设备采购项目</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采购项目编号：WJGP202200</w:t>
      </w:r>
      <w:r>
        <w:rPr>
          <w:rFonts w:hint="eastAsia" w:ascii="仿宋_GB2312" w:hAnsi="仿宋_GB2312" w:eastAsia="仿宋_GB2312" w:cs="仿宋_GB2312"/>
          <w:highlight w:val="none"/>
          <w:lang w:val="en-US" w:eastAsia="zh-CN"/>
        </w:rPr>
        <w:t>8</w:t>
      </w:r>
      <w:r>
        <w:rPr>
          <w:rFonts w:hint="eastAsia" w:ascii="仿宋_GB2312" w:hAnsi="仿宋_GB2312" w:eastAsia="仿宋_GB2312" w:cs="仿宋_GB2312"/>
          <w:highlight w:val="none"/>
        </w:rPr>
        <w:t xml:space="preserve"> </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采购方式：询价</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预算金额：902262.5元</w:t>
      </w:r>
    </w:p>
    <w:p>
      <w:pP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rPr>
        <w:t>2.项目内容及需求情况（采购项目技术规格、参数及要求）</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采购包1(</w:t>
      </w:r>
      <w:r>
        <w:rPr>
          <w:rFonts w:hint="eastAsia" w:ascii="仿宋_GB2312" w:hAnsi="仿宋_GB2312" w:eastAsia="仿宋_GB2312" w:cs="仿宋_GB2312"/>
          <w:highlight w:val="none"/>
          <w:lang w:eastAsia="zh-CN"/>
        </w:rPr>
        <w:t>万江街道办事处网络安全设备采购项目</w:t>
      </w:r>
      <w:r>
        <w:rPr>
          <w:rFonts w:hint="eastAsia" w:ascii="仿宋_GB2312" w:hAnsi="仿宋_GB2312" w:eastAsia="仿宋_GB2312" w:cs="仿宋_GB2312"/>
          <w:highlight w:val="none"/>
        </w:rPr>
        <w:t>):</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采购包预算金额：902262.5元</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1294"/>
        <w:gridCol w:w="1294"/>
        <w:gridCol w:w="1294"/>
        <w:gridCol w:w="1294"/>
        <w:gridCol w:w="1481"/>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Align w:val="center"/>
          </w:tcPr>
          <w:p>
            <w:pPr>
              <w:autoSpaceDE w:val="0"/>
              <w:autoSpaceDN w:val="0"/>
              <w:adjustRightInd w:val="0"/>
              <w:spacing w:line="420" w:lineRule="exact"/>
              <w:jc w:val="center"/>
              <w:rPr>
                <w:rFonts w:hint="eastAsia" w:ascii="仿宋_GB2312" w:hAnsi="仿宋_GB2312" w:eastAsia="仿宋_GB2312" w:cs="仿宋_GB2312"/>
                <w:b/>
                <w:bCs/>
                <w:color w:val="000000"/>
                <w:sz w:val="24"/>
                <w:highlight w:val="none"/>
                <w:vertAlign w:val="baseline"/>
                <w:lang w:eastAsia="zh-CN"/>
              </w:rPr>
            </w:pPr>
            <w:r>
              <w:rPr>
                <w:rFonts w:hint="eastAsia" w:ascii="仿宋_GB2312" w:hAnsi="仿宋_GB2312" w:eastAsia="仿宋_GB2312" w:cs="仿宋_GB2312"/>
                <w:highlight w:val="none"/>
                <w:lang w:eastAsia="zh-CN"/>
              </w:rPr>
              <w:t>采</w:t>
            </w:r>
            <w:r>
              <w:rPr>
                <w:rFonts w:hint="eastAsia" w:ascii="仿宋_GB2312" w:hAnsi="仿宋_GB2312" w:eastAsia="仿宋_GB2312" w:cs="仿宋_GB2312"/>
                <w:highlight w:val="none"/>
              </w:rPr>
              <w:t>购标的</w:t>
            </w: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b/>
                <w:bCs/>
                <w:color w:val="000000"/>
                <w:sz w:val="24"/>
                <w:highlight w:val="none"/>
                <w:vertAlign w:val="baseline"/>
                <w:lang w:eastAsia="zh-CN"/>
              </w:rPr>
            </w:pPr>
            <w:r>
              <w:rPr>
                <w:rFonts w:hint="eastAsia" w:ascii="仿宋_GB2312" w:hAnsi="仿宋_GB2312" w:eastAsia="仿宋_GB2312" w:cs="仿宋_GB2312"/>
                <w:b/>
                <w:bCs/>
                <w:color w:val="000000"/>
                <w:sz w:val="24"/>
                <w:highlight w:val="none"/>
                <w:vertAlign w:val="baseline"/>
                <w:lang w:eastAsia="zh-CN"/>
              </w:rPr>
              <w:t>部件</w:t>
            </w: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b/>
                <w:bCs/>
                <w:color w:val="000000"/>
                <w:sz w:val="24"/>
                <w:highlight w:val="none"/>
                <w:vertAlign w:val="baseline"/>
                <w:lang w:eastAsia="zh-CN"/>
              </w:rPr>
            </w:pPr>
            <w:r>
              <w:rPr>
                <w:rFonts w:hint="eastAsia" w:ascii="仿宋_GB2312" w:hAnsi="仿宋_GB2312" w:eastAsia="仿宋_GB2312" w:cs="仿宋_GB2312"/>
                <w:b/>
                <w:bCs/>
                <w:color w:val="000000"/>
                <w:sz w:val="24"/>
                <w:highlight w:val="none"/>
                <w:vertAlign w:val="baseline"/>
                <w:lang w:eastAsia="zh-CN"/>
              </w:rPr>
              <w:t>单位</w:t>
            </w: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b/>
                <w:bCs/>
                <w:color w:val="000000"/>
                <w:sz w:val="24"/>
                <w:highlight w:val="none"/>
                <w:vertAlign w:val="baseline"/>
                <w:lang w:eastAsia="zh-CN"/>
              </w:rPr>
            </w:pPr>
            <w:r>
              <w:rPr>
                <w:rFonts w:hint="eastAsia" w:ascii="仿宋_GB2312" w:hAnsi="仿宋_GB2312" w:eastAsia="仿宋_GB2312" w:cs="仿宋_GB2312"/>
                <w:b/>
                <w:bCs/>
                <w:color w:val="000000"/>
                <w:sz w:val="24"/>
                <w:highlight w:val="none"/>
                <w:vertAlign w:val="baseline"/>
                <w:lang w:eastAsia="zh-CN"/>
              </w:rPr>
              <w:t>数量</w:t>
            </w: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b/>
                <w:bCs/>
                <w:color w:val="000000"/>
                <w:sz w:val="24"/>
                <w:highlight w:val="none"/>
                <w:vertAlign w:val="baseline"/>
                <w:lang w:eastAsia="zh-CN"/>
              </w:rPr>
            </w:pPr>
            <w:r>
              <w:rPr>
                <w:rFonts w:hint="eastAsia" w:ascii="仿宋_GB2312" w:hAnsi="仿宋_GB2312" w:eastAsia="仿宋_GB2312" w:cs="仿宋_GB2312"/>
                <w:b/>
                <w:bCs/>
                <w:color w:val="000000"/>
                <w:sz w:val="24"/>
                <w:highlight w:val="none"/>
                <w:vertAlign w:val="baseline"/>
                <w:lang w:eastAsia="zh-CN"/>
              </w:rPr>
              <w:t>技术规格、参数及要求</w:t>
            </w:r>
          </w:p>
        </w:tc>
        <w:tc>
          <w:tcPr>
            <w:tcW w:w="817" w:type="pct"/>
            <w:vAlign w:val="center"/>
          </w:tcPr>
          <w:p>
            <w:pPr>
              <w:autoSpaceDE w:val="0"/>
              <w:autoSpaceDN w:val="0"/>
              <w:adjustRightInd w:val="0"/>
              <w:spacing w:line="420" w:lineRule="exact"/>
              <w:jc w:val="center"/>
              <w:rPr>
                <w:rFonts w:hint="eastAsia" w:ascii="仿宋_GB2312" w:hAnsi="仿宋_GB2312" w:eastAsia="仿宋_GB2312" w:cs="仿宋_GB2312"/>
                <w:b/>
                <w:bCs/>
                <w:color w:val="000000"/>
                <w:sz w:val="24"/>
                <w:highlight w:val="none"/>
                <w:vertAlign w:val="baseline"/>
                <w:lang w:eastAsia="zh-CN"/>
              </w:rPr>
            </w:pPr>
            <w:r>
              <w:rPr>
                <w:rFonts w:hint="eastAsia" w:ascii="仿宋_GB2312" w:hAnsi="仿宋_GB2312" w:eastAsia="仿宋_GB2312" w:cs="仿宋_GB2312"/>
                <w:highlight w:val="none"/>
              </w:rPr>
              <w:t>品目预算(元)</w:t>
            </w:r>
          </w:p>
        </w:tc>
        <w:tc>
          <w:tcPr>
            <w:tcW w:w="611" w:type="pct"/>
            <w:vAlign w:val="center"/>
          </w:tcPr>
          <w:p>
            <w:pPr>
              <w:autoSpaceDE w:val="0"/>
              <w:autoSpaceDN w:val="0"/>
              <w:adjustRightInd w:val="0"/>
              <w:spacing w:line="42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是否允许进口产品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Merge w:val="restar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eastAsia="zh-CN"/>
              </w:rPr>
            </w:pPr>
            <w:r>
              <w:rPr>
                <w:rFonts w:hint="eastAsia" w:ascii="仿宋_GB2312" w:hAnsi="仿宋_GB2312" w:eastAsia="仿宋_GB2312" w:cs="仿宋_GB2312"/>
                <w:color w:val="auto"/>
                <w:sz w:val="20"/>
                <w:szCs w:val="20"/>
                <w:highlight w:val="none"/>
                <w:vertAlign w:val="baseline"/>
                <w:lang w:eastAsia="zh-CN"/>
              </w:rPr>
              <w:t>大数据智能安全平台</w:t>
            </w: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eastAsia="zh-CN"/>
              </w:rPr>
            </w:pPr>
            <w:r>
              <w:rPr>
                <w:rFonts w:hint="eastAsia" w:ascii="仿宋_GB2312" w:hAnsi="仿宋_GB2312" w:eastAsia="仿宋_GB2312" w:cs="仿宋_GB2312"/>
                <w:color w:val="auto"/>
                <w:sz w:val="20"/>
                <w:szCs w:val="20"/>
                <w:highlight w:val="none"/>
                <w:vertAlign w:val="baseline"/>
                <w:lang w:eastAsia="zh-CN"/>
              </w:rPr>
              <w:t>平台软件</w:t>
            </w: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eastAsia="zh-CN"/>
              </w:rPr>
            </w:pPr>
            <w:r>
              <w:rPr>
                <w:rFonts w:hint="eastAsia" w:ascii="仿宋_GB2312" w:hAnsi="仿宋_GB2312" w:eastAsia="仿宋_GB2312" w:cs="仿宋_GB2312"/>
                <w:color w:val="auto"/>
                <w:sz w:val="20"/>
                <w:szCs w:val="20"/>
                <w:highlight w:val="none"/>
                <w:vertAlign w:val="baseline"/>
                <w:lang w:eastAsia="zh-CN"/>
              </w:rPr>
              <w:t>套</w:t>
            </w: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1</w:t>
            </w:r>
          </w:p>
        </w:tc>
        <w:tc>
          <w:tcPr>
            <w:tcW w:w="714" w:type="pct"/>
            <w:vMerge w:val="restar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详见第二章</w:t>
            </w:r>
          </w:p>
        </w:tc>
        <w:tc>
          <w:tcPr>
            <w:tcW w:w="817"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shd w:val="clear" w:color="auto" w:fill="auto"/>
                <w:vertAlign w:val="baseline"/>
                <w:lang w:val="en-US" w:eastAsia="zh-CN"/>
              </w:rPr>
            </w:pPr>
            <w:r>
              <w:rPr>
                <w:rFonts w:hint="eastAsia" w:ascii="仿宋_GB2312" w:hAnsi="仿宋_GB2312" w:eastAsia="仿宋_GB2312" w:cs="仿宋_GB2312"/>
                <w:color w:val="auto"/>
                <w:sz w:val="20"/>
                <w:szCs w:val="20"/>
                <w:highlight w:val="none"/>
                <w:shd w:val="clear" w:color="auto" w:fill="auto"/>
                <w:vertAlign w:val="baseline"/>
                <w:lang w:val="en-US" w:eastAsia="zh-CN"/>
              </w:rPr>
              <w:t>272650</w:t>
            </w:r>
          </w:p>
        </w:tc>
        <w:tc>
          <w:tcPr>
            <w:tcW w:w="611"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2" w:type="pct"/>
            <w:vMerge w:val="continue"/>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eastAsia="zh-CN"/>
              </w:rPr>
            </w:pP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eastAsia="zh-CN"/>
              </w:rPr>
            </w:pPr>
            <w:r>
              <w:rPr>
                <w:rFonts w:hint="eastAsia" w:ascii="仿宋_GB2312" w:hAnsi="仿宋_GB2312" w:eastAsia="仿宋_GB2312" w:cs="仿宋_GB2312"/>
                <w:color w:val="auto"/>
                <w:sz w:val="20"/>
                <w:szCs w:val="20"/>
                <w:highlight w:val="none"/>
                <w:vertAlign w:val="baseline"/>
                <w:lang w:eastAsia="zh-CN"/>
              </w:rPr>
              <w:t>平台硬件</w:t>
            </w: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eastAsia="zh-CN"/>
              </w:rPr>
            </w:pPr>
            <w:r>
              <w:rPr>
                <w:rFonts w:hint="eastAsia" w:ascii="仿宋_GB2312" w:hAnsi="仿宋_GB2312" w:eastAsia="仿宋_GB2312" w:cs="仿宋_GB2312"/>
                <w:color w:val="auto"/>
                <w:sz w:val="20"/>
                <w:szCs w:val="20"/>
                <w:highlight w:val="none"/>
                <w:vertAlign w:val="baseline"/>
                <w:lang w:eastAsia="zh-CN"/>
              </w:rPr>
              <w:t>台</w:t>
            </w: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1</w:t>
            </w:r>
          </w:p>
        </w:tc>
        <w:tc>
          <w:tcPr>
            <w:tcW w:w="714" w:type="pct"/>
            <w:vMerge w:val="continue"/>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p>
        </w:tc>
        <w:tc>
          <w:tcPr>
            <w:tcW w:w="817"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shd w:val="clear" w:color="auto" w:fill="auto"/>
                <w:vertAlign w:val="baseline"/>
                <w:lang w:val="en-US" w:eastAsia="zh-CN"/>
              </w:rPr>
            </w:pPr>
            <w:r>
              <w:rPr>
                <w:rFonts w:hint="eastAsia" w:ascii="仿宋_GB2312" w:hAnsi="仿宋_GB2312" w:eastAsia="仿宋_GB2312" w:cs="仿宋_GB2312"/>
                <w:color w:val="auto"/>
                <w:sz w:val="20"/>
                <w:szCs w:val="20"/>
                <w:highlight w:val="none"/>
                <w:shd w:val="clear" w:color="auto" w:fill="auto"/>
                <w:vertAlign w:val="baseline"/>
                <w:lang w:val="en-US" w:eastAsia="zh-CN"/>
              </w:rPr>
              <w:t>125400</w:t>
            </w:r>
          </w:p>
        </w:tc>
        <w:tc>
          <w:tcPr>
            <w:tcW w:w="611"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Merge w:val="continue"/>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eastAsia="zh-CN"/>
              </w:rPr>
            </w:pP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eastAsia="zh-CN"/>
              </w:rPr>
            </w:pPr>
            <w:r>
              <w:rPr>
                <w:rFonts w:hint="eastAsia" w:ascii="仿宋_GB2312" w:hAnsi="仿宋_GB2312" w:eastAsia="仿宋_GB2312" w:cs="仿宋_GB2312"/>
                <w:color w:val="auto"/>
                <w:sz w:val="20"/>
                <w:szCs w:val="20"/>
                <w:highlight w:val="none"/>
                <w:vertAlign w:val="baseline"/>
                <w:lang w:eastAsia="zh-CN"/>
              </w:rPr>
              <w:t>流量监测探针</w:t>
            </w: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eastAsia="zh-CN"/>
              </w:rPr>
            </w:pPr>
            <w:r>
              <w:rPr>
                <w:rFonts w:hint="eastAsia" w:ascii="仿宋_GB2312" w:hAnsi="仿宋_GB2312" w:eastAsia="仿宋_GB2312" w:cs="仿宋_GB2312"/>
                <w:color w:val="auto"/>
                <w:sz w:val="20"/>
                <w:szCs w:val="20"/>
                <w:highlight w:val="none"/>
                <w:vertAlign w:val="baseline"/>
                <w:lang w:eastAsia="zh-CN"/>
              </w:rPr>
              <w:t>套</w:t>
            </w: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1</w:t>
            </w:r>
          </w:p>
        </w:tc>
        <w:tc>
          <w:tcPr>
            <w:tcW w:w="714" w:type="pct"/>
            <w:vMerge w:val="continue"/>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p>
        </w:tc>
        <w:tc>
          <w:tcPr>
            <w:tcW w:w="817"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shd w:val="clear" w:color="auto" w:fill="auto"/>
                <w:vertAlign w:val="baseline"/>
                <w:lang w:val="en-US" w:eastAsia="zh-CN"/>
              </w:rPr>
            </w:pPr>
            <w:r>
              <w:rPr>
                <w:rFonts w:hint="eastAsia" w:ascii="仿宋_GB2312" w:hAnsi="仿宋_GB2312" w:eastAsia="仿宋_GB2312" w:cs="仿宋_GB2312"/>
                <w:color w:val="auto"/>
                <w:sz w:val="20"/>
                <w:szCs w:val="20"/>
                <w:highlight w:val="none"/>
                <w:shd w:val="clear" w:color="auto" w:fill="auto"/>
                <w:vertAlign w:val="baseline"/>
                <w:lang w:val="en-US" w:eastAsia="zh-CN"/>
              </w:rPr>
              <w:t>180500</w:t>
            </w:r>
          </w:p>
        </w:tc>
        <w:tc>
          <w:tcPr>
            <w:tcW w:w="611"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Merge w:val="continue"/>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eastAsia="zh-CN"/>
              </w:rPr>
            </w:pP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eastAsia="zh-CN"/>
              </w:rPr>
            </w:pPr>
            <w:r>
              <w:rPr>
                <w:rFonts w:hint="eastAsia" w:ascii="仿宋_GB2312" w:hAnsi="仿宋_GB2312" w:eastAsia="仿宋_GB2312" w:cs="仿宋_GB2312"/>
                <w:color w:val="auto"/>
                <w:sz w:val="20"/>
                <w:szCs w:val="20"/>
                <w:highlight w:val="none"/>
                <w:vertAlign w:val="baseline"/>
                <w:lang w:eastAsia="zh-CN"/>
              </w:rPr>
              <w:t>威胁情报订阅模块</w:t>
            </w: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eastAsia="zh-CN"/>
              </w:rPr>
            </w:pPr>
            <w:r>
              <w:rPr>
                <w:rFonts w:hint="eastAsia" w:ascii="仿宋_GB2312" w:hAnsi="仿宋_GB2312" w:eastAsia="仿宋_GB2312" w:cs="仿宋_GB2312"/>
                <w:color w:val="auto"/>
                <w:sz w:val="20"/>
                <w:szCs w:val="20"/>
                <w:highlight w:val="none"/>
                <w:vertAlign w:val="baseline"/>
                <w:lang w:eastAsia="zh-CN"/>
              </w:rPr>
              <w:t>年</w:t>
            </w: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1</w:t>
            </w:r>
          </w:p>
        </w:tc>
        <w:tc>
          <w:tcPr>
            <w:tcW w:w="714" w:type="pct"/>
            <w:vMerge w:val="continue"/>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p>
        </w:tc>
        <w:tc>
          <w:tcPr>
            <w:tcW w:w="817"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shd w:val="clear" w:color="auto" w:fill="auto"/>
                <w:vertAlign w:val="baseline"/>
                <w:lang w:val="en-US" w:eastAsia="zh-CN"/>
              </w:rPr>
            </w:pPr>
            <w:r>
              <w:rPr>
                <w:rFonts w:hint="eastAsia" w:ascii="仿宋_GB2312" w:hAnsi="仿宋_GB2312" w:eastAsia="仿宋_GB2312" w:cs="仿宋_GB2312"/>
                <w:color w:val="auto"/>
                <w:sz w:val="20"/>
                <w:szCs w:val="20"/>
                <w:highlight w:val="none"/>
                <w:shd w:val="clear" w:color="auto" w:fill="auto"/>
                <w:vertAlign w:val="baseline"/>
                <w:lang w:val="en-US" w:eastAsia="zh-CN"/>
              </w:rPr>
              <w:t>76000</w:t>
            </w:r>
          </w:p>
        </w:tc>
        <w:tc>
          <w:tcPr>
            <w:tcW w:w="611"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Merge w:val="restar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eastAsia="zh-CN"/>
              </w:rPr>
            </w:pPr>
            <w:r>
              <w:rPr>
                <w:rFonts w:hint="eastAsia" w:ascii="仿宋_GB2312" w:hAnsi="仿宋_GB2312" w:eastAsia="仿宋_GB2312" w:cs="仿宋_GB2312"/>
                <w:color w:val="auto"/>
                <w:sz w:val="20"/>
                <w:szCs w:val="20"/>
                <w:highlight w:val="none"/>
                <w:vertAlign w:val="baseline"/>
                <w:lang w:eastAsia="zh-CN"/>
              </w:rPr>
              <w:t>终端安全管理系统</w:t>
            </w: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eastAsia="zh-CN"/>
              </w:rPr>
            </w:pPr>
            <w:r>
              <w:rPr>
                <w:rFonts w:hint="eastAsia" w:ascii="仿宋_GB2312" w:hAnsi="仿宋_GB2312" w:eastAsia="仿宋_GB2312" w:cs="仿宋_GB2312"/>
                <w:color w:val="auto"/>
                <w:sz w:val="20"/>
                <w:szCs w:val="20"/>
                <w:highlight w:val="none"/>
                <w:vertAlign w:val="baseline"/>
                <w:lang w:eastAsia="zh-CN"/>
              </w:rPr>
              <w:t>终端安全管理中心</w:t>
            </w: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eastAsia="zh-CN"/>
              </w:rPr>
            </w:pPr>
            <w:r>
              <w:rPr>
                <w:rFonts w:hint="eastAsia" w:ascii="仿宋_GB2312" w:hAnsi="仿宋_GB2312" w:eastAsia="仿宋_GB2312" w:cs="仿宋_GB2312"/>
                <w:color w:val="auto"/>
                <w:sz w:val="20"/>
                <w:szCs w:val="20"/>
                <w:highlight w:val="none"/>
                <w:vertAlign w:val="baseline"/>
                <w:lang w:eastAsia="zh-CN"/>
              </w:rPr>
              <w:t>套</w:t>
            </w: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1</w:t>
            </w:r>
          </w:p>
        </w:tc>
        <w:tc>
          <w:tcPr>
            <w:tcW w:w="714" w:type="pct"/>
            <w:vMerge w:val="continue"/>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p>
        </w:tc>
        <w:tc>
          <w:tcPr>
            <w:tcW w:w="817"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shd w:val="clear" w:color="auto" w:fill="auto"/>
                <w:vertAlign w:val="baseline"/>
                <w:lang w:val="en-US" w:eastAsia="zh-CN"/>
              </w:rPr>
            </w:pPr>
            <w:r>
              <w:rPr>
                <w:rFonts w:hint="eastAsia" w:ascii="仿宋_GB2312" w:hAnsi="仿宋_GB2312" w:eastAsia="仿宋_GB2312" w:cs="仿宋_GB2312"/>
                <w:color w:val="auto"/>
                <w:sz w:val="20"/>
                <w:szCs w:val="20"/>
                <w:highlight w:val="none"/>
                <w:shd w:val="clear" w:color="auto" w:fill="auto"/>
                <w:vertAlign w:val="baseline"/>
                <w:lang w:val="en-US" w:eastAsia="zh-CN"/>
              </w:rPr>
              <w:t>8075</w:t>
            </w:r>
          </w:p>
        </w:tc>
        <w:tc>
          <w:tcPr>
            <w:tcW w:w="611"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Merge w:val="continue"/>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eastAsia="zh-CN"/>
              </w:rPr>
            </w:pP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PC防护模块</w:t>
            </w: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eastAsia="zh-CN"/>
              </w:rPr>
            </w:pPr>
            <w:r>
              <w:rPr>
                <w:rFonts w:hint="eastAsia" w:ascii="仿宋_GB2312" w:hAnsi="仿宋_GB2312" w:eastAsia="仿宋_GB2312" w:cs="仿宋_GB2312"/>
                <w:color w:val="auto"/>
                <w:sz w:val="20"/>
                <w:szCs w:val="20"/>
                <w:highlight w:val="none"/>
                <w:vertAlign w:val="baseline"/>
                <w:lang w:eastAsia="zh-CN"/>
              </w:rPr>
              <w:t>个</w:t>
            </w: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1000</w:t>
            </w:r>
          </w:p>
        </w:tc>
        <w:tc>
          <w:tcPr>
            <w:tcW w:w="714" w:type="pct"/>
            <w:vMerge w:val="continue"/>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p>
        </w:tc>
        <w:tc>
          <w:tcPr>
            <w:tcW w:w="817"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shd w:val="clear" w:color="auto" w:fill="auto"/>
                <w:vertAlign w:val="baseline"/>
                <w:lang w:val="en-US" w:eastAsia="zh-CN"/>
              </w:rPr>
            </w:pPr>
            <w:r>
              <w:rPr>
                <w:rFonts w:hint="eastAsia" w:ascii="仿宋_GB2312" w:hAnsi="仿宋_GB2312" w:eastAsia="仿宋_GB2312" w:cs="仿宋_GB2312"/>
                <w:color w:val="auto"/>
                <w:sz w:val="20"/>
                <w:szCs w:val="20"/>
                <w:highlight w:val="none"/>
                <w:shd w:val="clear" w:color="auto" w:fill="auto"/>
                <w:vertAlign w:val="baseline"/>
                <w:lang w:val="en-US" w:eastAsia="zh-CN"/>
              </w:rPr>
              <w:t>190000</w:t>
            </w:r>
          </w:p>
        </w:tc>
        <w:tc>
          <w:tcPr>
            <w:tcW w:w="611"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Merge w:val="continue"/>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eastAsia="zh-CN"/>
              </w:rPr>
            </w:pP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eastAsia="zh-CN"/>
              </w:rPr>
            </w:pPr>
            <w:r>
              <w:rPr>
                <w:rFonts w:hint="eastAsia" w:ascii="仿宋_GB2312" w:hAnsi="仿宋_GB2312" w:eastAsia="仿宋_GB2312" w:cs="仿宋_GB2312"/>
                <w:color w:val="auto"/>
                <w:sz w:val="20"/>
                <w:szCs w:val="20"/>
                <w:highlight w:val="none"/>
                <w:vertAlign w:val="baseline"/>
                <w:lang w:eastAsia="zh-CN"/>
              </w:rPr>
              <w:t>服务器防护模块</w:t>
            </w: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eastAsia="zh-CN"/>
              </w:rPr>
            </w:pPr>
            <w:r>
              <w:rPr>
                <w:rFonts w:hint="eastAsia" w:ascii="仿宋_GB2312" w:hAnsi="仿宋_GB2312" w:eastAsia="仿宋_GB2312" w:cs="仿宋_GB2312"/>
                <w:color w:val="auto"/>
                <w:sz w:val="20"/>
                <w:szCs w:val="20"/>
                <w:highlight w:val="none"/>
                <w:vertAlign w:val="baseline"/>
                <w:lang w:eastAsia="zh-CN"/>
              </w:rPr>
              <w:t>个</w:t>
            </w: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5</w:t>
            </w:r>
          </w:p>
        </w:tc>
        <w:tc>
          <w:tcPr>
            <w:tcW w:w="714" w:type="pct"/>
            <w:vMerge w:val="continue"/>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p>
        </w:tc>
        <w:tc>
          <w:tcPr>
            <w:tcW w:w="817"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shd w:val="clear" w:color="auto" w:fill="auto"/>
                <w:vertAlign w:val="baseline"/>
                <w:lang w:val="en-US" w:eastAsia="zh-CN"/>
              </w:rPr>
            </w:pPr>
            <w:r>
              <w:rPr>
                <w:rFonts w:hint="eastAsia" w:ascii="仿宋_GB2312" w:hAnsi="仿宋_GB2312" w:eastAsia="仿宋_GB2312" w:cs="仿宋_GB2312"/>
                <w:color w:val="auto"/>
                <w:sz w:val="20"/>
                <w:szCs w:val="20"/>
                <w:highlight w:val="none"/>
                <w:shd w:val="clear" w:color="auto" w:fill="auto"/>
                <w:vertAlign w:val="baseline"/>
                <w:lang w:val="en-US" w:eastAsia="zh-CN"/>
              </w:rPr>
              <w:t>5937.5</w:t>
            </w:r>
          </w:p>
        </w:tc>
        <w:tc>
          <w:tcPr>
            <w:tcW w:w="611"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Merge w:val="restar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eastAsia="zh-CN"/>
              </w:rPr>
            </w:pPr>
            <w:r>
              <w:rPr>
                <w:rFonts w:hint="eastAsia" w:ascii="仿宋_GB2312" w:hAnsi="仿宋_GB2312" w:eastAsia="仿宋_GB2312" w:cs="仿宋_GB2312"/>
                <w:color w:val="auto"/>
                <w:sz w:val="20"/>
                <w:szCs w:val="20"/>
                <w:highlight w:val="none"/>
                <w:vertAlign w:val="baseline"/>
                <w:lang w:eastAsia="zh-CN"/>
              </w:rPr>
              <w:t>数据集中备份系统</w:t>
            </w: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系统硬件</w:t>
            </w: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台</w:t>
            </w: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1</w:t>
            </w:r>
          </w:p>
        </w:tc>
        <w:tc>
          <w:tcPr>
            <w:tcW w:w="714" w:type="pct"/>
            <w:vMerge w:val="continue"/>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p>
        </w:tc>
        <w:tc>
          <w:tcPr>
            <w:tcW w:w="817" w:type="pct"/>
            <w:vMerge w:val="restart"/>
            <w:vAlign w:val="center"/>
          </w:tcPr>
          <w:p>
            <w:pPr>
              <w:tabs>
                <w:tab w:val="left" w:pos="575"/>
              </w:tabs>
              <w:autoSpaceDE w:val="0"/>
              <w:autoSpaceDN w:val="0"/>
              <w:adjustRightInd w:val="0"/>
              <w:spacing w:line="420" w:lineRule="exact"/>
              <w:jc w:val="center"/>
              <w:rPr>
                <w:rFonts w:hint="eastAsia" w:ascii="仿宋_GB2312" w:hAnsi="仿宋_GB2312" w:eastAsia="仿宋_GB2312" w:cs="仿宋_GB2312"/>
                <w:color w:val="auto"/>
                <w:sz w:val="20"/>
                <w:szCs w:val="20"/>
                <w:highlight w:val="none"/>
                <w:shd w:val="clear" w:color="auto" w:fill="auto"/>
                <w:vertAlign w:val="baseline"/>
                <w:lang w:val="en-US" w:eastAsia="zh-CN"/>
              </w:rPr>
            </w:pPr>
            <w:r>
              <w:rPr>
                <w:rFonts w:hint="eastAsia" w:ascii="仿宋_GB2312" w:hAnsi="仿宋_GB2312" w:eastAsia="仿宋_GB2312" w:cs="仿宋_GB2312"/>
                <w:color w:val="auto"/>
                <w:sz w:val="20"/>
                <w:szCs w:val="20"/>
                <w:highlight w:val="none"/>
                <w:shd w:val="clear" w:color="auto" w:fill="auto"/>
                <w:vertAlign w:val="baseline"/>
                <w:lang w:val="en-US" w:eastAsia="zh-CN"/>
              </w:rPr>
              <w:t>43700</w:t>
            </w:r>
          </w:p>
        </w:tc>
        <w:tc>
          <w:tcPr>
            <w:tcW w:w="611"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Merge w:val="continue"/>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eastAsia="zh-CN"/>
              </w:rPr>
            </w:pP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软件系统</w:t>
            </w: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个</w:t>
            </w:r>
          </w:p>
        </w:tc>
        <w:tc>
          <w:tcPr>
            <w:tcW w:w="714"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1</w:t>
            </w:r>
          </w:p>
        </w:tc>
        <w:tc>
          <w:tcPr>
            <w:tcW w:w="714" w:type="pct"/>
            <w:vMerge w:val="continue"/>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p>
        </w:tc>
        <w:tc>
          <w:tcPr>
            <w:tcW w:w="817" w:type="pct"/>
            <w:vMerge w:val="continue"/>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shd w:val="clear" w:color="auto" w:fill="auto"/>
                <w:vertAlign w:val="baseline"/>
                <w:lang w:val="en-US" w:eastAsia="zh-CN"/>
              </w:rPr>
            </w:pPr>
          </w:p>
        </w:tc>
        <w:tc>
          <w:tcPr>
            <w:tcW w:w="611" w:type="pct"/>
            <w:vAlign w:val="center"/>
          </w:tcPr>
          <w:p>
            <w:pPr>
              <w:autoSpaceDE w:val="0"/>
              <w:autoSpaceDN w:val="0"/>
              <w:adjustRightInd w:val="0"/>
              <w:spacing w:line="420" w:lineRule="exact"/>
              <w:jc w:val="center"/>
              <w:rPr>
                <w:rFonts w:hint="eastAsia" w:ascii="仿宋_GB2312" w:hAnsi="仿宋_GB2312" w:eastAsia="仿宋_GB2312" w:cs="仿宋_GB2312"/>
                <w:color w:val="auto"/>
                <w:sz w:val="20"/>
                <w:szCs w:val="20"/>
                <w:highlight w:val="none"/>
                <w:vertAlign w:val="baseline"/>
                <w:lang w:val="en-US" w:eastAsia="zh-CN"/>
              </w:rPr>
            </w:pPr>
            <w:r>
              <w:rPr>
                <w:rFonts w:hint="eastAsia" w:ascii="仿宋_GB2312" w:hAnsi="仿宋_GB2312" w:eastAsia="仿宋_GB2312" w:cs="仿宋_GB2312"/>
                <w:color w:val="auto"/>
                <w:sz w:val="20"/>
                <w:szCs w:val="20"/>
                <w:highlight w:val="none"/>
                <w:vertAlign w:val="baseline"/>
                <w:lang w:val="en-US" w:eastAsia="zh-CN"/>
              </w:rPr>
              <w:t>否</w:t>
            </w:r>
          </w:p>
        </w:tc>
      </w:tr>
    </w:tbl>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本采购包不接受联合体响应</w:t>
      </w: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合同履行期限：</w:t>
      </w:r>
      <w:r>
        <w:rPr>
          <w:rFonts w:hint="eastAsia" w:ascii="仿宋_GB2312" w:hAnsi="仿宋_GB2312" w:eastAsia="仿宋_GB2312" w:cs="仿宋_GB2312"/>
          <w:highlight w:val="none"/>
          <w:lang w:eastAsia="zh-CN"/>
        </w:rPr>
        <w:t>质保期：</w:t>
      </w:r>
      <w:r>
        <w:rPr>
          <w:rFonts w:hint="eastAsia" w:ascii="仿宋_GB2312" w:hAnsi="仿宋_GB2312" w:eastAsia="仿宋_GB2312" w:cs="仿宋_GB2312"/>
          <w:highlight w:val="none"/>
        </w:rPr>
        <w:t>项目验收合格之日起</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年</w:t>
      </w:r>
    </w:p>
    <w:p>
      <w:pPr>
        <w:rPr>
          <w:rFonts w:hint="eastAsia" w:ascii="仿宋_GB2312" w:hAnsi="仿宋_GB2312" w:eastAsia="仿宋_GB2312" w:cs="仿宋_GB2312"/>
          <w:highlight w:val="none"/>
        </w:rPr>
      </w:pPr>
      <w:r>
        <w:rPr>
          <w:rFonts w:hint="eastAsia" w:ascii="仿宋_GB2312" w:hAnsi="仿宋_GB2312" w:eastAsia="仿宋_GB2312" w:cs="仿宋_GB2312"/>
          <w:b/>
          <w:sz w:val="28"/>
          <w:highlight w:val="none"/>
        </w:rPr>
        <w:t>二.申请人的资格要求</w:t>
      </w:r>
    </w:p>
    <w:p>
      <w:pP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rPr>
        <w:t>1.满足《中华人民共和国政府采购法》第二十二条规定，提供下列材料：</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2）有依法缴纳税收和社会保障资金的良好记录：提供投标截止日前6个月内任意1个月依法缴纳税收和社会保障资金的相关材料。如依法免税或不需要缴纳社会保障资金的， 提供相应证明材料。</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3）具有良好的商业信誉和健全的财务会计制度：供应商必须具有良好的商业信誉和健全的财务会计制度（提供2021年度财务状况报告或基本开户行出具的资信证明或专业担保机构出具的投标担保函） 。</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4）履行合同所必需的设备和专业技术能力：按投标（响应）文件格式填报设备及专业技术能力情况，否则视为不符合。</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rPr>
        <w:t>2.落实政府采购政策需满足的资格要求：</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采购包1（</w:t>
      </w:r>
      <w:r>
        <w:rPr>
          <w:rFonts w:hint="eastAsia" w:ascii="仿宋_GB2312" w:hAnsi="仿宋_GB2312" w:eastAsia="仿宋_GB2312" w:cs="仿宋_GB2312"/>
          <w:highlight w:val="none"/>
          <w:lang w:eastAsia="zh-CN"/>
        </w:rPr>
        <w:t>万江街道办事处网络安全设备采购项目</w:t>
      </w: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eastAsia="zh-CN"/>
        </w:rPr>
        <w:t>本项目不专门面向中小企业采购。本项目中小企业划分标准所属行业为软件和信息技术服务业。</w:t>
      </w:r>
    </w:p>
    <w:p>
      <w:pP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rPr>
        <w:t>3.本项目的特定资格要求：</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采购包1（</w:t>
      </w:r>
      <w:r>
        <w:rPr>
          <w:rFonts w:hint="eastAsia" w:ascii="仿宋_GB2312" w:hAnsi="仿宋_GB2312" w:eastAsia="仿宋_GB2312" w:cs="仿宋_GB2312"/>
          <w:highlight w:val="none"/>
          <w:lang w:eastAsia="zh-CN"/>
        </w:rPr>
        <w:t>万江街道办事处网络安全设备采购项目</w:t>
      </w:r>
      <w:r>
        <w:rPr>
          <w:rFonts w:hint="eastAsia" w:ascii="仿宋_GB2312" w:hAnsi="仿宋_GB2312" w:eastAsia="仿宋_GB2312" w:cs="仿宋_GB2312"/>
          <w:highlight w:val="none"/>
        </w:rPr>
        <w:t>）：</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w:t>
      </w:r>
    </w:p>
    <w:p>
      <w:pPr>
        <w:rPr>
          <w:rFonts w:hint="eastAsia" w:ascii="仿宋_GB2312" w:hAnsi="仿宋_GB2312" w:eastAsia="仿宋_GB2312" w:cs="仿宋_GB2312"/>
          <w:highlight w:val="none"/>
        </w:rPr>
      </w:pPr>
      <w:r>
        <w:rPr>
          <w:rFonts w:hint="eastAsia" w:ascii="仿宋_GB2312" w:hAnsi="仿宋_GB2312" w:eastAsia="仿宋_GB2312" w:cs="仿宋_GB2312"/>
          <w:b/>
          <w:sz w:val="28"/>
          <w:highlight w:val="none"/>
        </w:rPr>
        <w:t>三.获取询价通知书</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采购公告公示期限：2022年</w:t>
      </w:r>
      <w:r>
        <w:rPr>
          <w:rFonts w:hint="eastAsia" w:ascii="仿宋_GB2312" w:hAnsi="仿宋_GB2312" w:eastAsia="仿宋_GB2312" w:cs="仿宋_GB2312"/>
          <w:highlight w:val="none"/>
          <w:lang w:val="en-US" w:eastAsia="zh-CN"/>
        </w:rPr>
        <w:t>11</w:t>
      </w:r>
      <w:r>
        <w:rPr>
          <w:rFonts w:hint="eastAsia" w:ascii="仿宋_GB2312" w:hAnsi="仿宋_GB2312" w:eastAsia="仿宋_GB2312" w:cs="仿宋_GB2312"/>
          <w:highlight w:val="none"/>
        </w:rPr>
        <w:t>月</w:t>
      </w:r>
      <w:r>
        <w:rPr>
          <w:rFonts w:hint="eastAsia" w:ascii="仿宋_GB2312" w:hAnsi="仿宋_GB2312" w:eastAsia="仿宋_GB2312" w:cs="仿宋_GB2312"/>
          <w:highlight w:val="none"/>
          <w:lang w:val="en-US" w:eastAsia="zh-CN"/>
        </w:rPr>
        <w:t>28</w:t>
      </w:r>
      <w:r>
        <w:rPr>
          <w:rFonts w:hint="eastAsia" w:ascii="仿宋_GB2312" w:hAnsi="仿宋_GB2312" w:eastAsia="仿宋_GB2312" w:cs="仿宋_GB2312"/>
          <w:highlight w:val="none"/>
        </w:rPr>
        <w:t>日至2022年</w:t>
      </w:r>
      <w:r>
        <w:rPr>
          <w:rFonts w:hint="eastAsia" w:ascii="仿宋_GB2312" w:hAnsi="仿宋_GB2312" w:eastAsia="仿宋_GB2312" w:cs="仿宋_GB2312"/>
          <w:highlight w:val="none"/>
          <w:lang w:val="en-US" w:eastAsia="zh-CN"/>
        </w:rPr>
        <w:t>12</w:t>
      </w:r>
      <w:r>
        <w:rPr>
          <w:rFonts w:hint="eastAsia" w:ascii="仿宋_GB2312" w:hAnsi="仿宋_GB2312" w:eastAsia="仿宋_GB2312" w:cs="仿宋_GB2312"/>
          <w:highlight w:val="none"/>
        </w:rPr>
        <w:t>月</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日</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获取</w:t>
      </w:r>
      <w:r>
        <w:rPr>
          <w:rFonts w:hint="eastAsia" w:ascii="仿宋_GB2312" w:hAnsi="仿宋_GB2312" w:eastAsia="仿宋_GB2312" w:cs="仿宋_GB2312"/>
          <w:highlight w:val="none"/>
          <w:lang w:eastAsia="zh-CN"/>
        </w:rPr>
        <w:t>地址</w:t>
      </w:r>
      <w:r>
        <w:rPr>
          <w:rFonts w:hint="eastAsia" w:ascii="仿宋_GB2312" w:hAnsi="仿宋_GB2312" w:eastAsia="仿宋_GB2312" w:cs="仿宋_GB2312"/>
          <w:highlight w:val="none"/>
        </w:rPr>
        <w:t>：中国东莞万江街道栏目</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获取方式：网上下载询价通知书以及相关附件，下载文件均不收费</w:t>
      </w:r>
      <w:r>
        <w:rPr>
          <w:rFonts w:hint="eastAsia" w:ascii="仿宋_GB2312" w:hAnsi="仿宋_GB2312" w:eastAsia="仿宋_GB2312" w:cs="仿宋_GB2312"/>
          <w:highlight w:val="none"/>
          <w:lang w:eastAsia="zh-CN"/>
        </w:rPr>
        <w:t>。</w:t>
      </w:r>
    </w:p>
    <w:p>
      <w:pPr>
        <w:autoSpaceDE w:val="0"/>
        <w:autoSpaceDN w:val="0"/>
        <w:spacing w:line="500" w:lineRule="exact"/>
        <w:rPr>
          <w:rFonts w:hint="eastAsia" w:ascii="仿宋_GB2312" w:hAnsi="仿宋_GB2312" w:eastAsia="仿宋_GB2312" w:cs="仿宋_GB2312"/>
          <w:b/>
          <w:sz w:val="28"/>
          <w:highlight w:val="none"/>
        </w:rPr>
      </w:pPr>
      <w:r>
        <w:rPr>
          <w:rFonts w:hint="eastAsia" w:ascii="仿宋_GB2312" w:hAnsi="仿宋_GB2312" w:eastAsia="仿宋_GB2312" w:cs="仿宋_GB2312"/>
          <w:b/>
          <w:sz w:val="28"/>
          <w:highlight w:val="none"/>
        </w:rPr>
        <w:t>四</w:t>
      </w:r>
      <w:r>
        <w:rPr>
          <w:rFonts w:hint="eastAsia" w:ascii="仿宋_GB2312" w:hAnsi="仿宋_GB2312" w:eastAsia="仿宋_GB2312" w:cs="仿宋_GB2312"/>
          <w:b/>
          <w:sz w:val="28"/>
          <w:highlight w:val="none"/>
          <w:lang w:eastAsia="zh-CN"/>
        </w:rPr>
        <w:t>．</w:t>
      </w:r>
      <w:r>
        <w:rPr>
          <w:rFonts w:hint="eastAsia" w:ascii="仿宋_GB2312" w:hAnsi="仿宋_GB2312" w:eastAsia="仿宋_GB2312" w:cs="仿宋_GB2312"/>
          <w:b/>
          <w:sz w:val="28"/>
          <w:highlight w:val="none"/>
        </w:rPr>
        <w:t>投标人购买采购文件登记事宜</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1.购买时间：符合资格的投标人应当在：2022年</w:t>
      </w:r>
      <w:r>
        <w:rPr>
          <w:rFonts w:hint="eastAsia" w:ascii="仿宋_GB2312" w:hAnsi="仿宋_GB2312" w:eastAsia="仿宋_GB2312" w:cs="仿宋_GB2312"/>
          <w:highlight w:val="none"/>
          <w:lang w:val="en-US" w:eastAsia="zh-CN"/>
        </w:rPr>
        <w:t>11</w:t>
      </w:r>
      <w:r>
        <w:rPr>
          <w:rFonts w:hint="eastAsia" w:ascii="仿宋_GB2312" w:hAnsi="仿宋_GB2312" w:eastAsia="仿宋_GB2312" w:cs="仿宋_GB2312"/>
          <w:highlight w:val="none"/>
        </w:rPr>
        <w:t>月</w:t>
      </w:r>
      <w:r>
        <w:rPr>
          <w:rFonts w:hint="eastAsia" w:ascii="仿宋_GB2312" w:hAnsi="仿宋_GB2312" w:eastAsia="仿宋_GB2312" w:cs="仿宋_GB2312"/>
          <w:highlight w:val="none"/>
          <w:lang w:val="en-US" w:eastAsia="zh-CN"/>
        </w:rPr>
        <w:t>28</w:t>
      </w:r>
      <w:r>
        <w:rPr>
          <w:rFonts w:hint="eastAsia" w:ascii="仿宋_GB2312" w:hAnsi="仿宋_GB2312" w:eastAsia="仿宋_GB2312" w:cs="仿宋_GB2312"/>
          <w:highlight w:val="none"/>
        </w:rPr>
        <w:t>日至2022年</w:t>
      </w:r>
      <w:r>
        <w:rPr>
          <w:rFonts w:hint="eastAsia" w:ascii="仿宋_GB2312" w:hAnsi="仿宋_GB2312" w:eastAsia="仿宋_GB2312" w:cs="仿宋_GB2312"/>
          <w:highlight w:val="none"/>
          <w:lang w:val="en-US" w:eastAsia="zh-CN"/>
        </w:rPr>
        <w:t>12</w:t>
      </w:r>
      <w:r>
        <w:rPr>
          <w:rFonts w:hint="eastAsia" w:ascii="仿宋_GB2312" w:hAnsi="仿宋_GB2312" w:eastAsia="仿宋_GB2312" w:cs="仿宋_GB2312"/>
          <w:highlight w:val="none"/>
        </w:rPr>
        <w:t>月</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日止（法定节假日除外）</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2、购买地点：东莞市万江街道</w:t>
      </w:r>
      <w:r>
        <w:rPr>
          <w:rFonts w:hint="eastAsia" w:ascii="仿宋_GB2312" w:hAnsi="仿宋_GB2312" w:eastAsia="仿宋_GB2312" w:cs="仿宋_GB2312"/>
          <w:highlight w:val="none"/>
          <w:lang w:eastAsia="zh-CN"/>
        </w:rPr>
        <w:t>徐屋街</w:t>
      </w:r>
      <w:r>
        <w:rPr>
          <w:rFonts w:hint="eastAsia" w:ascii="仿宋_GB2312" w:hAnsi="仿宋_GB2312" w:eastAsia="仿宋_GB2312" w:cs="仿宋_GB2312"/>
          <w:highlight w:val="none"/>
          <w:lang w:val="en-US" w:eastAsia="zh-CN"/>
        </w:rPr>
        <w:t>10号</w:t>
      </w:r>
      <w:r>
        <w:rPr>
          <w:rFonts w:hint="eastAsia" w:ascii="仿宋_GB2312" w:hAnsi="仿宋_GB2312" w:eastAsia="仿宋_GB2312" w:cs="仿宋_GB2312"/>
          <w:highlight w:val="none"/>
        </w:rPr>
        <w:t>行政办事中心3号楼2楼办公室</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3、购买采购文件登记时须提供“万江招投标服务所登记表”和《营业执照》或《事业单位法人证书》复印件（加盖公章）。</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注： 如“三证合一”的营业执照，则不需要提供税务登记证和组织机构代码证。</w:t>
      </w:r>
    </w:p>
    <w:p>
      <w:pPr>
        <w:autoSpaceDE w:val="0"/>
        <w:autoSpaceDN w:val="0"/>
        <w:spacing w:line="500" w:lineRule="exact"/>
        <w:rPr>
          <w:rFonts w:hint="eastAsia" w:ascii="仿宋_GB2312" w:hAnsi="仿宋_GB2312" w:eastAsia="仿宋_GB2312" w:cs="仿宋_GB2312"/>
          <w:b/>
          <w:sz w:val="28"/>
          <w:highlight w:val="none"/>
        </w:rPr>
      </w:pPr>
      <w:r>
        <w:rPr>
          <w:rFonts w:hint="eastAsia" w:ascii="仿宋_GB2312" w:hAnsi="仿宋_GB2312" w:eastAsia="仿宋_GB2312" w:cs="仿宋_GB2312"/>
          <w:b/>
          <w:sz w:val="28"/>
          <w:highlight w:val="none"/>
        </w:rPr>
        <w:t>五. 提交响应文件及签到事宜、开标时间和地点</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提交响应文件开始时间：2022年</w:t>
      </w:r>
      <w:r>
        <w:rPr>
          <w:rFonts w:hint="eastAsia" w:ascii="仿宋_GB2312" w:hAnsi="仿宋_GB2312" w:eastAsia="仿宋_GB2312" w:cs="仿宋_GB2312"/>
          <w:highlight w:val="none"/>
          <w:lang w:val="en-US" w:eastAsia="zh-CN"/>
        </w:rPr>
        <w:t>12</w:t>
      </w:r>
      <w:r>
        <w:rPr>
          <w:rFonts w:hint="eastAsia" w:ascii="仿宋_GB2312" w:hAnsi="仿宋_GB2312" w:eastAsia="仿宋_GB2312" w:cs="仿宋_GB2312"/>
          <w:highlight w:val="none"/>
        </w:rPr>
        <w:t>月</w:t>
      </w:r>
      <w:r>
        <w:rPr>
          <w:rFonts w:hint="eastAsia" w:ascii="仿宋_GB2312" w:hAnsi="仿宋_GB2312" w:eastAsia="仿宋_GB2312" w:cs="仿宋_GB2312"/>
          <w:highlight w:val="none"/>
          <w:lang w:val="en-US" w:eastAsia="zh-CN"/>
        </w:rPr>
        <w:t>6</w:t>
      </w:r>
      <w:r>
        <w:rPr>
          <w:rFonts w:hint="eastAsia" w:ascii="仿宋_GB2312" w:hAnsi="仿宋_GB2312" w:eastAsia="仿宋_GB2312" w:cs="仿宋_GB2312"/>
          <w:highlight w:val="none"/>
        </w:rPr>
        <w:t>日上午9:00</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提交响应文件截止及</w:t>
      </w:r>
      <w:r>
        <w:rPr>
          <w:rFonts w:hint="eastAsia" w:ascii="仿宋_GB2312" w:hAnsi="仿宋_GB2312" w:eastAsia="仿宋_GB2312" w:cs="仿宋_GB2312"/>
          <w:highlight w:val="none"/>
          <w:lang w:eastAsia="zh-CN"/>
        </w:rPr>
        <w:t>开标</w:t>
      </w:r>
      <w:r>
        <w:rPr>
          <w:rFonts w:hint="eastAsia" w:ascii="仿宋_GB2312" w:hAnsi="仿宋_GB2312" w:eastAsia="仿宋_GB2312" w:cs="仿宋_GB2312"/>
          <w:highlight w:val="none"/>
        </w:rPr>
        <w:t>时间：2022年</w:t>
      </w:r>
      <w:r>
        <w:rPr>
          <w:rFonts w:hint="eastAsia" w:ascii="仿宋_GB2312" w:hAnsi="仿宋_GB2312" w:eastAsia="仿宋_GB2312" w:cs="仿宋_GB2312"/>
          <w:highlight w:val="none"/>
          <w:lang w:val="en-US" w:eastAsia="zh-CN"/>
        </w:rPr>
        <w:t>12</w:t>
      </w:r>
      <w:r>
        <w:rPr>
          <w:rFonts w:hint="eastAsia" w:ascii="仿宋_GB2312" w:hAnsi="仿宋_GB2312" w:eastAsia="仿宋_GB2312" w:cs="仿宋_GB2312"/>
          <w:highlight w:val="none"/>
        </w:rPr>
        <w:t>月</w:t>
      </w:r>
      <w:r>
        <w:rPr>
          <w:rFonts w:hint="eastAsia" w:ascii="仿宋_GB2312" w:hAnsi="仿宋_GB2312" w:eastAsia="仿宋_GB2312" w:cs="仿宋_GB2312"/>
          <w:highlight w:val="none"/>
          <w:lang w:val="en-US" w:eastAsia="zh-CN"/>
        </w:rPr>
        <w:t>6</w:t>
      </w:r>
      <w:r>
        <w:rPr>
          <w:rFonts w:hint="eastAsia" w:ascii="仿宋_GB2312" w:hAnsi="仿宋_GB2312" w:eastAsia="仿宋_GB2312" w:cs="仿宋_GB2312"/>
          <w:highlight w:val="none"/>
        </w:rPr>
        <w:t>日</w:t>
      </w:r>
      <w:r>
        <w:rPr>
          <w:rFonts w:hint="eastAsia" w:ascii="仿宋_GB2312" w:hAnsi="仿宋_GB2312" w:eastAsia="仿宋_GB2312" w:cs="仿宋_GB2312"/>
          <w:highlight w:val="none"/>
          <w:lang w:eastAsia="zh-CN"/>
        </w:rPr>
        <w:t>上</w:t>
      </w:r>
      <w:r>
        <w:rPr>
          <w:rFonts w:hint="eastAsia" w:ascii="仿宋_GB2312" w:hAnsi="仿宋_GB2312" w:eastAsia="仿宋_GB2312" w:cs="仿宋_GB2312"/>
          <w:highlight w:val="none"/>
        </w:rPr>
        <w:t>午</w:t>
      </w:r>
      <w:r>
        <w:rPr>
          <w:rFonts w:hint="eastAsia" w:ascii="仿宋_GB2312" w:hAnsi="仿宋_GB2312" w:eastAsia="仿宋_GB2312" w:cs="仿宋_GB2312"/>
          <w:highlight w:val="none"/>
          <w:lang w:val="en-US" w:eastAsia="zh-CN"/>
        </w:rPr>
        <w:t>9:30</w:t>
      </w:r>
      <w:r>
        <w:rPr>
          <w:rFonts w:hint="eastAsia" w:ascii="仿宋_GB2312" w:hAnsi="仿宋_GB2312" w:eastAsia="仿宋_GB2312" w:cs="仿宋_GB2312"/>
          <w:highlight w:val="none"/>
        </w:rPr>
        <w:t>时</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(逾期送达或未按</w:t>
      </w:r>
      <w:r>
        <w:rPr>
          <w:rFonts w:hint="eastAsia" w:ascii="仿宋_GB2312" w:hAnsi="仿宋_GB2312" w:eastAsia="仿宋_GB2312" w:cs="仿宋_GB2312"/>
          <w:highlight w:val="none"/>
          <w:lang w:eastAsia="zh-CN"/>
        </w:rPr>
        <w:t>询价通知书</w:t>
      </w:r>
      <w:r>
        <w:rPr>
          <w:rFonts w:hint="eastAsia" w:ascii="仿宋_GB2312" w:hAnsi="仿宋_GB2312" w:eastAsia="仿宋_GB2312" w:cs="仿宋_GB2312"/>
          <w:highlight w:val="none"/>
        </w:rPr>
        <w:t>要求密封的</w:t>
      </w:r>
      <w:r>
        <w:rPr>
          <w:rFonts w:hint="eastAsia" w:ascii="仿宋_GB2312" w:hAnsi="仿宋_GB2312" w:eastAsia="仿宋_GB2312" w:cs="仿宋_GB2312"/>
          <w:highlight w:val="none"/>
          <w:lang w:eastAsia="zh-CN"/>
        </w:rPr>
        <w:t>响应</w:t>
      </w:r>
      <w:r>
        <w:rPr>
          <w:rFonts w:hint="eastAsia" w:ascii="仿宋_GB2312" w:hAnsi="仿宋_GB2312" w:eastAsia="仿宋_GB2312" w:cs="仿宋_GB2312"/>
          <w:highlight w:val="none"/>
        </w:rPr>
        <w:t>文件恕不接收。)</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提交响应文件及开标地点：东莞市万江街道</w:t>
      </w:r>
      <w:r>
        <w:rPr>
          <w:rFonts w:hint="eastAsia" w:ascii="仿宋_GB2312" w:hAnsi="仿宋_GB2312" w:eastAsia="仿宋_GB2312" w:cs="仿宋_GB2312"/>
          <w:highlight w:val="none"/>
          <w:lang w:eastAsia="zh-CN"/>
        </w:rPr>
        <w:t>徐屋街</w:t>
      </w:r>
      <w:r>
        <w:rPr>
          <w:rFonts w:hint="eastAsia" w:ascii="仿宋_GB2312" w:hAnsi="仿宋_GB2312" w:eastAsia="仿宋_GB2312" w:cs="仿宋_GB2312"/>
          <w:highlight w:val="none"/>
          <w:lang w:val="en-US" w:eastAsia="zh-CN"/>
        </w:rPr>
        <w:t>10号</w:t>
      </w:r>
      <w:r>
        <w:rPr>
          <w:rFonts w:hint="eastAsia" w:ascii="仿宋_GB2312" w:hAnsi="仿宋_GB2312" w:eastAsia="仿宋_GB2312" w:cs="仿宋_GB2312"/>
          <w:highlight w:val="none"/>
        </w:rPr>
        <w:t>行政办事中心3号楼1楼会议室。</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3</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highlight w:val="none"/>
        </w:rPr>
        <w:t>签到事宜：</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3.1 </w:t>
      </w:r>
      <w:r>
        <w:rPr>
          <w:rFonts w:hint="eastAsia" w:ascii="仿宋_GB2312" w:hAnsi="仿宋_GB2312" w:eastAsia="仿宋_GB2312" w:cs="仿宋_GB2312"/>
          <w:highlight w:val="none"/>
          <w:lang w:eastAsia="zh-CN"/>
        </w:rPr>
        <w:t>供应商</w:t>
      </w:r>
      <w:r>
        <w:rPr>
          <w:rFonts w:hint="eastAsia" w:ascii="仿宋_GB2312" w:hAnsi="仿宋_GB2312" w:eastAsia="仿宋_GB2312" w:cs="仿宋_GB2312"/>
          <w:highlight w:val="none"/>
        </w:rPr>
        <w:t>的法定代表人参加的，需携带有效身份证明签名报到；</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3.2 非法定代表人参加的，需携带有效身份证明，并在签到时向招标所现场工作人员提供法定代表人授权委托书原件。</w:t>
      </w:r>
    </w:p>
    <w:p>
      <w:pPr>
        <w:autoSpaceDE w:val="0"/>
        <w:autoSpaceDN w:val="0"/>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b/>
          <w:sz w:val="28"/>
          <w:highlight w:val="none"/>
        </w:rPr>
        <w:t>六.</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sz w:val="28"/>
          <w:highlight w:val="none"/>
        </w:rPr>
        <w:t>投标保证金事宜</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本项目不收取投标保证金。</w:t>
      </w:r>
    </w:p>
    <w:p>
      <w:pPr>
        <w:rPr>
          <w:rFonts w:hint="eastAsia" w:ascii="仿宋_GB2312" w:hAnsi="仿宋_GB2312" w:eastAsia="仿宋_GB2312" w:cs="仿宋_GB2312"/>
          <w:b/>
          <w:sz w:val="28"/>
          <w:highlight w:val="none"/>
        </w:rPr>
      </w:pPr>
      <w:r>
        <w:rPr>
          <w:rFonts w:hint="eastAsia" w:ascii="仿宋_GB2312" w:hAnsi="仿宋_GB2312" w:eastAsia="仿宋_GB2312" w:cs="仿宋_GB2312"/>
          <w:b/>
          <w:sz w:val="28"/>
          <w:highlight w:val="none"/>
        </w:rPr>
        <w:t>七.本项目联系方式：</w:t>
      </w:r>
    </w:p>
    <w:p>
      <w:pP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rPr>
        <w:t>1.采购人信息</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名称：东莞市万江街道办事处</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地址：东莞市万江街道万福路83号  　</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联系方式：（0769）22776681</w:t>
      </w:r>
    </w:p>
    <w:p>
      <w:pP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rPr>
        <w:t>2.采购代理机构信息</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名称：东莞市万江招投标服务所</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地址：东莞市万江街道徐屋街10号行政办事中心3号楼2楼办公室</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联系方式：（0769）21661806</w:t>
      </w:r>
    </w:p>
    <w:p>
      <w:pP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rPr>
        <w:t>3.项目联系方式</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项目联系人：</w:t>
      </w:r>
      <w:r>
        <w:rPr>
          <w:rFonts w:hint="eastAsia" w:ascii="仿宋_GB2312" w:hAnsi="仿宋_GB2312" w:eastAsia="仿宋_GB2312" w:cs="仿宋_GB2312"/>
          <w:highlight w:val="none"/>
          <w:lang w:eastAsia="zh-CN"/>
        </w:rPr>
        <w:t>李</w:t>
      </w:r>
      <w:r>
        <w:rPr>
          <w:rFonts w:hint="eastAsia" w:ascii="仿宋_GB2312" w:hAnsi="仿宋_GB2312" w:eastAsia="仿宋_GB2312" w:cs="仿宋_GB2312"/>
          <w:highlight w:val="none"/>
        </w:rPr>
        <w:t>小姐</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电话：（0769）21661806</w:t>
      </w: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 </w:t>
      </w:r>
    </w:p>
    <w:p>
      <w:pPr>
        <w:rPr>
          <w:rFonts w:hint="eastAsia" w:ascii="仿宋_GB2312" w:hAnsi="仿宋_GB2312" w:eastAsia="仿宋_GB2312" w:cs="仿宋_GB2312"/>
          <w:highlight w:val="none"/>
        </w:rPr>
      </w:pPr>
    </w:p>
    <w:p>
      <w:pPr>
        <w:rPr>
          <w:rFonts w:hint="eastAsia" w:ascii="仿宋_GB2312" w:hAnsi="仿宋_GB2312" w:eastAsia="仿宋_GB2312" w:cs="仿宋_GB2312"/>
          <w:b/>
          <w:sz w:val="36"/>
          <w:highlight w:val="none"/>
        </w:rPr>
      </w:pPr>
      <w:r>
        <w:rPr>
          <w:rFonts w:hint="eastAsia" w:ascii="仿宋_GB2312" w:hAnsi="仿宋_GB2312" w:eastAsia="仿宋_GB2312" w:cs="仿宋_GB2312"/>
          <w:b/>
          <w:sz w:val="36"/>
          <w:highlight w:val="none"/>
        </w:rPr>
        <w:br w:type="page"/>
      </w:r>
    </w:p>
    <w:p>
      <w:pPr>
        <w:jc w:val="center"/>
        <w:rPr>
          <w:rFonts w:hint="eastAsia" w:ascii="仿宋_GB2312" w:hAnsi="仿宋_GB2312" w:eastAsia="仿宋_GB2312" w:cs="仿宋_GB2312"/>
          <w:highlight w:val="none"/>
        </w:rPr>
      </w:pPr>
      <w:r>
        <w:rPr>
          <w:rFonts w:hint="eastAsia" w:ascii="仿宋_GB2312" w:hAnsi="仿宋_GB2312" w:eastAsia="仿宋_GB2312" w:cs="仿宋_GB2312"/>
          <w:b/>
          <w:sz w:val="36"/>
          <w:highlight w:val="none"/>
        </w:rPr>
        <w:t>第二章 采购需求</w:t>
      </w:r>
    </w:p>
    <w:p>
      <w:pPr>
        <w:rPr>
          <w:rFonts w:hint="eastAsia" w:ascii="仿宋_GB2312" w:hAnsi="仿宋_GB2312" w:eastAsia="仿宋_GB2312" w:cs="仿宋_GB2312"/>
          <w:highlight w:val="none"/>
        </w:rPr>
      </w:pPr>
      <w:r>
        <w:rPr>
          <w:rFonts w:hint="eastAsia" w:ascii="仿宋_GB2312" w:hAnsi="仿宋_GB2312" w:eastAsia="仿宋_GB2312" w:cs="仿宋_GB2312"/>
          <w:b/>
          <w:sz w:val="28"/>
          <w:highlight w:val="none"/>
        </w:rPr>
        <w:t>一、项目概况：</w:t>
      </w:r>
    </w:p>
    <w:p>
      <w:pPr>
        <w:pStyle w:val="2"/>
        <w:ind w:firstLine="480" w:firstLineChars="200"/>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b w:val="0"/>
          <w:color w:val="000000"/>
          <w:spacing w:val="0"/>
          <w:kern w:val="2"/>
          <w:sz w:val="24"/>
          <w:szCs w:val="22"/>
          <w:highlight w:val="none"/>
          <w:lang w:eastAsia="zh-CN"/>
        </w:rPr>
        <w:t>为进一步加强万江街道办事处网络安全防护，提升对各类网络安全问题的预防和处置能力，完善网络安全建设。我办将采购一批网络安全设备用于万江街道办事处主楼</w:t>
      </w:r>
      <w:r>
        <w:rPr>
          <w:rFonts w:hint="eastAsia" w:ascii="仿宋_GB2312" w:hAnsi="仿宋_GB2312" w:eastAsia="仿宋_GB2312" w:cs="仿宋_GB2312"/>
          <w:b w:val="0"/>
          <w:color w:val="000000"/>
          <w:spacing w:val="0"/>
          <w:kern w:val="2"/>
          <w:sz w:val="24"/>
          <w:szCs w:val="22"/>
          <w:highlight w:val="none"/>
          <w:lang w:val="en-US" w:eastAsia="zh-CN"/>
        </w:rPr>
        <w:t>3楼机房。其中通过采购大数据智能安全平台，</w:t>
      </w:r>
      <w:r>
        <w:rPr>
          <w:rFonts w:hint="eastAsia" w:ascii="仿宋_GB2312" w:hAnsi="仿宋_GB2312" w:eastAsia="仿宋_GB2312" w:cs="仿宋_GB2312"/>
          <w:b w:val="0"/>
          <w:color w:val="000000"/>
          <w:spacing w:val="0"/>
          <w:kern w:val="2"/>
          <w:sz w:val="24"/>
          <w:szCs w:val="22"/>
          <w:highlight w:val="none"/>
          <w:lang w:eastAsia="zh-CN"/>
        </w:rPr>
        <w:t>及时探测发现和处理来自外部网络的攻击和威胁，保障办事处网络的安全；通过采购终端安全管理系统和数据集中备份系统，规范街道内部网络办公设备的上网行为，加强街道内部网络的管理。</w:t>
      </w:r>
    </w:p>
    <w:p>
      <w:pPr>
        <w:ind w:firstLine="562"/>
        <w:rPr>
          <w:rFonts w:hint="eastAsia" w:ascii="仿宋_GB2312" w:hAnsi="仿宋_GB2312" w:eastAsia="仿宋_GB2312" w:cs="仿宋_GB2312"/>
          <w:b/>
          <w:color w:val="000000"/>
          <w:sz w:val="28"/>
          <w:highlight w:val="none"/>
        </w:rPr>
      </w:pPr>
    </w:p>
    <w:p>
      <w:pPr>
        <w:autoSpaceDE w:val="0"/>
        <w:autoSpaceDN w:val="0"/>
        <w:adjustRightInd w:val="0"/>
        <w:spacing w:line="420" w:lineRule="exact"/>
        <w:rPr>
          <w:rFonts w:ascii="仿宋" w:hAnsi="仿宋" w:eastAsia="仿宋"/>
          <w:color w:val="FF0000"/>
          <w:sz w:val="24"/>
          <w:highlight w:val="none"/>
        </w:rPr>
      </w:pPr>
      <w:r>
        <w:rPr>
          <w:rFonts w:hint="eastAsia" w:ascii="仿宋" w:hAnsi="仿宋" w:eastAsia="仿宋"/>
          <w:color w:val="000000"/>
          <w:sz w:val="24"/>
          <w:highlight w:val="none"/>
        </w:rPr>
        <w:t>注：1.用户需求书中标注“■”号的内容为采购的主要标的（核心产品）。</w:t>
      </w:r>
    </w:p>
    <w:p>
      <w:pPr>
        <w:autoSpaceDE w:val="0"/>
        <w:autoSpaceDN w:val="0"/>
        <w:adjustRightInd w:val="0"/>
        <w:spacing w:line="420" w:lineRule="exact"/>
        <w:rPr>
          <w:rFonts w:ascii="仿宋" w:hAnsi="仿宋" w:eastAsia="仿宋"/>
          <w:color w:val="FF0000"/>
          <w:sz w:val="24"/>
          <w:highlight w:val="none"/>
        </w:rPr>
      </w:pPr>
      <w:r>
        <w:rPr>
          <w:rFonts w:hint="eastAsia" w:ascii="仿宋" w:hAnsi="仿宋" w:eastAsia="仿宋"/>
          <w:color w:val="000000"/>
          <w:sz w:val="24"/>
          <w:highlight w:val="none"/>
        </w:rPr>
        <w:t>2.用户需求书中标注“●”号的内容为政府强制采购的节能产品。</w:t>
      </w:r>
    </w:p>
    <w:p>
      <w:pPr>
        <w:autoSpaceDE w:val="0"/>
        <w:autoSpaceDN w:val="0"/>
        <w:adjustRightInd w:val="0"/>
        <w:spacing w:line="420" w:lineRule="exact"/>
        <w:rPr>
          <w:rFonts w:ascii="仿宋" w:hAnsi="仿宋" w:eastAsia="仿宋"/>
          <w:color w:val="000000"/>
          <w:sz w:val="24"/>
          <w:highlight w:val="none"/>
        </w:rPr>
      </w:pPr>
      <w:r>
        <w:rPr>
          <w:rFonts w:hint="eastAsia" w:ascii="仿宋" w:hAnsi="仿宋" w:eastAsia="仿宋"/>
          <w:color w:val="000000"/>
          <w:sz w:val="24"/>
          <w:highlight w:val="none"/>
        </w:rPr>
        <w:t>3.在《用户需求书》中所提供的货物参数要求，其目的仅仅是为了使投标人更加准确地了解</w:t>
      </w:r>
      <w:r>
        <w:rPr>
          <w:rFonts w:hint="eastAsia" w:ascii="仿宋" w:hAnsi="仿宋" w:eastAsia="仿宋"/>
          <w:color w:val="000000"/>
          <w:sz w:val="24"/>
          <w:highlight w:val="none"/>
          <w:lang w:eastAsia="zh-CN"/>
        </w:rPr>
        <w:t>询价</w:t>
      </w:r>
      <w:r>
        <w:rPr>
          <w:rFonts w:hint="eastAsia" w:ascii="仿宋" w:hAnsi="仿宋" w:eastAsia="仿宋"/>
          <w:color w:val="000000"/>
          <w:sz w:val="24"/>
          <w:highlight w:val="none"/>
        </w:rPr>
        <w:t>要求，不构成对投标单位所报品牌的任何约束；投标人所投货物参数应不低于《用户需求书》中的要求。</w:t>
      </w:r>
    </w:p>
    <w:p>
      <w:pPr>
        <w:autoSpaceDE w:val="0"/>
        <w:autoSpaceDN w:val="0"/>
        <w:adjustRightInd w:val="0"/>
        <w:spacing w:line="420" w:lineRule="exact"/>
        <w:rPr>
          <w:rFonts w:ascii="仿宋" w:hAnsi="仿宋" w:eastAsia="仿宋"/>
          <w:color w:val="000000"/>
          <w:sz w:val="24"/>
          <w:highlight w:val="none"/>
        </w:rPr>
      </w:pPr>
      <w:bookmarkStart w:id="0" w:name="_Toc31587"/>
      <w:bookmarkStart w:id="1" w:name="_Toc502156711"/>
      <w:bookmarkStart w:id="2" w:name="_Toc29260"/>
      <w:bookmarkStart w:id="3" w:name="_Toc24860"/>
      <w:bookmarkStart w:id="4" w:name="_Toc3889"/>
      <w:bookmarkStart w:id="5" w:name="_Toc12605"/>
      <w:bookmarkStart w:id="6" w:name="_Toc28309"/>
      <w:r>
        <w:rPr>
          <w:rFonts w:hint="eastAsia" w:ascii="仿宋" w:hAnsi="仿宋" w:eastAsia="仿宋"/>
          <w:color w:val="000000"/>
          <w:sz w:val="24"/>
          <w:highlight w:val="none"/>
        </w:rPr>
        <w:t>一、</w:t>
      </w:r>
      <w:r>
        <w:rPr>
          <w:rFonts w:hint="eastAsia" w:ascii="仿宋" w:hAnsi="仿宋" w:eastAsia="仿宋"/>
          <w:color w:val="000000"/>
          <w:sz w:val="24"/>
          <w:highlight w:val="none"/>
          <w:lang w:eastAsia="zh-CN"/>
        </w:rPr>
        <w:t>设备</w:t>
      </w:r>
      <w:r>
        <w:rPr>
          <w:rFonts w:hint="eastAsia" w:ascii="仿宋" w:hAnsi="仿宋" w:eastAsia="仿宋"/>
          <w:color w:val="000000"/>
          <w:sz w:val="24"/>
          <w:highlight w:val="none"/>
        </w:rPr>
        <w:t>清单</w:t>
      </w:r>
      <w:bookmarkEnd w:id="0"/>
      <w:bookmarkEnd w:id="1"/>
      <w:bookmarkEnd w:id="2"/>
      <w:bookmarkEnd w:id="3"/>
      <w:bookmarkEnd w:id="4"/>
      <w:bookmarkEnd w:id="5"/>
      <w:bookmarkEnd w:id="6"/>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center"/>
          </w:tcPr>
          <w:p>
            <w:pPr>
              <w:autoSpaceDE w:val="0"/>
              <w:autoSpaceDN w:val="0"/>
              <w:adjustRightInd w:val="0"/>
              <w:spacing w:line="420" w:lineRule="exact"/>
              <w:jc w:val="center"/>
              <w:rPr>
                <w:rFonts w:hint="eastAsia" w:ascii="仿宋" w:hAnsi="仿宋" w:eastAsia="仿宋"/>
                <w:b/>
                <w:bCs/>
                <w:color w:val="000000"/>
                <w:sz w:val="24"/>
                <w:highlight w:val="none"/>
                <w:vertAlign w:val="baseline"/>
                <w:lang w:eastAsia="zh-CN"/>
              </w:rPr>
            </w:pPr>
            <w:r>
              <w:rPr>
                <w:rFonts w:hint="eastAsia" w:ascii="仿宋" w:hAnsi="仿宋" w:eastAsia="仿宋"/>
                <w:b/>
                <w:bCs/>
                <w:color w:val="000000"/>
                <w:sz w:val="24"/>
                <w:highlight w:val="none"/>
                <w:vertAlign w:val="baseline"/>
                <w:lang w:eastAsia="zh-CN"/>
              </w:rPr>
              <w:t>序号</w:t>
            </w:r>
          </w:p>
        </w:tc>
        <w:tc>
          <w:tcPr>
            <w:tcW w:w="1703" w:type="dxa"/>
            <w:noWrap w:val="0"/>
            <w:vAlign w:val="center"/>
          </w:tcPr>
          <w:p>
            <w:pPr>
              <w:autoSpaceDE w:val="0"/>
              <w:autoSpaceDN w:val="0"/>
              <w:adjustRightInd w:val="0"/>
              <w:spacing w:line="420" w:lineRule="exact"/>
              <w:jc w:val="center"/>
              <w:rPr>
                <w:rFonts w:hint="eastAsia" w:ascii="仿宋" w:hAnsi="仿宋" w:eastAsia="仿宋"/>
                <w:b/>
                <w:bCs/>
                <w:color w:val="000000"/>
                <w:sz w:val="24"/>
                <w:highlight w:val="none"/>
                <w:vertAlign w:val="baseline"/>
                <w:lang w:eastAsia="zh-CN"/>
              </w:rPr>
            </w:pPr>
            <w:r>
              <w:rPr>
                <w:rFonts w:hint="eastAsia" w:ascii="仿宋" w:hAnsi="仿宋" w:eastAsia="仿宋"/>
                <w:b/>
                <w:bCs/>
                <w:color w:val="000000"/>
                <w:sz w:val="24"/>
                <w:highlight w:val="none"/>
                <w:vertAlign w:val="baseline"/>
                <w:lang w:eastAsia="zh-CN"/>
              </w:rPr>
              <w:t>设备名称</w:t>
            </w:r>
          </w:p>
        </w:tc>
        <w:tc>
          <w:tcPr>
            <w:tcW w:w="1704" w:type="dxa"/>
            <w:noWrap w:val="0"/>
            <w:vAlign w:val="center"/>
          </w:tcPr>
          <w:p>
            <w:pPr>
              <w:autoSpaceDE w:val="0"/>
              <w:autoSpaceDN w:val="0"/>
              <w:adjustRightInd w:val="0"/>
              <w:spacing w:line="420" w:lineRule="exact"/>
              <w:jc w:val="center"/>
              <w:rPr>
                <w:rFonts w:hint="eastAsia" w:ascii="仿宋" w:hAnsi="仿宋" w:eastAsia="仿宋"/>
                <w:b/>
                <w:bCs/>
                <w:color w:val="000000"/>
                <w:sz w:val="24"/>
                <w:highlight w:val="none"/>
                <w:vertAlign w:val="baseline"/>
                <w:lang w:eastAsia="zh-CN"/>
              </w:rPr>
            </w:pPr>
            <w:r>
              <w:rPr>
                <w:rFonts w:hint="eastAsia" w:ascii="仿宋" w:hAnsi="仿宋" w:eastAsia="仿宋"/>
                <w:b/>
                <w:bCs/>
                <w:color w:val="000000"/>
                <w:sz w:val="24"/>
                <w:highlight w:val="none"/>
                <w:vertAlign w:val="baseline"/>
                <w:lang w:eastAsia="zh-CN"/>
              </w:rPr>
              <w:t>部件</w:t>
            </w:r>
          </w:p>
        </w:tc>
        <w:tc>
          <w:tcPr>
            <w:tcW w:w="1704" w:type="dxa"/>
            <w:noWrap w:val="0"/>
            <w:vAlign w:val="center"/>
          </w:tcPr>
          <w:p>
            <w:pPr>
              <w:autoSpaceDE w:val="0"/>
              <w:autoSpaceDN w:val="0"/>
              <w:adjustRightInd w:val="0"/>
              <w:spacing w:line="420" w:lineRule="exact"/>
              <w:jc w:val="center"/>
              <w:rPr>
                <w:rFonts w:hint="eastAsia" w:ascii="仿宋" w:hAnsi="仿宋" w:eastAsia="仿宋"/>
                <w:b/>
                <w:bCs/>
                <w:color w:val="000000"/>
                <w:sz w:val="24"/>
                <w:highlight w:val="none"/>
                <w:vertAlign w:val="baseline"/>
                <w:lang w:eastAsia="zh-CN"/>
              </w:rPr>
            </w:pPr>
            <w:r>
              <w:rPr>
                <w:rFonts w:hint="eastAsia" w:ascii="仿宋" w:hAnsi="仿宋" w:eastAsia="仿宋"/>
                <w:b/>
                <w:bCs/>
                <w:color w:val="000000"/>
                <w:sz w:val="24"/>
                <w:highlight w:val="none"/>
                <w:vertAlign w:val="baseline"/>
                <w:lang w:eastAsia="zh-CN"/>
              </w:rPr>
              <w:t>单位</w:t>
            </w:r>
          </w:p>
        </w:tc>
        <w:tc>
          <w:tcPr>
            <w:tcW w:w="1704" w:type="dxa"/>
            <w:noWrap w:val="0"/>
            <w:vAlign w:val="center"/>
          </w:tcPr>
          <w:p>
            <w:pPr>
              <w:autoSpaceDE w:val="0"/>
              <w:autoSpaceDN w:val="0"/>
              <w:adjustRightInd w:val="0"/>
              <w:spacing w:line="420" w:lineRule="exact"/>
              <w:jc w:val="center"/>
              <w:rPr>
                <w:rFonts w:hint="eastAsia" w:ascii="仿宋" w:hAnsi="仿宋" w:eastAsia="仿宋"/>
                <w:b/>
                <w:bCs/>
                <w:color w:val="000000"/>
                <w:sz w:val="24"/>
                <w:highlight w:val="none"/>
                <w:vertAlign w:val="baseline"/>
                <w:lang w:eastAsia="zh-CN"/>
              </w:rPr>
            </w:pPr>
            <w:r>
              <w:rPr>
                <w:rFonts w:hint="eastAsia" w:ascii="仿宋" w:hAnsi="仿宋" w:eastAsia="仿宋"/>
                <w:b/>
                <w:bCs/>
                <w:color w:val="000000"/>
                <w:sz w:val="24"/>
                <w:highlight w:val="none"/>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restart"/>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1</w:t>
            </w:r>
          </w:p>
        </w:tc>
        <w:tc>
          <w:tcPr>
            <w:tcW w:w="1703" w:type="dxa"/>
            <w:vMerge w:val="restart"/>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eastAsia="zh-CN"/>
              </w:rPr>
            </w:pPr>
            <w:r>
              <w:rPr>
                <w:rFonts w:hint="eastAsia" w:ascii="仿宋" w:hAnsi="仿宋" w:eastAsia="仿宋"/>
                <w:color w:val="000000"/>
                <w:sz w:val="24"/>
                <w:highlight w:val="none"/>
              </w:rPr>
              <w:t>■</w:t>
            </w:r>
            <w:r>
              <w:rPr>
                <w:rFonts w:hint="eastAsia" w:ascii="宋体" w:hAnsi="宋体" w:eastAsia="宋体" w:cs="宋体"/>
                <w:color w:val="000000"/>
                <w:sz w:val="20"/>
                <w:szCs w:val="20"/>
                <w:highlight w:val="none"/>
                <w:vertAlign w:val="baseline"/>
                <w:lang w:eastAsia="zh-CN"/>
              </w:rPr>
              <w:t>大数据智能安全平台</w:t>
            </w:r>
          </w:p>
        </w:tc>
        <w:tc>
          <w:tcPr>
            <w:tcW w:w="1704" w:type="dxa"/>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eastAsia="zh-CN"/>
              </w:rPr>
            </w:pPr>
            <w:r>
              <w:rPr>
                <w:rFonts w:hint="eastAsia" w:ascii="宋体" w:hAnsi="宋体" w:eastAsia="宋体" w:cs="宋体"/>
                <w:color w:val="000000"/>
                <w:sz w:val="20"/>
                <w:szCs w:val="20"/>
                <w:highlight w:val="none"/>
                <w:vertAlign w:val="baseline"/>
                <w:lang w:eastAsia="zh-CN"/>
              </w:rPr>
              <w:t>平台软件</w:t>
            </w:r>
          </w:p>
        </w:tc>
        <w:tc>
          <w:tcPr>
            <w:tcW w:w="1704" w:type="dxa"/>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eastAsia="zh-CN"/>
              </w:rPr>
            </w:pPr>
            <w:r>
              <w:rPr>
                <w:rFonts w:hint="eastAsia" w:ascii="宋体" w:hAnsi="宋体" w:eastAsia="宋体" w:cs="宋体"/>
                <w:color w:val="000000"/>
                <w:sz w:val="20"/>
                <w:szCs w:val="20"/>
                <w:highlight w:val="none"/>
                <w:vertAlign w:val="baseline"/>
                <w:lang w:eastAsia="zh-CN"/>
              </w:rPr>
              <w:t>套</w:t>
            </w:r>
          </w:p>
        </w:tc>
        <w:tc>
          <w:tcPr>
            <w:tcW w:w="1704" w:type="dxa"/>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val="en-US" w:eastAsia="zh-CN"/>
              </w:rPr>
            </w:pPr>
          </w:p>
        </w:tc>
        <w:tc>
          <w:tcPr>
            <w:tcW w:w="1703" w:type="dxa"/>
            <w:vMerge w:val="continue"/>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eastAsia="zh-CN"/>
              </w:rPr>
            </w:pPr>
          </w:p>
        </w:tc>
        <w:tc>
          <w:tcPr>
            <w:tcW w:w="1704" w:type="dxa"/>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eastAsia="zh-CN"/>
              </w:rPr>
            </w:pPr>
            <w:r>
              <w:rPr>
                <w:rFonts w:hint="eastAsia" w:ascii="宋体" w:hAnsi="宋体" w:eastAsia="宋体" w:cs="宋体"/>
                <w:color w:val="000000"/>
                <w:sz w:val="20"/>
                <w:szCs w:val="20"/>
                <w:highlight w:val="none"/>
                <w:vertAlign w:val="baseline"/>
                <w:lang w:eastAsia="zh-CN"/>
              </w:rPr>
              <w:t>平台硬件</w:t>
            </w:r>
          </w:p>
        </w:tc>
        <w:tc>
          <w:tcPr>
            <w:tcW w:w="1704" w:type="dxa"/>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eastAsia="zh-CN"/>
              </w:rPr>
            </w:pPr>
            <w:r>
              <w:rPr>
                <w:rFonts w:hint="eastAsia" w:ascii="宋体" w:hAnsi="宋体" w:eastAsia="宋体" w:cs="宋体"/>
                <w:color w:val="000000"/>
                <w:sz w:val="20"/>
                <w:szCs w:val="20"/>
                <w:highlight w:val="none"/>
                <w:vertAlign w:val="baseline"/>
                <w:lang w:eastAsia="zh-CN"/>
              </w:rPr>
              <w:t>台</w:t>
            </w:r>
          </w:p>
        </w:tc>
        <w:tc>
          <w:tcPr>
            <w:tcW w:w="1704" w:type="dxa"/>
            <w:noWrap w:val="0"/>
            <w:vAlign w:val="center"/>
          </w:tcPr>
          <w:p>
            <w:pPr>
              <w:autoSpaceDE w:val="0"/>
              <w:autoSpaceDN w:val="0"/>
              <w:adjustRightInd w:val="0"/>
              <w:spacing w:line="420" w:lineRule="exact"/>
              <w:jc w:val="center"/>
              <w:rPr>
                <w:rFonts w:hint="default"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val="en-US" w:eastAsia="zh-CN"/>
              </w:rPr>
            </w:pPr>
          </w:p>
        </w:tc>
        <w:tc>
          <w:tcPr>
            <w:tcW w:w="1703" w:type="dxa"/>
            <w:vMerge w:val="continue"/>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eastAsia="zh-CN"/>
              </w:rPr>
            </w:pPr>
          </w:p>
        </w:tc>
        <w:tc>
          <w:tcPr>
            <w:tcW w:w="1704" w:type="dxa"/>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eastAsia="zh-CN"/>
              </w:rPr>
            </w:pPr>
            <w:r>
              <w:rPr>
                <w:rFonts w:hint="eastAsia" w:ascii="宋体" w:hAnsi="宋体" w:eastAsia="宋体" w:cs="宋体"/>
                <w:color w:val="000000"/>
                <w:sz w:val="20"/>
                <w:szCs w:val="20"/>
                <w:highlight w:val="none"/>
                <w:vertAlign w:val="baseline"/>
                <w:lang w:eastAsia="zh-CN"/>
              </w:rPr>
              <w:t>流量监测探针</w:t>
            </w:r>
          </w:p>
        </w:tc>
        <w:tc>
          <w:tcPr>
            <w:tcW w:w="1704" w:type="dxa"/>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eastAsia="zh-CN"/>
              </w:rPr>
            </w:pPr>
            <w:r>
              <w:rPr>
                <w:rFonts w:hint="eastAsia" w:ascii="宋体" w:hAnsi="宋体" w:eastAsia="宋体" w:cs="宋体"/>
                <w:color w:val="000000"/>
                <w:sz w:val="20"/>
                <w:szCs w:val="20"/>
                <w:highlight w:val="none"/>
                <w:vertAlign w:val="baseline"/>
                <w:lang w:eastAsia="zh-CN"/>
              </w:rPr>
              <w:t>套</w:t>
            </w:r>
          </w:p>
        </w:tc>
        <w:tc>
          <w:tcPr>
            <w:tcW w:w="1704" w:type="dxa"/>
            <w:noWrap w:val="0"/>
            <w:vAlign w:val="center"/>
          </w:tcPr>
          <w:p>
            <w:pPr>
              <w:autoSpaceDE w:val="0"/>
              <w:autoSpaceDN w:val="0"/>
              <w:adjustRightInd w:val="0"/>
              <w:spacing w:line="420" w:lineRule="exact"/>
              <w:jc w:val="center"/>
              <w:rPr>
                <w:rFonts w:hint="default"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val="en-US" w:eastAsia="zh-CN"/>
              </w:rPr>
            </w:pPr>
          </w:p>
        </w:tc>
        <w:tc>
          <w:tcPr>
            <w:tcW w:w="1703" w:type="dxa"/>
            <w:vMerge w:val="continue"/>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eastAsia="zh-CN"/>
              </w:rPr>
            </w:pPr>
          </w:p>
        </w:tc>
        <w:tc>
          <w:tcPr>
            <w:tcW w:w="1704" w:type="dxa"/>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eastAsia="zh-CN"/>
              </w:rPr>
            </w:pPr>
            <w:r>
              <w:rPr>
                <w:rFonts w:hint="eastAsia" w:ascii="宋体" w:hAnsi="宋体" w:eastAsia="宋体" w:cs="宋体"/>
                <w:color w:val="000000"/>
                <w:sz w:val="20"/>
                <w:szCs w:val="20"/>
                <w:highlight w:val="none"/>
                <w:vertAlign w:val="baseline"/>
                <w:lang w:eastAsia="zh-CN"/>
              </w:rPr>
              <w:t>威胁情报订阅模块</w:t>
            </w:r>
          </w:p>
        </w:tc>
        <w:tc>
          <w:tcPr>
            <w:tcW w:w="1704" w:type="dxa"/>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eastAsia="zh-CN"/>
              </w:rPr>
            </w:pPr>
            <w:r>
              <w:rPr>
                <w:rFonts w:hint="eastAsia" w:ascii="宋体" w:hAnsi="宋体" w:eastAsia="宋体" w:cs="宋体"/>
                <w:color w:val="000000"/>
                <w:sz w:val="20"/>
                <w:szCs w:val="20"/>
                <w:highlight w:val="none"/>
                <w:vertAlign w:val="baseline"/>
                <w:lang w:eastAsia="zh-CN"/>
              </w:rPr>
              <w:t>年</w:t>
            </w:r>
          </w:p>
        </w:tc>
        <w:tc>
          <w:tcPr>
            <w:tcW w:w="1704" w:type="dxa"/>
            <w:noWrap w:val="0"/>
            <w:vAlign w:val="center"/>
          </w:tcPr>
          <w:p>
            <w:pPr>
              <w:autoSpaceDE w:val="0"/>
              <w:autoSpaceDN w:val="0"/>
              <w:adjustRightInd w:val="0"/>
              <w:spacing w:line="420" w:lineRule="exact"/>
              <w:jc w:val="center"/>
              <w:rPr>
                <w:rFonts w:hint="default"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restart"/>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2</w:t>
            </w:r>
          </w:p>
        </w:tc>
        <w:tc>
          <w:tcPr>
            <w:tcW w:w="1703" w:type="dxa"/>
            <w:vMerge w:val="restart"/>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eastAsia="zh-CN"/>
              </w:rPr>
            </w:pPr>
            <w:r>
              <w:rPr>
                <w:rFonts w:hint="eastAsia" w:ascii="宋体" w:hAnsi="宋体" w:eastAsia="宋体" w:cs="宋体"/>
                <w:color w:val="000000"/>
                <w:sz w:val="20"/>
                <w:szCs w:val="20"/>
                <w:highlight w:val="none"/>
                <w:vertAlign w:val="baseline"/>
                <w:lang w:eastAsia="zh-CN"/>
              </w:rPr>
              <w:t>终端安全管理系统</w:t>
            </w:r>
          </w:p>
        </w:tc>
        <w:tc>
          <w:tcPr>
            <w:tcW w:w="1704" w:type="dxa"/>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eastAsia="zh-CN"/>
              </w:rPr>
            </w:pPr>
            <w:r>
              <w:rPr>
                <w:rFonts w:hint="eastAsia" w:ascii="宋体" w:hAnsi="宋体" w:eastAsia="宋体" w:cs="宋体"/>
                <w:color w:val="000000"/>
                <w:sz w:val="20"/>
                <w:szCs w:val="20"/>
                <w:highlight w:val="none"/>
                <w:vertAlign w:val="baseline"/>
                <w:lang w:eastAsia="zh-CN"/>
              </w:rPr>
              <w:t>终端安全管理中心</w:t>
            </w:r>
          </w:p>
        </w:tc>
        <w:tc>
          <w:tcPr>
            <w:tcW w:w="1704" w:type="dxa"/>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eastAsia="zh-CN"/>
              </w:rPr>
            </w:pPr>
            <w:r>
              <w:rPr>
                <w:rFonts w:hint="eastAsia" w:ascii="宋体" w:hAnsi="宋体" w:eastAsia="宋体" w:cs="宋体"/>
                <w:color w:val="000000"/>
                <w:sz w:val="20"/>
                <w:szCs w:val="20"/>
                <w:highlight w:val="none"/>
                <w:vertAlign w:val="baseline"/>
                <w:lang w:eastAsia="zh-CN"/>
              </w:rPr>
              <w:t>套</w:t>
            </w:r>
          </w:p>
        </w:tc>
        <w:tc>
          <w:tcPr>
            <w:tcW w:w="1704" w:type="dxa"/>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val="en-US" w:eastAsia="zh-CN"/>
              </w:rPr>
            </w:pPr>
          </w:p>
        </w:tc>
        <w:tc>
          <w:tcPr>
            <w:tcW w:w="1703" w:type="dxa"/>
            <w:vMerge w:val="continue"/>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eastAsia="zh-CN"/>
              </w:rPr>
            </w:pPr>
          </w:p>
        </w:tc>
        <w:tc>
          <w:tcPr>
            <w:tcW w:w="1704" w:type="dxa"/>
            <w:noWrap w:val="0"/>
            <w:vAlign w:val="center"/>
          </w:tcPr>
          <w:p>
            <w:pPr>
              <w:autoSpaceDE w:val="0"/>
              <w:autoSpaceDN w:val="0"/>
              <w:adjustRightInd w:val="0"/>
              <w:spacing w:line="420" w:lineRule="exact"/>
              <w:jc w:val="center"/>
              <w:rPr>
                <w:rFonts w:hint="default"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PC防护模块</w:t>
            </w:r>
          </w:p>
        </w:tc>
        <w:tc>
          <w:tcPr>
            <w:tcW w:w="1704" w:type="dxa"/>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eastAsia="zh-CN"/>
              </w:rPr>
            </w:pPr>
            <w:r>
              <w:rPr>
                <w:rFonts w:hint="eastAsia" w:ascii="宋体" w:hAnsi="宋体" w:eastAsia="宋体" w:cs="宋体"/>
                <w:color w:val="000000"/>
                <w:sz w:val="20"/>
                <w:szCs w:val="20"/>
                <w:highlight w:val="none"/>
                <w:vertAlign w:val="baseline"/>
                <w:lang w:eastAsia="zh-CN"/>
              </w:rPr>
              <w:t>个</w:t>
            </w:r>
          </w:p>
        </w:tc>
        <w:tc>
          <w:tcPr>
            <w:tcW w:w="1704" w:type="dxa"/>
            <w:noWrap w:val="0"/>
            <w:vAlign w:val="center"/>
          </w:tcPr>
          <w:p>
            <w:pPr>
              <w:autoSpaceDE w:val="0"/>
              <w:autoSpaceDN w:val="0"/>
              <w:adjustRightInd w:val="0"/>
              <w:spacing w:line="420" w:lineRule="exact"/>
              <w:jc w:val="center"/>
              <w:rPr>
                <w:rFonts w:hint="default"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val="en-US" w:eastAsia="zh-CN"/>
              </w:rPr>
            </w:pPr>
          </w:p>
        </w:tc>
        <w:tc>
          <w:tcPr>
            <w:tcW w:w="1703" w:type="dxa"/>
            <w:vMerge w:val="continue"/>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eastAsia="zh-CN"/>
              </w:rPr>
            </w:pPr>
          </w:p>
        </w:tc>
        <w:tc>
          <w:tcPr>
            <w:tcW w:w="1704" w:type="dxa"/>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eastAsia="zh-CN"/>
              </w:rPr>
            </w:pPr>
            <w:r>
              <w:rPr>
                <w:rFonts w:hint="eastAsia" w:ascii="宋体" w:hAnsi="宋体" w:eastAsia="宋体" w:cs="宋体"/>
                <w:color w:val="000000"/>
                <w:sz w:val="20"/>
                <w:szCs w:val="20"/>
                <w:highlight w:val="none"/>
                <w:vertAlign w:val="baseline"/>
                <w:lang w:eastAsia="zh-CN"/>
              </w:rPr>
              <w:t>服务器防护模块</w:t>
            </w:r>
          </w:p>
        </w:tc>
        <w:tc>
          <w:tcPr>
            <w:tcW w:w="1704" w:type="dxa"/>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eastAsia="zh-CN"/>
              </w:rPr>
            </w:pPr>
            <w:r>
              <w:rPr>
                <w:rFonts w:hint="eastAsia" w:ascii="宋体" w:hAnsi="宋体" w:eastAsia="宋体" w:cs="宋体"/>
                <w:color w:val="000000"/>
                <w:sz w:val="20"/>
                <w:szCs w:val="20"/>
                <w:highlight w:val="none"/>
                <w:vertAlign w:val="baseline"/>
                <w:lang w:eastAsia="zh-CN"/>
              </w:rPr>
              <w:t>个</w:t>
            </w:r>
          </w:p>
        </w:tc>
        <w:tc>
          <w:tcPr>
            <w:tcW w:w="1704" w:type="dxa"/>
            <w:noWrap w:val="0"/>
            <w:vAlign w:val="center"/>
          </w:tcPr>
          <w:p>
            <w:pPr>
              <w:autoSpaceDE w:val="0"/>
              <w:autoSpaceDN w:val="0"/>
              <w:adjustRightInd w:val="0"/>
              <w:spacing w:line="420" w:lineRule="exact"/>
              <w:jc w:val="center"/>
              <w:rPr>
                <w:rFonts w:hint="default"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restart"/>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3</w:t>
            </w:r>
          </w:p>
        </w:tc>
        <w:tc>
          <w:tcPr>
            <w:tcW w:w="1703" w:type="dxa"/>
            <w:vMerge w:val="restart"/>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eastAsia="zh-CN"/>
              </w:rPr>
            </w:pPr>
            <w:r>
              <w:rPr>
                <w:rFonts w:hint="eastAsia" w:ascii="宋体" w:hAnsi="宋体" w:eastAsia="宋体" w:cs="宋体"/>
                <w:color w:val="000000"/>
                <w:sz w:val="20"/>
                <w:szCs w:val="20"/>
                <w:highlight w:val="none"/>
                <w:vertAlign w:val="baseline"/>
                <w:lang w:eastAsia="zh-CN"/>
              </w:rPr>
              <w:t>数据集中备份系统</w:t>
            </w:r>
          </w:p>
        </w:tc>
        <w:tc>
          <w:tcPr>
            <w:tcW w:w="1704" w:type="dxa"/>
            <w:noWrap w:val="0"/>
            <w:vAlign w:val="center"/>
          </w:tcPr>
          <w:p>
            <w:pPr>
              <w:autoSpaceDE w:val="0"/>
              <w:autoSpaceDN w:val="0"/>
              <w:adjustRightInd w:val="0"/>
              <w:spacing w:line="420" w:lineRule="exact"/>
              <w:jc w:val="center"/>
              <w:rPr>
                <w:rFonts w:hint="default"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系统硬件</w:t>
            </w:r>
          </w:p>
        </w:tc>
        <w:tc>
          <w:tcPr>
            <w:tcW w:w="1704" w:type="dxa"/>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台</w:t>
            </w:r>
          </w:p>
        </w:tc>
        <w:tc>
          <w:tcPr>
            <w:tcW w:w="1704" w:type="dxa"/>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val="en-US" w:eastAsia="zh-CN"/>
              </w:rPr>
            </w:pPr>
          </w:p>
        </w:tc>
        <w:tc>
          <w:tcPr>
            <w:tcW w:w="1703" w:type="dxa"/>
            <w:vMerge w:val="continue"/>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eastAsia="zh-CN"/>
              </w:rPr>
            </w:pPr>
          </w:p>
        </w:tc>
        <w:tc>
          <w:tcPr>
            <w:tcW w:w="1704" w:type="dxa"/>
            <w:noWrap w:val="0"/>
            <w:vAlign w:val="center"/>
          </w:tcPr>
          <w:p>
            <w:pPr>
              <w:autoSpaceDE w:val="0"/>
              <w:autoSpaceDN w:val="0"/>
              <w:adjustRightInd w:val="0"/>
              <w:spacing w:line="420" w:lineRule="exact"/>
              <w:jc w:val="center"/>
              <w:rPr>
                <w:rFonts w:hint="default"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软件系统</w:t>
            </w:r>
          </w:p>
        </w:tc>
        <w:tc>
          <w:tcPr>
            <w:tcW w:w="1704" w:type="dxa"/>
            <w:noWrap w:val="0"/>
            <w:vAlign w:val="center"/>
          </w:tcPr>
          <w:p>
            <w:pPr>
              <w:autoSpaceDE w:val="0"/>
              <w:autoSpaceDN w:val="0"/>
              <w:adjustRightInd w:val="0"/>
              <w:spacing w:line="420" w:lineRule="exact"/>
              <w:jc w:val="center"/>
              <w:rPr>
                <w:rFonts w:hint="eastAsia"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个</w:t>
            </w:r>
          </w:p>
        </w:tc>
        <w:tc>
          <w:tcPr>
            <w:tcW w:w="1704" w:type="dxa"/>
            <w:noWrap w:val="0"/>
            <w:vAlign w:val="center"/>
          </w:tcPr>
          <w:p>
            <w:pPr>
              <w:autoSpaceDE w:val="0"/>
              <w:autoSpaceDN w:val="0"/>
              <w:adjustRightInd w:val="0"/>
              <w:spacing w:line="420" w:lineRule="exact"/>
              <w:jc w:val="center"/>
              <w:rPr>
                <w:rFonts w:hint="default"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1</w:t>
            </w:r>
          </w:p>
        </w:tc>
      </w:tr>
    </w:tbl>
    <w:p>
      <w:pPr>
        <w:autoSpaceDE w:val="0"/>
        <w:autoSpaceDN w:val="0"/>
        <w:adjustRightInd w:val="0"/>
        <w:spacing w:line="420" w:lineRule="exact"/>
        <w:rPr>
          <w:rFonts w:ascii="仿宋" w:hAnsi="仿宋" w:eastAsia="仿宋"/>
          <w:color w:val="000000"/>
          <w:sz w:val="24"/>
          <w:highlight w:val="none"/>
        </w:rPr>
      </w:pPr>
    </w:p>
    <w:p>
      <w:pPr>
        <w:autoSpaceDE w:val="0"/>
        <w:autoSpaceDN w:val="0"/>
        <w:adjustRightInd w:val="0"/>
        <w:spacing w:line="420" w:lineRule="exact"/>
        <w:rPr>
          <w:rFonts w:ascii="仿宋" w:hAnsi="仿宋" w:eastAsia="仿宋"/>
          <w:color w:val="000000"/>
          <w:sz w:val="24"/>
          <w:highlight w:val="none"/>
        </w:rPr>
      </w:pPr>
    </w:p>
    <w:p>
      <w:pPr>
        <w:autoSpaceDE w:val="0"/>
        <w:autoSpaceDN w:val="0"/>
        <w:adjustRightInd w:val="0"/>
        <w:spacing w:line="420" w:lineRule="exact"/>
        <w:rPr>
          <w:rFonts w:hint="eastAsia" w:ascii="仿宋" w:hAnsi="仿宋" w:eastAsia="仿宋"/>
          <w:color w:val="000000"/>
          <w:sz w:val="24"/>
          <w:highlight w:val="none"/>
        </w:rPr>
      </w:pPr>
      <w:r>
        <w:rPr>
          <w:rFonts w:hint="eastAsia" w:ascii="仿宋" w:hAnsi="仿宋" w:eastAsia="仿宋"/>
          <w:color w:val="000000"/>
          <w:sz w:val="24"/>
          <w:highlight w:val="none"/>
        </w:rPr>
        <w:t>二、主要技术参数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3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pPr>
              <w:autoSpaceDE w:val="0"/>
              <w:autoSpaceDN w:val="0"/>
              <w:adjustRightInd w:val="0"/>
              <w:spacing w:line="420" w:lineRule="exact"/>
              <w:jc w:val="center"/>
              <w:rPr>
                <w:rFonts w:ascii="仿宋" w:hAnsi="仿宋" w:eastAsia="仿宋"/>
                <w:b/>
                <w:bCs/>
                <w:color w:val="000000"/>
                <w:sz w:val="24"/>
                <w:highlight w:val="none"/>
              </w:rPr>
            </w:pPr>
            <w:bookmarkStart w:id="7" w:name="_Hlk117275482"/>
            <w:r>
              <w:rPr>
                <w:rFonts w:hint="eastAsia" w:ascii="仿宋" w:hAnsi="仿宋" w:eastAsia="仿宋"/>
                <w:b/>
                <w:bCs/>
                <w:color w:val="000000"/>
                <w:sz w:val="24"/>
                <w:highlight w:val="none"/>
              </w:rPr>
              <w:t>序号</w:t>
            </w:r>
          </w:p>
        </w:tc>
        <w:tc>
          <w:tcPr>
            <w:tcW w:w="1703" w:type="dxa"/>
            <w:vAlign w:val="center"/>
          </w:tcPr>
          <w:p>
            <w:pPr>
              <w:autoSpaceDE w:val="0"/>
              <w:autoSpaceDN w:val="0"/>
              <w:adjustRightInd w:val="0"/>
              <w:spacing w:line="420" w:lineRule="exact"/>
              <w:jc w:val="center"/>
              <w:rPr>
                <w:rFonts w:ascii="仿宋" w:hAnsi="仿宋" w:eastAsia="仿宋"/>
                <w:b/>
                <w:bCs/>
                <w:color w:val="000000"/>
                <w:sz w:val="24"/>
                <w:highlight w:val="none"/>
              </w:rPr>
            </w:pPr>
            <w:r>
              <w:rPr>
                <w:rFonts w:hint="eastAsia" w:ascii="仿宋" w:hAnsi="仿宋" w:eastAsia="仿宋"/>
                <w:b/>
                <w:bCs/>
                <w:color w:val="000000"/>
                <w:sz w:val="24"/>
                <w:highlight w:val="none"/>
              </w:rPr>
              <w:t>设备名称</w:t>
            </w:r>
          </w:p>
        </w:tc>
        <w:tc>
          <w:tcPr>
            <w:tcW w:w="1704" w:type="dxa"/>
            <w:vAlign w:val="center"/>
          </w:tcPr>
          <w:p>
            <w:pPr>
              <w:autoSpaceDE w:val="0"/>
              <w:autoSpaceDN w:val="0"/>
              <w:adjustRightInd w:val="0"/>
              <w:spacing w:line="420" w:lineRule="exact"/>
              <w:jc w:val="center"/>
              <w:rPr>
                <w:rFonts w:ascii="仿宋" w:hAnsi="仿宋" w:eastAsia="仿宋"/>
                <w:b/>
                <w:bCs/>
                <w:color w:val="000000"/>
                <w:sz w:val="24"/>
                <w:highlight w:val="none"/>
              </w:rPr>
            </w:pPr>
            <w:r>
              <w:rPr>
                <w:rFonts w:hint="eastAsia" w:ascii="仿宋" w:hAnsi="仿宋" w:eastAsia="仿宋"/>
                <w:b/>
                <w:bCs/>
                <w:color w:val="000000"/>
                <w:sz w:val="24"/>
                <w:highlight w:val="none"/>
              </w:rPr>
              <w:t>部件</w:t>
            </w:r>
          </w:p>
        </w:tc>
        <w:tc>
          <w:tcPr>
            <w:tcW w:w="3408" w:type="dxa"/>
            <w:vAlign w:val="center"/>
          </w:tcPr>
          <w:p>
            <w:pPr>
              <w:autoSpaceDE w:val="0"/>
              <w:autoSpaceDN w:val="0"/>
              <w:adjustRightInd w:val="0"/>
              <w:spacing w:line="420" w:lineRule="exact"/>
              <w:jc w:val="center"/>
              <w:rPr>
                <w:rFonts w:ascii="仿宋" w:hAnsi="仿宋" w:eastAsia="仿宋"/>
                <w:b/>
                <w:bCs/>
                <w:color w:val="000000"/>
                <w:sz w:val="24"/>
                <w:highlight w:val="none"/>
              </w:rPr>
            </w:pPr>
            <w:r>
              <w:rPr>
                <w:rFonts w:hint="eastAsia" w:asciiTheme="minorEastAsia" w:hAnsiTheme="minorEastAsia" w:cstheme="minorEastAsia"/>
                <w:b/>
                <w:bCs/>
                <w:color w:val="000000"/>
                <w:sz w:val="20"/>
                <w:szCs w:val="20"/>
                <w:highlight w:val="none"/>
              </w:rPr>
              <w:t>主要技术参数与要求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restart"/>
            <w:vAlign w:val="center"/>
          </w:tcPr>
          <w:p>
            <w:pPr>
              <w:autoSpaceDE w:val="0"/>
              <w:autoSpaceDN w:val="0"/>
              <w:adjustRightInd w:val="0"/>
              <w:spacing w:line="420" w:lineRule="exact"/>
              <w:jc w:val="center"/>
              <w:rPr>
                <w:rFonts w:asciiTheme="minorEastAsia" w:hAnsiTheme="minorEastAsia" w:cstheme="minorEastAsia"/>
                <w:color w:val="000000"/>
                <w:sz w:val="20"/>
                <w:szCs w:val="20"/>
                <w:highlight w:val="none"/>
              </w:rPr>
            </w:pPr>
            <w:r>
              <w:rPr>
                <w:rFonts w:hint="eastAsia" w:asciiTheme="minorEastAsia" w:hAnsiTheme="minorEastAsia" w:cstheme="minorEastAsia"/>
                <w:color w:val="000000"/>
                <w:sz w:val="20"/>
                <w:szCs w:val="20"/>
                <w:highlight w:val="none"/>
              </w:rPr>
              <w:t>1</w:t>
            </w:r>
          </w:p>
        </w:tc>
        <w:tc>
          <w:tcPr>
            <w:tcW w:w="1703" w:type="dxa"/>
            <w:vMerge w:val="restart"/>
            <w:vAlign w:val="center"/>
          </w:tcPr>
          <w:p>
            <w:pPr>
              <w:autoSpaceDE w:val="0"/>
              <w:autoSpaceDN w:val="0"/>
              <w:adjustRightInd w:val="0"/>
              <w:spacing w:line="420" w:lineRule="exact"/>
              <w:jc w:val="center"/>
              <w:rPr>
                <w:rFonts w:asciiTheme="minorEastAsia" w:hAnsiTheme="minorEastAsia" w:cstheme="minorEastAsia"/>
                <w:color w:val="000000"/>
                <w:sz w:val="20"/>
                <w:szCs w:val="20"/>
                <w:highlight w:val="none"/>
              </w:rPr>
            </w:pPr>
            <w:r>
              <w:rPr>
                <w:rFonts w:hint="eastAsia" w:asciiTheme="minorEastAsia" w:hAnsiTheme="minorEastAsia" w:cstheme="minorEastAsia"/>
                <w:color w:val="000000"/>
                <w:sz w:val="20"/>
                <w:szCs w:val="20"/>
                <w:highlight w:val="none"/>
              </w:rPr>
              <w:t>大数据智能安全平台</w:t>
            </w:r>
          </w:p>
        </w:tc>
        <w:tc>
          <w:tcPr>
            <w:tcW w:w="1704" w:type="dxa"/>
            <w:vAlign w:val="center"/>
          </w:tcPr>
          <w:p>
            <w:pPr>
              <w:autoSpaceDE w:val="0"/>
              <w:autoSpaceDN w:val="0"/>
              <w:adjustRightInd w:val="0"/>
              <w:spacing w:line="420" w:lineRule="exact"/>
              <w:jc w:val="center"/>
              <w:rPr>
                <w:rFonts w:asciiTheme="minorEastAsia" w:hAnsiTheme="minorEastAsia" w:cstheme="minorEastAsia"/>
                <w:color w:val="000000"/>
                <w:sz w:val="20"/>
                <w:szCs w:val="20"/>
                <w:highlight w:val="none"/>
              </w:rPr>
            </w:pPr>
            <w:r>
              <w:rPr>
                <w:rFonts w:hint="eastAsia" w:asciiTheme="minorEastAsia" w:hAnsiTheme="minorEastAsia" w:cstheme="minorEastAsia"/>
                <w:color w:val="000000"/>
                <w:sz w:val="20"/>
                <w:szCs w:val="20"/>
                <w:highlight w:val="none"/>
              </w:rPr>
              <w:t>平台软件</w:t>
            </w:r>
          </w:p>
        </w:tc>
        <w:tc>
          <w:tcPr>
            <w:tcW w:w="3408" w:type="dxa"/>
            <w:vAlign w:val="center"/>
          </w:tcPr>
          <w:p>
            <w:pPr>
              <w:numPr>
                <w:ilvl w:val="255"/>
                <w:numId w:val="0"/>
              </w:numPr>
              <w:autoSpaceDE w:val="0"/>
              <w:autoSpaceDN w:val="0"/>
              <w:adjustRightInd w:val="0"/>
              <w:rPr>
                <w:rFonts w:asciiTheme="minorEastAsia" w:hAnsiTheme="minorEastAsia" w:cstheme="minorEastAsia"/>
                <w:sz w:val="20"/>
                <w:szCs w:val="20"/>
                <w:highlight w:val="none"/>
              </w:rPr>
            </w:pPr>
            <w:r>
              <w:rPr>
                <w:rFonts w:asciiTheme="minorEastAsia" w:hAnsiTheme="minorEastAsia" w:cstheme="minorEastAsia"/>
                <w:sz w:val="20"/>
                <w:szCs w:val="20"/>
                <w:highlight w:val="none"/>
              </w:rPr>
              <w:t>1</w:t>
            </w:r>
            <w:r>
              <w:rPr>
                <w:rFonts w:hint="eastAsia" w:asciiTheme="minorEastAsia" w:hAnsiTheme="minorEastAsia" w:cstheme="minorEastAsia"/>
                <w:sz w:val="20"/>
                <w:szCs w:val="20"/>
                <w:highlight w:val="none"/>
              </w:rPr>
              <w:t>、产品应具备安全设备监管、审计管理、自身安全、资产管理、数据采集、安全分析、态势展示、告警管理、知识库管理、状态监控等基础能力；</w:t>
            </w:r>
          </w:p>
          <w:p>
            <w:pPr>
              <w:numPr>
                <w:ilvl w:val="255"/>
                <w:numId w:val="0"/>
              </w:numPr>
              <w:autoSpaceDE w:val="0"/>
              <w:autoSpaceDN w:val="0"/>
              <w:adjustRightInd w:val="0"/>
              <w:rPr>
                <w:rFonts w:asciiTheme="minorEastAsia" w:hAnsiTheme="minorEastAsia" w:cstheme="minorEastAsia"/>
                <w:sz w:val="20"/>
                <w:szCs w:val="20"/>
                <w:highlight w:val="none"/>
              </w:rPr>
            </w:pPr>
            <w:r>
              <w:rPr>
                <w:rFonts w:asciiTheme="minorEastAsia" w:hAnsiTheme="minorEastAsia" w:cstheme="minorEastAsia"/>
                <w:sz w:val="20"/>
                <w:szCs w:val="20"/>
                <w:highlight w:val="none"/>
              </w:rPr>
              <w:t>2</w:t>
            </w:r>
            <w:r>
              <w:rPr>
                <w:rFonts w:hint="eastAsia" w:asciiTheme="minorEastAsia" w:hAnsiTheme="minorEastAsia" w:cstheme="minorEastAsia"/>
                <w:sz w:val="20"/>
                <w:szCs w:val="20"/>
                <w:highlight w:val="none"/>
              </w:rPr>
              <w:t>、支持基于</w:t>
            </w:r>
            <w:r>
              <w:rPr>
                <w:rFonts w:asciiTheme="minorEastAsia" w:hAnsiTheme="minorEastAsia" w:cstheme="minorEastAsia"/>
                <w:sz w:val="20"/>
                <w:szCs w:val="20"/>
                <w:highlight w:val="none"/>
              </w:rPr>
              <w:t>IP</w:t>
            </w:r>
            <w:r>
              <w:rPr>
                <w:rFonts w:hint="eastAsia" w:asciiTheme="minorEastAsia" w:hAnsiTheme="minorEastAsia" w:cstheme="minorEastAsia"/>
                <w:sz w:val="20"/>
                <w:szCs w:val="20"/>
                <w:highlight w:val="none"/>
              </w:rPr>
              <w:t>的威胁狩猎，实现风险钻取分析功能，可根据攻击者和受害者等不同纬度的风险要素对整网安全进行逐层分析和逐级追踪，可以从系统内所有的</w:t>
            </w:r>
            <w:r>
              <w:rPr>
                <w:rFonts w:asciiTheme="minorEastAsia" w:hAnsiTheme="minorEastAsia" w:cstheme="minorEastAsia"/>
                <w:sz w:val="20"/>
                <w:szCs w:val="20"/>
                <w:highlight w:val="none"/>
              </w:rPr>
              <w:t>IP</w:t>
            </w:r>
            <w:r>
              <w:rPr>
                <w:rFonts w:hint="eastAsia" w:asciiTheme="minorEastAsia" w:hAnsiTheme="minorEastAsia" w:cstheme="minorEastAsia"/>
                <w:sz w:val="20"/>
                <w:szCs w:val="20"/>
                <w:highlight w:val="none"/>
              </w:rPr>
              <w:t>进行下钻分析，聚合关联与该</w:t>
            </w:r>
            <w:r>
              <w:rPr>
                <w:rFonts w:asciiTheme="minorEastAsia" w:hAnsiTheme="minorEastAsia" w:cstheme="minorEastAsia"/>
                <w:sz w:val="20"/>
                <w:szCs w:val="20"/>
                <w:highlight w:val="none"/>
              </w:rPr>
              <w:t>IP</w:t>
            </w:r>
            <w:r>
              <w:rPr>
                <w:rFonts w:hint="eastAsia" w:asciiTheme="minorEastAsia" w:hAnsiTheme="minorEastAsia" w:cstheme="minorEastAsia"/>
                <w:sz w:val="20"/>
                <w:szCs w:val="20"/>
                <w:highlight w:val="none"/>
              </w:rPr>
              <w:t>相关的所有安全告警与访问信息，以时序方式呈现资产遭受的攻击全过程；同时具备一键快照能力：支持创建、修改、删除狩猎报告，支持将星空图及系统中的异常元素，一键添加到威胁狩猎报告内容中；</w:t>
            </w:r>
            <w:r>
              <w:rPr>
                <w:rFonts w:asciiTheme="minorEastAsia" w:hAnsiTheme="minorEastAsia" w:cstheme="minorEastAsia"/>
                <w:sz w:val="20"/>
                <w:szCs w:val="20"/>
                <w:highlight w:val="none"/>
              </w:rPr>
              <w:t xml:space="preserve"> </w:t>
            </w:r>
          </w:p>
          <w:p>
            <w:pPr>
              <w:numPr>
                <w:ilvl w:val="255"/>
                <w:numId w:val="0"/>
              </w:numPr>
              <w:autoSpaceDE w:val="0"/>
              <w:autoSpaceDN w:val="0"/>
              <w:adjustRightInd w:val="0"/>
              <w:rPr>
                <w:rFonts w:asciiTheme="minorEastAsia" w:hAnsiTheme="minorEastAsia" w:cstheme="minorEastAsia"/>
                <w:sz w:val="20"/>
                <w:szCs w:val="20"/>
                <w:highlight w:val="none"/>
              </w:rPr>
            </w:pPr>
            <w:r>
              <w:rPr>
                <w:rFonts w:asciiTheme="minorEastAsia" w:hAnsiTheme="minorEastAsia" w:cstheme="minorEastAsia"/>
                <w:sz w:val="20"/>
                <w:szCs w:val="20"/>
                <w:highlight w:val="none"/>
              </w:rPr>
              <w:t>3</w:t>
            </w:r>
            <w:r>
              <w:rPr>
                <w:rFonts w:hint="eastAsia" w:asciiTheme="minorEastAsia" w:hAnsiTheme="minorEastAsia" w:cstheme="minorEastAsia"/>
                <w:sz w:val="20"/>
                <w:szCs w:val="20"/>
                <w:highlight w:val="none"/>
              </w:rPr>
              <w:t>、支持对告警进行处置，包括确认、加入白名单、封堵操作，支持多条件查询，支持图表和列表联动，支持钻取至告警详情，综合展示告警信息攻击模型，访问关系图，危害和处置建议，告警历程，告警溯源信息和关联的原始日志，支持钻取到日志中心进行详细分析；</w:t>
            </w:r>
          </w:p>
          <w:p>
            <w:pPr>
              <w:numPr>
                <w:ilvl w:val="255"/>
                <w:numId w:val="0"/>
              </w:numPr>
              <w:autoSpaceDE w:val="0"/>
              <w:autoSpaceDN w:val="0"/>
              <w:adjustRightInd w:val="0"/>
              <w:rPr>
                <w:rFonts w:asciiTheme="minorEastAsia" w:hAnsiTheme="minorEastAsia" w:cstheme="minorEastAsia"/>
                <w:sz w:val="20"/>
                <w:szCs w:val="20"/>
                <w:highlight w:val="none"/>
              </w:rPr>
            </w:pPr>
            <w:r>
              <w:rPr>
                <w:rFonts w:asciiTheme="minorEastAsia" w:hAnsiTheme="minorEastAsia" w:cstheme="minorEastAsia"/>
                <w:sz w:val="20"/>
                <w:szCs w:val="20"/>
                <w:highlight w:val="none"/>
              </w:rPr>
              <w:t>4</w:t>
            </w:r>
            <w:r>
              <w:rPr>
                <w:rFonts w:hint="eastAsia" w:asciiTheme="minorEastAsia" w:hAnsiTheme="minorEastAsia" w:cstheme="minorEastAsia"/>
                <w:sz w:val="20"/>
                <w:szCs w:val="20"/>
                <w:highlight w:val="none"/>
              </w:rPr>
              <w:t>、支持告警类型与剧本关联，一旦触发告警，可联动执行相应剧本；</w:t>
            </w:r>
          </w:p>
          <w:p>
            <w:pPr>
              <w:numPr>
                <w:ilvl w:val="255"/>
                <w:numId w:val="0"/>
              </w:numPr>
              <w:autoSpaceDE w:val="0"/>
              <w:autoSpaceDN w:val="0"/>
              <w:adjustRightInd w:val="0"/>
              <w:rPr>
                <w:rFonts w:asciiTheme="minorEastAsia" w:hAnsiTheme="minorEastAsia" w:cstheme="minorEastAsia"/>
                <w:sz w:val="20"/>
                <w:szCs w:val="20"/>
                <w:highlight w:val="none"/>
              </w:rPr>
            </w:pPr>
            <w:r>
              <w:rPr>
                <w:rFonts w:asciiTheme="minorEastAsia" w:hAnsiTheme="minorEastAsia" w:cstheme="minorEastAsia"/>
                <w:sz w:val="20"/>
                <w:szCs w:val="20"/>
                <w:highlight w:val="none"/>
              </w:rPr>
              <w:t>5</w:t>
            </w:r>
            <w:r>
              <w:rPr>
                <w:rFonts w:hint="eastAsia" w:asciiTheme="minorEastAsia" w:hAnsiTheme="minorEastAsia" w:cstheme="minorEastAsia"/>
                <w:sz w:val="20"/>
                <w:szCs w:val="20"/>
                <w:highlight w:val="none"/>
              </w:rPr>
              <w:t>、支持联动防火墙、云主机防护、终端防病毒、终端安全管理等产品，实现</w:t>
            </w:r>
            <w:r>
              <w:rPr>
                <w:rFonts w:asciiTheme="minorEastAsia" w:hAnsiTheme="minorEastAsia" w:cstheme="minorEastAsia"/>
                <w:sz w:val="20"/>
                <w:szCs w:val="20"/>
                <w:highlight w:val="none"/>
              </w:rPr>
              <w:t>IP/URL/</w:t>
            </w:r>
            <w:r>
              <w:rPr>
                <w:rFonts w:hint="eastAsia" w:asciiTheme="minorEastAsia" w:hAnsiTheme="minorEastAsia" w:cstheme="minorEastAsia"/>
                <w:sz w:val="20"/>
                <w:szCs w:val="20"/>
                <w:highlight w:val="none"/>
              </w:rPr>
              <w:t>域名封堵、病毒查杀、主机隔离、虚拟补丁、挖矿防护等能力；</w:t>
            </w:r>
          </w:p>
          <w:p>
            <w:pPr>
              <w:numPr>
                <w:ilvl w:val="255"/>
                <w:numId w:val="0"/>
              </w:numPr>
              <w:autoSpaceDE w:val="0"/>
              <w:autoSpaceDN w:val="0"/>
              <w:adjustRightInd w:val="0"/>
              <w:rPr>
                <w:rFonts w:asciiTheme="minorEastAsia" w:hAnsiTheme="minorEastAsia" w:cstheme="minorEastAsia"/>
                <w:sz w:val="20"/>
                <w:szCs w:val="20"/>
                <w:highlight w:val="none"/>
              </w:rPr>
            </w:pPr>
            <w:r>
              <w:rPr>
                <w:rFonts w:asciiTheme="minorEastAsia" w:hAnsiTheme="minorEastAsia" w:cstheme="minorEastAsia"/>
                <w:sz w:val="20"/>
                <w:szCs w:val="20"/>
                <w:highlight w:val="none"/>
              </w:rPr>
              <w:t>6</w:t>
            </w:r>
            <w:r>
              <w:rPr>
                <w:rFonts w:hint="eastAsia" w:asciiTheme="minorEastAsia" w:hAnsiTheme="minorEastAsia" w:cstheme="minorEastAsia"/>
                <w:sz w:val="20"/>
                <w:szCs w:val="20"/>
                <w:highlight w:val="none"/>
              </w:rPr>
              <w:t>、支持以插件形式接入第三方产品的联动处置功能，支持插件热插拔，插件数量不低于</w:t>
            </w:r>
            <w:r>
              <w:rPr>
                <w:rFonts w:asciiTheme="minorEastAsia" w:hAnsiTheme="minorEastAsia" w:cstheme="minorEastAsia"/>
                <w:sz w:val="20"/>
                <w:szCs w:val="20"/>
                <w:highlight w:val="none"/>
              </w:rPr>
              <w:t>100</w:t>
            </w:r>
            <w:r>
              <w:rPr>
                <w:rFonts w:hint="eastAsia" w:asciiTheme="minorEastAsia" w:hAnsiTheme="minorEastAsia" w:cstheme="minorEastAsia"/>
                <w:sz w:val="20"/>
                <w:szCs w:val="20"/>
                <w:highlight w:val="none"/>
              </w:rPr>
              <w:t>种；</w:t>
            </w:r>
          </w:p>
          <w:p>
            <w:pPr>
              <w:numPr>
                <w:ilvl w:val="255"/>
                <w:numId w:val="0"/>
              </w:numPr>
              <w:autoSpaceDE w:val="0"/>
              <w:autoSpaceDN w:val="0"/>
              <w:adjustRightInd w:val="0"/>
              <w:rPr>
                <w:rFonts w:asciiTheme="minorEastAsia" w:hAnsiTheme="minorEastAsia" w:cstheme="minorEastAsia"/>
                <w:sz w:val="20"/>
                <w:szCs w:val="20"/>
                <w:highlight w:val="none"/>
              </w:rPr>
            </w:pPr>
            <w:r>
              <w:rPr>
                <w:rFonts w:asciiTheme="minorEastAsia" w:hAnsiTheme="minorEastAsia" w:cstheme="minorEastAsia"/>
                <w:sz w:val="20"/>
                <w:szCs w:val="20"/>
                <w:highlight w:val="none"/>
              </w:rPr>
              <w:t>7</w:t>
            </w:r>
            <w:r>
              <w:rPr>
                <w:rFonts w:hint="eastAsia" w:asciiTheme="minorEastAsia" w:hAnsiTheme="minorEastAsia" w:cstheme="minorEastAsia"/>
                <w:sz w:val="20"/>
                <w:szCs w:val="20"/>
                <w:highlight w:val="none"/>
              </w:rPr>
              <w:t>、支持剧本自定义编排，提供自动处置、人工处置节点；</w:t>
            </w:r>
          </w:p>
          <w:p>
            <w:pPr>
              <w:numPr>
                <w:ilvl w:val="255"/>
                <w:numId w:val="0"/>
              </w:numPr>
              <w:autoSpaceDE w:val="0"/>
              <w:autoSpaceDN w:val="0"/>
              <w:adjustRightInd w:val="0"/>
              <w:rPr>
                <w:rFonts w:asciiTheme="minorEastAsia" w:hAnsiTheme="minorEastAsia" w:cstheme="minorEastAsia"/>
                <w:sz w:val="20"/>
                <w:szCs w:val="20"/>
                <w:highlight w:val="none"/>
              </w:rPr>
            </w:pPr>
            <w:r>
              <w:rPr>
                <w:rFonts w:asciiTheme="minorEastAsia" w:hAnsiTheme="minorEastAsia" w:cstheme="minorEastAsia"/>
                <w:sz w:val="20"/>
                <w:szCs w:val="20"/>
                <w:highlight w:val="none"/>
              </w:rPr>
              <w:t>8</w:t>
            </w:r>
            <w:r>
              <w:rPr>
                <w:rFonts w:hint="eastAsia" w:asciiTheme="minorEastAsia" w:hAnsiTheme="minorEastAsia" w:cstheme="minorEastAsia"/>
                <w:sz w:val="20"/>
                <w:szCs w:val="20"/>
                <w:highlight w:val="none"/>
              </w:rPr>
              <w:t>、支持剧本任务执行，提供一键封禁、一键查杀、补丁联动、挖矿防护等剧本；</w:t>
            </w:r>
          </w:p>
          <w:p>
            <w:pPr>
              <w:numPr>
                <w:ilvl w:val="255"/>
                <w:numId w:val="0"/>
              </w:numPr>
              <w:autoSpaceDE w:val="0"/>
              <w:autoSpaceDN w:val="0"/>
              <w:adjustRightInd w:val="0"/>
              <w:rPr>
                <w:rFonts w:asciiTheme="minorEastAsia" w:hAnsiTheme="minorEastAsia" w:cstheme="minorEastAsia"/>
                <w:sz w:val="20"/>
                <w:szCs w:val="20"/>
                <w:highlight w:val="none"/>
              </w:rPr>
            </w:pPr>
            <w:r>
              <w:rPr>
                <w:rFonts w:asciiTheme="minorEastAsia" w:hAnsiTheme="minorEastAsia" w:cstheme="minorEastAsia"/>
                <w:sz w:val="20"/>
                <w:szCs w:val="20"/>
                <w:highlight w:val="none"/>
              </w:rPr>
              <w:t>9</w:t>
            </w:r>
            <w:r>
              <w:rPr>
                <w:rFonts w:hint="eastAsia" w:asciiTheme="minorEastAsia" w:hAnsiTheme="minorEastAsia" w:cstheme="minorEastAsia"/>
                <w:sz w:val="20"/>
                <w:szCs w:val="20"/>
                <w:highlight w:val="none"/>
              </w:rPr>
              <w:t>、支持剧本执行历史查询，单剧本可查看执行轨迹。</w:t>
            </w:r>
          </w:p>
          <w:p>
            <w:pPr>
              <w:numPr>
                <w:ilvl w:val="255"/>
                <w:numId w:val="0"/>
              </w:numPr>
              <w:autoSpaceDE w:val="0"/>
              <w:autoSpaceDN w:val="0"/>
              <w:adjustRightInd w:val="0"/>
              <w:rPr>
                <w:rFonts w:asciiTheme="minorEastAsia" w:hAnsiTheme="minorEastAsia" w:cstheme="minorEastAsia"/>
                <w:sz w:val="20"/>
                <w:szCs w:val="20"/>
                <w:highlight w:val="none"/>
              </w:rPr>
            </w:pPr>
            <w:r>
              <w:rPr>
                <w:rFonts w:asciiTheme="minorEastAsia" w:hAnsiTheme="minorEastAsia" w:cstheme="minorEastAsia"/>
                <w:sz w:val="20"/>
                <w:szCs w:val="20"/>
                <w:highlight w:val="none"/>
              </w:rPr>
              <w:t>10</w:t>
            </w:r>
            <w:r>
              <w:rPr>
                <w:rFonts w:hint="eastAsia" w:asciiTheme="minorEastAsia" w:hAnsiTheme="minorEastAsia" w:cstheme="minorEastAsia"/>
                <w:sz w:val="20"/>
                <w:szCs w:val="20"/>
                <w:highlight w:val="none"/>
              </w:rPr>
              <w:t>、支持</w:t>
            </w:r>
            <w:r>
              <w:rPr>
                <w:rFonts w:asciiTheme="minorEastAsia" w:hAnsiTheme="minorEastAsia" w:cstheme="minorEastAsia"/>
                <w:sz w:val="20"/>
                <w:szCs w:val="20"/>
                <w:highlight w:val="none"/>
              </w:rPr>
              <w:t>DGA</w:t>
            </w:r>
            <w:r>
              <w:rPr>
                <w:rFonts w:hint="eastAsia" w:asciiTheme="minorEastAsia" w:hAnsiTheme="minorEastAsia" w:cstheme="minorEastAsia"/>
                <w:sz w:val="20"/>
                <w:szCs w:val="20"/>
                <w:highlight w:val="none"/>
              </w:rPr>
              <w:t>域名检测、</w:t>
            </w:r>
            <w:r>
              <w:rPr>
                <w:rFonts w:asciiTheme="minorEastAsia" w:hAnsiTheme="minorEastAsia" w:cstheme="minorEastAsia"/>
                <w:sz w:val="20"/>
                <w:szCs w:val="20"/>
                <w:highlight w:val="none"/>
              </w:rPr>
              <w:t>DNS</w:t>
            </w:r>
            <w:r>
              <w:rPr>
                <w:rFonts w:hint="eastAsia" w:asciiTheme="minorEastAsia" w:hAnsiTheme="minorEastAsia" w:cstheme="minorEastAsia"/>
                <w:sz w:val="20"/>
                <w:szCs w:val="20"/>
                <w:highlight w:val="none"/>
              </w:rPr>
              <w:t>隐蔽通道检测、</w:t>
            </w:r>
            <w:r>
              <w:rPr>
                <w:rFonts w:asciiTheme="minorEastAsia" w:hAnsiTheme="minorEastAsia" w:cstheme="minorEastAsia"/>
                <w:sz w:val="20"/>
                <w:szCs w:val="20"/>
                <w:highlight w:val="none"/>
              </w:rPr>
              <w:t>WebShell</w:t>
            </w:r>
            <w:r>
              <w:rPr>
                <w:rFonts w:hint="eastAsia" w:asciiTheme="minorEastAsia" w:hAnsiTheme="minorEastAsia" w:cstheme="minorEastAsia"/>
                <w:sz w:val="20"/>
                <w:szCs w:val="20"/>
                <w:highlight w:val="none"/>
              </w:rPr>
              <w:t>攻击检测等高级威胁场景，同时支持展示建模过程的数据流向，确保模型的准确性；</w:t>
            </w:r>
          </w:p>
          <w:p>
            <w:pPr>
              <w:numPr>
                <w:ilvl w:val="255"/>
                <w:numId w:val="0"/>
              </w:numPr>
              <w:autoSpaceDE w:val="0"/>
              <w:autoSpaceDN w:val="0"/>
              <w:adjustRightInd w:val="0"/>
              <w:rPr>
                <w:rFonts w:asciiTheme="minorEastAsia" w:hAnsiTheme="minorEastAsia" w:cstheme="minorEastAsia"/>
                <w:sz w:val="20"/>
                <w:szCs w:val="20"/>
                <w:highlight w:val="none"/>
              </w:rPr>
            </w:pPr>
            <w:r>
              <w:rPr>
                <w:rFonts w:asciiTheme="minorEastAsia" w:hAnsiTheme="minorEastAsia" w:cstheme="minorEastAsia"/>
                <w:sz w:val="20"/>
                <w:szCs w:val="20"/>
                <w:highlight w:val="none"/>
              </w:rPr>
              <w:t>11</w:t>
            </w:r>
            <w:r>
              <w:rPr>
                <w:rFonts w:hint="eastAsia" w:asciiTheme="minorEastAsia" w:hAnsiTheme="minorEastAsia" w:cstheme="minorEastAsia"/>
                <w:sz w:val="20"/>
                <w:szCs w:val="20"/>
                <w:highlight w:val="none"/>
              </w:rPr>
              <w:t>、支持根据</w:t>
            </w:r>
            <w:r>
              <w:rPr>
                <w:rFonts w:asciiTheme="minorEastAsia" w:hAnsiTheme="minorEastAsia" w:cstheme="minorEastAsia"/>
                <w:sz w:val="20"/>
                <w:szCs w:val="20"/>
                <w:highlight w:val="none"/>
              </w:rPr>
              <w:t>IP</w:t>
            </w:r>
            <w:r>
              <w:rPr>
                <w:rFonts w:hint="eastAsia" w:asciiTheme="minorEastAsia" w:hAnsiTheme="minorEastAsia" w:cstheme="minorEastAsia"/>
                <w:sz w:val="20"/>
                <w:szCs w:val="20"/>
                <w:highlight w:val="none"/>
              </w:rPr>
              <w:t>网段和端口段进行扫描内网的资产信息，能够识别操作系统、开放的端口、开放的服务、</w:t>
            </w:r>
            <w:r>
              <w:rPr>
                <w:rFonts w:asciiTheme="minorEastAsia" w:hAnsiTheme="minorEastAsia" w:cstheme="minorEastAsia"/>
                <w:sz w:val="20"/>
                <w:szCs w:val="20"/>
                <w:highlight w:val="none"/>
              </w:rPr>
              <w:t>MAC</w:t>
            </w:r>
            <w:r>
              <w:rPr>
                <w:rFonts w:hint="eastAsia" w:asciiTheme="minorEastAsia" w:hAnsiTheme="minorEastAsia" w:cstheme="minorEastAsia"/>
                <w:sz w:val="20"/>
                <w:szCs w:val="20"/>
                <w:highlight w:val="none"/>
              </w:rPr>
              <w:t>地址、资产名称，所得的资产数据可以自动或者人工确认装载到资产数据库进行统一管理；</w:t>
            </w:r>
          </w:p>
          <w:p>
            <w:pPr>
              <w:numPr>
                <w:ilvl w:val="255"/>
                <w:numId w:val="0"/>
              </w:numPr>
              <w:autoSpaceDE w:val="0"/>
              <w:autoSpaceDN w:val="0"/>
              <w:adjustRightInd w:val="0"/>
              <w:rPr>
                <w:rFonts w:asciiTheme="minorEastAsia" w:hAnsiTheme="minorEastAsia" w:cstheme="minorEastAsia"/>
                <w:sz w:val="20"/>
                <w:szCs w:val="20"/>
                <w:highlight w:val="none"/>
              </w:rPr>
            </w:pPr>
            <w:r>
              <w:rPr>
                <w:rFonts w:asciiTheme="minorEastAsia" w:hAnsiTheme="minorEastAsia" w:cstheme="minorEastAsia"/>
                <w:sz w:val="20"/>
                <w:szCs w:val="20"/>
                <w:highlight w:val="none"/>
              </w:rPr>
              <w:t>12</w:t>
            </w:r>
            <w:r>
              <w:rPr>
                <w:rFonts w:hint="eastAsia" w:asciiTheme="minorEastAsia" w:hAnsiTheme="minorEastAsia" w:cstheme="minorEastAsia"/>
                <w:sz w:val="20"/>
                <w:szCs w:val="20"/>
                <w:highlight w:val="none"/>
              </w:rPr>
              <w:t>、支持根据设定的安全域网段，自动生成网络拓扑，将各类资产及资产间的互访关联关系，以逻辑拓扑的方式进行展现，支持用户手动修改拓扑图摆放位置，支持在拓扑图上展示资产的详细信息；</w:t>
            </w:r>
          </w:p>
          <w:p>
            <w:pPr>
              <w:numPr>
                <w:ilvl w:val="255"/>
                <w:numId w:val="0"/>
              </w:numPr>
              <w:autoSpaceDE w:val="0"/>
              <w:autoSpaceDN w:val="0"/>
              <w:adjustRightInd w:val="0"/>
              <w:rPr>
                <w:rFonts w:asciiTheme="minorEastAsia" w:hAnsiTheme="minorEastAsia" w:cstheme="minorEastAsia"/>
                <w:sz w:val="20"/>
                <w:szCs w:val="20"/>
                <w:highlight w:val="none"/>
              </w:rPr>
            </w:pPr>
            <w:r>
              <w:rPr>
                <w:rFonts w:asciiTheme="minorEastAsia" w:hAnsiTheme="minorEastAsia" w:cstheme="minorEastAsia"/>
                <w:sz w:val="20"/>
                <w:szCs w:val="20"/>
                <w:highlight w:val="none"/>
              </w:rPr>
              <w:t>13</w:t>
            </w:r>
            <w:r>
              <w:rPr>
                <w:rFonts w:hint="eastAsia" w:asciiTheme="minorEastAsia" w:hAnsiTheme="minorEastAsia" w:cstheme="minorEastAsia"/>
                <w:sz w:val="20"/>
                <w:szCs w:val="20"/>
                <w:highlight w:val="none"/>
              </w:rPr>
              <w:t>、提供全局最新未处理告警、未处理事件、未处理工单提示，不受当前打开页面限制；</w:t>
            </w:r>
          </w:p>
          <w:p>
            <w:pPr>
              <w:numPr>
                <w:ilvl w:val="255"/>
                <w:numId w:val="0"/>
              </w:numPr>
              <w:autoSpaceDE w:val="0"/>
              <w:autoSpaceDN w:val="0"/>
              <w:adjustRightInd w:val="0"/>
              <w:rPr>
                <w:rFonts w:asciiTheme="minorEastAsia" w:hAnsiTheme="minorEastAsia" w:cstheme="minorEastAsia"/>
                <w:color w:val="000000"/>
                <w:sz w:val="20"/>
                <w:szCs w:val="20"/>
                <w:highlight w:val="none"/>
              </w:rPr>
            </w:pPr>
            <w:r>
              <w:rPr>
                <w:rFonts w:hint="eastAsia" w:asciiTheme="minorEastAsia" w:hAnsiTheme="minorEastAsia" w:cstheme="minorEastAsia"/>
                <w:sz w:val="20"/>
                <w:szCs w:val="20"/>
                <w:highlight w:val="none"/>
              </w:rPr>
              <w:t>14、支持跳转到详细信息页面，支持更多维度信息查看与处置操作，包括确认、忽略、加白、封堵、剧本关联等。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vAlign w:val="center"/>
          </w:tcPr>
          <w:p>
            <w:pPr>
              <w:autoSpaceDE w:val="0"/>
              <w:autoSpaceDN w:val="0"/>
              <w:adjustRightInd w:val="0"/>
              <w:spacing w:line="420" w:lineRule="exact"/>
              <w:jc w:val="center"/>
              <w:rPr>
                <w:rFonts w:asciiTheme="minorEastAsia" w:hAnsiTheme="minorEastAsia" w:cstheme="minorEastAsia"/>
                <w:color w:val="000000"/>
                <w:sz w:val="20"/>
                <w:szCs w:val="20"/>
                <w:highlight w:val="none"/>
              </w:rPr>
            </w:pPr>
          </w:p>
        </w:tc>
        <w:tc>
          <w:tcPr>
            <w:tcW w:w="1703" w:type="dxa"/>
            <w:vMerge w:val="continue"/>
            <w:vAlign w:val="center"/>
          </w:tcPr>
          <w:p>
            <w:pPr>
              <w:autoSpaceDE w:val="0"/>
              <w:autoSpaceDN w:val="0"/>
              <w:adjustRightInd w:val="0"/>
              <w:spacing w:line="420" w:lineRule="exact"/>
              <w:jc w:val="center"/>
              <w:rPr>
                <w:rFonts w:asciiTheme="minorEastAsia" w:hAnsiTheme="minorEastAsia" w:cstheme="minorEastAsia"/>
                <w:color w:val="000000"/>
                <w:sz w:val="20"/>
                <w:szCs w:val="20"/>
                <w:highlight w:val="none"/>
              </w:rPr>
            </w:pPr>
          </w:p>
        </w:tc>
        <w:tc>
          <w:tcPr>
            <w:tcW w:w="1704" w:type="dxa"/>
            <w:vAlign w:val="center"/>
          </w:tcPr>
          <w:p>
            <w:pPr>
              <w:autoSpaceDE w:val="0"/>
              <w:autoSpaceDN w:val="0"/>
              <w:adjustRightInd w:val="0"/>
              <w:spacing w:line="420" w:lineRule="exact"/>
              <w:jc w:val="center"/>
              <w:rPr>
                <w:rFonts w:asciiTheme="minorEastAsia" w:hAnsiTheme="minorEastAsia" w:cstheme="minorEastAsia"/>
                <w:color w:val="000000"/>
                <w:sz w:val="20"/>
                <w:szCs w:val="20"/>
                <w:highlight w:val="none"/>
              </w:rPr>
            </w:pPr>
            <w:r>
              <w:rPr>
                <w:rFonts w:hint="eastAsia" w:asciiTheme="minorEastAsia" w:hAnsiTheme="minorEastAsia" w:cstheme="minorEastAsia"/>
                <w:color w:val="000000"/>
                <w:sz w:val="20"/>
                <w:szCs w:val="20"/>
                <w:highlight w:val="none"/>
              </w:rPr>
              <w:t>平台硬件</w:t>
            </w:r>
          </w:p>
        </w:tc>
        <w:tc>
          <w:tcPr>
            <w:tcW w:w="3408" w:type="dxa"/>
            <w:vAlign w:val="center"/>
          </w:tcPr>
          <w:p>
            <w:pPr>
              <w:pStyle w:val="2"/>
              <w:numPr>
                <w:ilvl w:val="255"/>
                <w:numId w:val="0"/>
              </w:numPr>
              <w:autoSpaceDE w:val="0"/>
              <w:autoSpaceDN w:val="0"/>
              <w:adjustRightInd w:val="0"/>
              <w:rPr>
                <w:rFonts w:asciiTheme="minorEastAsia" w:hAnsiTheme="minorEastAsia" w:cstheme="minorEastAsia"/>
                <w:color w:val="000000"/>
                <w:sz w:val="20"/>
                <w:szCs w:val="20"/>
                <w:highlight w:val="none"/>
              </w:rPr>
            </w:pPr>
            <w:r>
              <w:rPr>
                <w:rFonts w:hint="eastAsia" w:asciiTheme="minorEastAsia" w:hAnsiTheme="minorEastAsia" w:cstheme="minorEastAsia"/>
                <w:sz w:val="20"/>
                <w:szCs w:val="20"/>
                <w:highlight w:val="none"/>
              </w:rPr>
              <w:t>机架式机箱750W，双电源，2U，内存不低于256G，硬盘不低于4T*12（支持RAID），不低于4个千兆电口。支持至少200个日志源资产，支持不低于2GB的镜像流量，数据采集和处理性能≥20000EPS；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703" w:type="dxa"/>
            <w:vMerge w:val="continue"/>
            <w:vAlign w:val="center"/>
          </w:tcPr>
          <w:p>
            <w:pPr>
              <w:autoSpaceDE w:val="0"/>
              <w:autoSpaceDN w:val="0"/>
              <w:adjustRightInd w:val="0"/>
              <w:spacing w:line="420" w:lineRule="exact"/>
              <w:jc w:val="center"/>
              <w:rPr>
                <w:rFonts w:asciiTheme="minorEastAsia" w:hAnsiTheme="minorEastAsia" w:cstheme="minorEastAsia"/>
                <w:color w:val="000000"/>
                <w:sz w:val="20"/>
                <w:szCs w:val="20"/>
                <w:highlight w:val="none"/>
              </w:rPr>
            </w:pPr>
          </w:p>
        </w:tc>
        <w:tc>
          <w:tcPr>
            <w:tcW w:w="1703" w:type="dxa"/>
            <w:vMerge w:val="continue"/>
            <w:vAlign w:val="center"/>
          </w:tcPr>
          <w:p>
            <w:pPr>
              <w:autoSpaceDE w:val="0"/>
              <w:autoSpaceDN w:val="0"/>
              <w:adjustRightInd w:val="0"/>
              <w:spacing w:line="420" w:lineRule="exact"/>
              <w:jc w:val="center"/>
              <w:rPr>
                <w:rFonts w:asciiTheme="minorEastAsia" w:hAnsiTheme="minorEastAsia" w:cstheme="minorEastAsia"/>
                <w:color w:val="000000"/>
                <w:sz w:val="20"/>
                <w:szCs w:val="20"/>
                <w:highlight w:val="none"/>
              </w:rPr>
            </w:pPr>
          </w:p>
        </w:tc>
        <w:tc>
          <w:tcPr>
            <w:tcW w:w="1704" w:type="dxa"/>
            <w:vAlign w:val="center"/>
          </w:tcPr>
          <w:p>
            <w:pPr>
              <w:autoSpaceDE w:val="0"/>
              <w:autoSpaceDN w:val="0"/>
              <w:adjustRightInd w:val="0"/>
              <w:spacing w:line="420" w:lineRule="exact"/>
              <w:jc w:val="center"/>
              <w:rPr>
                <w:rFonts w:asciiTheme="minorEastAsia" w:hAnsiTheme="minorEastAsia" w:cstheme="minorEastAsia"/>
                <w:color w:val="000000"/>
                <w:sz w:val="20"/>
                <w:szCs w:val="20"/>
                <w:highlight w:val="none"/>
              </w:rPr>
            </w:pPr>
            <w:r>
              <w:rPr>
                <w:rFonts w:hint="eastAsia" w:asciiTheme="minorEastAsia" w:hAnsiTheme="minorEastAsia" w:cstheme="minorEastAsia"/>
                <w:color w:val="000000"/>
                <w:sz w:val="20"/>
                <w:szCs w:val="20"/>
                <w:highlight w:val="none"/>
              </w:rPr>
              <w:t>流量监测探针</w:t>
            </w:r>
          </w:p>
        </w:tc>
        <w:tc>
          <w:tcPr>
            <w:tcW w:w="3408" w:type="dxa"/>
            <w:vAlign w:val="center"/>
          </w:tcPr>
          <w:p>
            <w:pPr>
              <w:pStyle w:val="2"/>
              <w:autoSpaceDE w:val="0"/>
              <w:autoSpaceDN w:val="0"/>
              <w:adjustRightInd w:val="0"/>
              <w:rPr>
                <w:sz w:val="20"/>
                <w:szCs w:val="20"/>
                <w:highlight w:val="none"/>
              </w:rPr>
            </w:pPr>
            <w:r>
              <w:rPr>
                <w:sz w:val="20"/>
                <w:szCs w:val="20"/>
                <w:highlight w:val="none"/>
              </w:rPr>
              <w:t>1</w:t>
            </w:r>
            <w:r>
              <w:rPr>
                <w:rFonts w:hint="eastAsia"/>
                <w:sz w:val="20"/>
                <w:szCs w:val="20"/>
                <w:highlight w:val="none"/>
              </w:rPr>
              <w:t>、标准</w:t>
            </w:r>
            <w:r>
              <w:rPr>
                <w:sz w:val="20"/>
                <w:szCs w:val="20"/>
                <w:highlight w:val="none"/>
              </w:rPr>
              <w:t>1U</w:t>
            </w:r>
            <w:r>
              <w:rPr>
                <w:rFonts w:hint="eastAsia"/>
                <w:sz w:val="20"/>
                <w:szCs w:val="20"/>
                <w:highlight w:val="none"/>
              </w:rPr>
              <w:t>软硬件一体化，内存不低于1</w:t>
            </w:r>
            <w:r>
              <w:rPr>
                <w:sz w:val="20"/>
                <w:szCs w:val="20"/>
                <w:highlight w:val="none"/>
              </w:rPr>
              <w:t>6G</w:t>
            </w:r>
            <w:r>
              <w:rPr>
                <w:rFonts w:hint="eastAsia"/>
                <w:sz w:val="20"/>
                <w:szCs w:val="20"/>
                <w:highlight w:val="none"/>
              </w:rPr>
              <w:t>、</w:t>
            </w:r>
            <w:r>
              <w:rPr>
                <w:sz w:val="20"/>
                <w:szCs w:val="20"/>
                <w:highlight w:val="none"/>
              </w:rPr>
              <w:t>GE</w:t>
            </w:r>
            <w:r>
              <w:rPr>
                <w:rFonts w:hint="eastAsia"/>
                <w:sz w:val="20"/>
                <w:szCs w:val="20"/>
                <w:highlight w:val="none"/>
              </w:rPr>
              <w:t>电业务口不低于4个、不低于</w:t>
            </w:r>
            <w:r>
              <w:rPr>
                <w:sz w:val="20"/>
                <w:szCs w:val="20"/>
                <w:highlight w:val="none"/>
              </w:rPr>
              <w:t>2TB</w:t>
            </w:r>
            <w:r>
              <w:rPr>
                <w:rFonts w:hint="eastAsia"/>
                <w:sz w:val="20"/>
                <w:szCs w:val="20"/>
                <w:highlight w:val="none"/>
              </w:rPr>
              <w:t>硬盘，</w:t>
            </w:r>
            <w:r>
              <w:rPr>
                <w:sz w:val="20"/>
                <w:szCs w:val="20"/>
                <w:highlight w:val="none"/>
              </w:rPr>
              <w:t>2*</w:t>
            </w:r>
            <w:r>
              <w:rPr>
                <w:rFonts w:hint="eastAsia"/>
                <w:sz w:val="20"/>
                <w:szCs w:val="20"/>
                <w:highlight w:val="none"/>
              </w:rPr>
              <w:t>电源，吞吐量不低于</w:t>
            </w:r>
            <w:r>
              <w:rPr>
                <w:sz w:val="20"/>
                <w:szCs w:val="20"/>
                <w:highlight w:val="none"/>
              </w:rPr>
              <w:t>1Gbps</w:t>
            </w:r>
            <w:r>
              <w:rPr>
                <w:rFonts w:hint="eastAsia"/>
                <w:sz w:val="20"/>
                <w:szCs w:val="20"/>
                <w:highlight w:val="none"/>
              </w:rPr>
              <w:t>。</w:t>
            </w:r>
          </w:p>
          <w:p>
            <w:pPr>
              <w:pStyle w:val="2"/>
              <w:autoSpaceDE w:val="0"/>
              <w:autoSpaceDN w:val="0"/>
              <w:adjustRightInd w:val="0"/>
              <w:rPr>
                <w:sz w:val="20"/>
                <w:szCs w:val="20"/>
                <w:highlight w:val="none"/>
              </w:rPr>
            </w:pPr>
            <w:r>
              <w:rPr>
                <w:sz w:val="20"/>
                <w:szCs w:val="20"/>
                <w:highlight w:val="none"/>
              </w:rPr>
              <w:t>2</w:t>
            </w:r>
            <w:r>
              <w:rPr>
                <w:rFonts w:hint="eastAsia"/>
                <w:sz w:val="20"/>
                <w:szCs w:val="20"/>
                <w:highlight w:val="none"/>
              </w:rPr>
              <w:t>、产品应具备数据收集、恶意主机扫描行为监测、漏洞攻击监测、恶意程序攻击监测、逃避监测防护、未知威胁监测、动态沙箱分析、事件关联分析、响应处理、审计日志等基础能力；</w:t>
            </w:r>
          </w:p>
          <w:p>
            <w:pPr>
              <w:pStyle w:val="2"/>
              <w:autoSpaceDE w:val="0"/>
              <w:autoSpaceDN w:val="0"/>
              <w:adjustRightInd w:val="0"/>
              <w:rPr>
                <w:sz w:val="20"/>
                <w:szCs w:val="20"/>
                <w:highlight w:val="none"/>
              </w:rPr>
            </w:pPr>
            <w:r>
              <w:rPr>
                <w:sz w:val="20"/>
                <w:szCs w:val="20"/>
                <w:highlight w:val="none"/>
              </w:rPr>
              <w:t>3</w:t>
            </w:r>
            <w:r>
              <w:rPr>
                <w:rFonts w:hint="eastAsia"/>
                <w:sz w:val="20"/>
                <w:szCs w:val="20"/>
                <w:highlight w:val="none"/>
              </w:rPr>
              <w:t>、支持超过</w:t>
            </w:r>
            <w:r>
              <w:rPr>
                <w:sz w:val="20"/>
                <w:szCs w:val="20"/>
                <w:highlight w:val="none"/>
              </w:rPr>
              <w:t xml:space="preserve"> 100 </w:t>
            </w:r>
            <w:r>
              <w:rPr>
                <w:rFonts w:hint="eastAsia"/>
                <w:sz w:val="20"/>
                <w:szCs w:val="20"/>
                <w:highlight w:val="none"/>
              </w:rPr>
              <w:t>种以上的网络协议支持，如</w:t>
            </w:r>
            <w:r>
              <w:rPr>
                <w:sz w:val="20"/>
                <w:szCs w:val="20"/>
                <w:highlight w:val="none"/>
              </w:rPr>
              <w:t xml:space="preserve"> HTTP, FTP, TFTP, SMTP, POP3, IMAP, SNMP, IRC, DNS, DHCP, P2P, SMB, RDP, VNC, TELNET, TCP, UDP</w:t>
            </w:r>
            <w:r>
              <w:rPr>
                <w:rFonts w:hint="eastAsia"/>
                <w:sz w:val="20"/>
                <w:szCs w:val="20"/>
                <w:highlight w:val="none"/>
              </w:rPr>
              <w:t>等协议；</w:t>
            </w:r>
          </w:p>
          <w:p>
            <w:pPr>
              <w:pStyle w:val="2"/>
              <w:autoSpaceDE w:val="0"/>
              <w:autoSpaceDN w:val="0"/>
              <w:adjustRightInd w:val="0"/>
              <w:rPr>
                <w:sz w:val="20"/>
                <w:szCs w:val="20"/>
                <w:highlight w:val="none"/>
              </w:rPr>
            </w:pPr>
            <w:r>
              <w:rPr>
                <w:rFonts w:hint="eastAsia"/>
                <w:sz w:val="20"/>
                <w:szCs w:val="20"/>
                <w:highlight w:val="none"/>
              </w:rPr>
              <w:t>4、提供内置沙箱系统，具有高度定制化，可以支持使用客户环境特性的</w:t>
            </w:r>
            <w:r>
              <w:rPr>
                <w:sz w:val="20"/>
                <w:szCs w:val="20"/>
                <w:highlight w:val="none"/>
              </w:rPr>
              <w:t>Windows</w:t>
            </w:r>
            <w:r>
              <w:rPr>
                <w:rFonts w:hint="eastAsia"/>
                <w:sz w:val="20"/>
                <w:szCs w:val="20"/>
                <w:highlight w:val="none"/>
              </w:rPr>
              <w:t>操作系统平台与应用；</w:t>
            </w:r>
          </w:p>
          <w:p>
            <w:pPr>
              <w:pStyle w:val="2"/>
              <w:autoSpaceDE w:val="0"/>
              <w:autoSpaceDN w:val="0"/>
              <w:adjustRightInd w:val="0"/>
              <w:rPr>
                <w:sz w:val="20"/>
                <w:szCs w:val="20"/>
                <w:highlight w:val="none"/>
              </w:rPr>
            </w:pPr>
            <w:r>
              <w:rPr>
                <w:sz w:val="20"/>
                <w:szCs w:val="20"/>
                <w:highlight w:val="none"/>
              </w:rPr>
              <w:t>5</w:t>
            </w:r>
            <w:r>
              <w:rPr>
                <w:rFonts w:hint="eastAsia"/>
                <w:sz w:val="20"/>
                <w:szCs w:val="20"/>
                <w:highlight w:val="none"/>
              </w:rPr>
              <w:t>、支持</w:t>
            </w:r>
            <w:r>
              <w:rPr>
                <w:sz w:val="20"/>
                <w:szCs w:val="20"/>
                <w:highlight w:val="none"/>
              </w:rPr>
              <w:t>pcap</w:t>
            </w:r>
            <w:r>
              <w:rPr>
                <w:rFonts w:hint="eastAsia"/>
                <w:sz w:val="20"/>
                <w:szCs w:val="20"/>
                <w:highlight w:val="none"/>
              </w:rPr>
              <w:t>回放功能，对导入的</w:t>
            </w:r>
            <w:r>
              <w:rPr>
                <w:sz w:val="20"/>
                <w:szCs w:val="20"/>
                <w:highlight w:val="none"/>
              </w:rPr>
              <w:t>pcap</w:t>
            </w:r>
            <w:r>
              <w:rPr>
                <w:rFonts w:hint="eastAsia"/>
                <w:sz w:val="20"/>
                <w:szCs w:val="20"/>
                <w:highlight w:val="none"/>
              </w:rPr>
              <w:t>进行回放并进行威胁检测，回放产生的告警必须和生产网络流量的告警分页面展示，避免干扰正常安全运营；</w:t>
            </w:r>
          </w:p>
          <w:p>
            <w:pPr>
              <w:pStyle w:val="2"/>
              <w:autoSpaceDE w:val="0"/>
              <w:autoSpaceDN w:val="0"/>
              <w:adjustRightInd w:val="0"/>
              <w:rPr>
                <w:sz w:val="20"/>
                <w:szCs w:val="20"/>
                <w:highlight w:val="none"/>
              </w:rPr>
            </w:pPr>
            <w:r>
              <w:rPr>
                <w:sz w:val="20"/>
                <w:szCs w:val="20"/>
                <w:highlight w:val="none"/>
              </w:rPr>
              <w:t>6</w:t>
            </w:r>
            <w:r>
              <w:rPr>
                <w:rFonts w:hint="eastAsia"/>
                <w:sz w:val="20"/>
                <w:szCs w:val="20"/>
                <w:highlight w:val="none"/>
              </w:rPr>
              <w:t>、能够以文件为中心，溯源整个文件的流转记录，并以图形化方式展示出来；</w:t>
            </w:r>
          </w:p>
          <w:p>
            <w:pPr>
              <w:rPr>
                <w:highlight w:val="none"/>
              </w:rPr>
            </w:pPr>
            <w:r>
              <w:rPr>
                <w:sz w:val="20"/>
                <w:szCs w:val="20"/>
                <w:highlight w:val="none"/>
              </w:rPr>
              <w:t>7</w:t>
            </w:r>
            <w:r>
              <w:rPr>
                <w:rFonts w:hint="eastAsia"/>
                <w:sz w:val="20"/>
                <w:szCs w:val="20"/>
                <w:highlight w:val="none"/>
              </w:rPr>
              <w:t>、支持网络威胁自定义与威胁情报自定义，网络威胁能自主添加规则名称，规则等级与规则类型，语法兼容业界最常用的</w:t>
            </w:r>
            <w:r>
              <w:rPr>
                <w:sz w:val="20"/>
                <w:szCs w:val="20"/>
                <w:highlight w:val="none"/>
              </w:rPr>
              <w:t>snort</w:t>
            </w:r>
            <w:r>
              <w:rPr>
                <w:rFonts w:hint="eastAsia"/>
                <w:sz w:val="20"/>
                <w:szCs w:val="20"/>
                <w:highlight w:val="none"/>
              </w:rPr>
              <w:t>规则的写法。威胁情报自定义包括</w:t>
            </w:r>
            <w:r>
              <w:rPr>
                <w:sz w:val="20"/>
                <w:szCs w:val="20"/>
                <w:highlight w:val="none"/>
              </w:rPr>
              <w:t>IP</w:t>
            </w:r>
            <w:r>
              <w:rPr>
                <w:rFonts w:hint="eastAsia"/>
                <w:sz w:val="20"/>
                <w:szCs w:val="20"/>
                <w:highlight w:val="none"/>
              </w:rPr>
              <w:t>、</w:t>
            </w:r>
            <w:r>
              <w:rPr>
                <w:sz w:val="20"/>
                <w:szCs w:val="20"/>
                <w:highlight w:val="none"/>
              </w:rPr>
              <w:t>URL</w:t>
            </w:r>
            <w:r>
              <w:rPr>
                <w:rFonts w:hint="eastAsia"/>
                <w:sz w:val="20"/>
                <w:szCs w:val="20"/>
                <w:highlight w:val="none"/>
              </w:rPr>
              <w:t>、</w:t>
            </w:r>
            <w:r>
              <w:rPr>
                <w:sz w:val="20"/>
                <w:szCs w:val="20"/>
                <w:highlight w:val="none"/>
              </w:rPr>
              <w:t>DOMAIN</w:t>
            </w:r>
            <w:r>
              <w:rPr>
                <w:rFonts w:hint="eastAsia"/>
                <w:sz w:val="20"/>
                <w:szCs w:val="20"/>
                <w:highlight w:val="none"/>
              </w:rPr>
              <w:t>、文件</w:t>
            </w:r>
            <w:r>
              <w:rPr>
                <w:sz w:val="20"/>
                <w:szCs w:val="20"/>
                <w:highlight w:val="none"/>
              </w:rPr>
              <w:t>HASH</w:t>
            </w:r>
            <w:r>
              <w:rPr>
                <w:rFonts w:hint="eastAsia"/>
                <w:sz w:val="20"/>
                <w:szCs w:val="20"/>
                <w:highlight w:val="none"/>
              </w:rPr>
              <w:t>四种类型，可以根据具体的使用场景进行选择。威胁情报自定义的规则可以支持多个同类对象的集合，比如对多个</w:t>
            </w:r>
            <w:r>
              <w:rPr>
                <w:sz w:val="20"/>
                <w:szCs w:val="20"/>
                <w:highlight w:val="none"/>
              </w:rPr>
              <w:t>IP</w:t>
            </w:r>
            <w:r>
              <w:rPr>
                <w:rFonts w:hint="eastAsia"/>
                <w:sz w:val="20"/>
                <w:szCs w:val="20"/>
                <w:highlight w:val="none"/>
              </w:rPr>
              <w:t>同时进行监控。</w:t>
            </w:r>
          </w:p>
          <w:p>
            <w:pPr>
              <w:rPr>
                <w:highlight w:val="none"/>
              </w:rPr>
            </w:pPr>
          </w:p>
          <w:p>
            <w:pPr>
              <w:pStyle w:val="2"/>
              <w:autoSpaceDE w:val="0"/>
              <w:autoSpaceDN w:val="0"/>
              <w:adjustRightInd w:val="0"/>
              <w:rPr>
                <w:rFonts w:asciiTheme="minorEastAsia" w:hAnsiTheme="minorEastAsia" w:cstheme="minorEastAsia"/>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vAlign w:val="center"/>
          </w:tcPr>
          <w:p>
            <w:pPr>
              <w:autoSpaceDE w:val="0"/>
              <w:autoSpaceDN w:val="0"/>
              <w:adjustRightInd w:val="0"/>
              <w:spacing w:line="420" w:lineRule="exact"/>
              <w:jc w:val="center"/>
              <w:rPr>
                <w:rFonts w:asciiTheme="minorEastAsia" w:hAnsiTheme="minorEastAsia" w:cstheme="minorEastAsia"/>
                <w:color w:val="000000"/>
                <w:sz w:val="20"/>
                <w:szCs w:val="20"/>
                <w:highlight w:val="none"/>
              </w:rPr>
            </w:pPr>
          </w:p>
        </w:tc>
        <w:tc>
          <w:tcPr>
            <w:tcW w:w="1703" w:type="dxa"/>
            <w:vMerge w:val="continue"/>
            <w:vAlign w:val="center"/>
          </w:tcPr>
          <w:p>
            <w:pPr>
              <w:autoSpaceDE w:val="0"/>
              <w:autoSpaceDN w:val="0"/>
              <w:adjustRightInd w:val="0"/>
              <w:spacing w:line="420" w:lineRule="exact"/>
              <w:jc w:val="center"/>
              <w:rPr>
                <w:rFonts w:asciiTheme="minorEastAsia" w:hAnsiTheme="minorEastAsia" w:cstheme="minorEastAsia"/>
                <w:color w:val="000000"/>
                <w:sz w:val="20"/>
                <w:szCs w:val="20"/>
                <w:highlight w:val="none"/>
              </w:rPr>
            </w:pPr>
          </w:p>
        </w:tc>
        <w:tc>
          <w:tcPr>
            <w:tcW w:w="1704" w:type="dxa"/>
            <w:vAlign w:val="center"/>
          </w:tcPr>
          <w:p>
            <w:pPr>
              <w:autoSpaceDE w:val="0"/>
              <w:autoSpaceDN w:val="0"/>
              <w:adjustRightInd w:val="0"/>
              <w:spacing w:line="420" w:lineRule="exact"/>
              <w:jc w:val="center"/>
              <w:rPr>
                <w:rFonts w:asciiTheme="minorEastAsia" w:hAnsiTheme="minorEastAsia" w:cstheme="minorEastAsia"/>
                <w:color w:val="000000"/>
                <w:sz w:val="20"/>
                <w:szCs w:val="20"/>
                <w:highlight w:val="none"/>
              </w:rPr>
            </w:pPr>
            <w:r>
              <w:rPr>
                <w:rFonts w:hint="eastAsia" w:asciiTheme="minorEastAsia" w:hAnsiTheme="minorEastAsia" w:cstheme="minorEastAsia"/>
                <w:color w:val="000000"/>
                <w:sz w:val="20"/>
                <w:szCs w:val="20"/>
                <w:highlight w:val="none"/>
              </w:rPr>
              <w:t>威胁情报订阅模块</w:t>
            </w:r>
          </w:p>
        </w:tc>
        <w:tc>
          <w:tcPr>
            <w:tcW w:w="3408" w:type="dxa"/>
            <w:vAlign w:val="center"/>
          </w:tcPr>
          <w:p>
            <w:pPr>
              <w:autoSpaceDE w:val="0"/>
              <w:autoSpaceDN w:val="0"/>
              <w:adjustRightInd w:val="0"/>
              <w:rPr>
                <w:rFonts w:asciiTheme="minorEastAsia" w:hAnsiTheme="minorEastAsia" w:cstheme="minorEastAsia"/>
                <w:color w:val="000000"/>
                <w:sz w:val="20"/>
                <w:szCs w:val="20"/>
                <w:highlight w:val="none"/>
              </w:rPr>
            </w:pPr>
            <w:r>
              <w:rPr>
                <w:rFonts w:hint="eastAsia" w:asciiTheme="minorEastAsia" w:hAnsiTheme="minorEastAsia" w:cstheme="minorEastAsia"/>
                <w:color w:val="000000"/>
                <w:sz w:val="20"/>
                <w:szCs w:val="20"/>
                <w:highlight w:val="none"/>
              </w:rPr>
              <w:t>具备云端威胁情报订阅模块：内置威胁情报离线库并支持更新；支持采用情报数据进行实时检测防御；支持订阅高级威胁分析情报，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restart"/>
            <w:vAlign w:val="center"/>
          </w:tcPr>
          <w:p>
            <w:pPr>
              <w:autoSpaceDE w:val="0"/>
              <w:autoSpaceDN w:val="0"/>
              <w:adjustRightInd w:val="0"/>
              <w:spacing w:line="420" w:lineRule="exact"/>
              <w:jc w:val="center"/>
              <w:rPr>
                <w:rFonts w:asciiTheme="minorEastAsia" w:hAnsiTheme="minorEastAsia" w:cstheme="minorEastAsia"/>
                <w:color w:val="000000"/>
                <w:sz w:val="20"/>
                <w:szCs w:val="20"/>
                <w:highlight w:val="none"/>
              </w:rPr>
            </w:pPr>
            <w:r>
              <w:rPr>
                <w:rFonts w:hint="eastAsia" w:asciiTheme="minorEastAsia" w:hAnsiTheme="minorEastAsia" w:cstheme="minorEastAsia"/>
                <w:color w:val="000000"/>
                <w:sz w:val="20"/>
                <w:szCs w:val="20"/>
                <w:highlight w:val="none"/>
              </w:rPr>
              <w:t>2</w:t>
            </w:r>
          </w:p>
        </w:tc>
        <w:tc>
          <w:tcPr>
            <w:tcW w:w="1703" w:type="dxa"/>
            <w:vMerge w:val="restart"/>
            <w:vAlign w:val="center"/>
          </w:tcPr>
          <w:p>
            <w:pPr>
              <w:autoSpaceDE w:val="0"/>
              <w:autoSpaceDN w:val="0"/>
              <w:adjustRightInd w:val="0"/>
              <w:spacing w:line="420" w:lineRule="exact"/>
              <w:jc w:val="center"/>
              <w:rPr>
                <w:rFonts w:asciiTheme="minorEastAsia" w:hAnsiTheme="minorEastAsia" w:cstheme="minorEastAsia"/>
                <w:color w:val="000000"/>
                <w:sz w:val="20"/>
                <w:szCs w:val="20"/>
                <w:highlight w:val="none"/>
              </w:rPr>
            </w:pPr>
            <w:r>
              <w:rPr>
                <w:rFonts w:hint="eastAsia" w:asciiTheme="minorEastAsia" w:hAnsiTheme="minorEastAsia" w:cstheme="minorEastAsia"/>
                <w:color w:val="000000"/>
                <w:sz w:val="20"/>
                <w:szCs w:val="20"/>
                <w:highlight w:val="none"/>
              </w:rPr>
              <w:t>终端安全管理系统</w:t>
            </w:r>
          </w:p>
        </w:tc>
        <w:tc>
          <w:tcPr>
            <w:tcW w:w="1704" w:type="dxa"/>
            <w:vAlign w:val="center"/>
          </w:tcPr>
          <w:p>
            <w:pPr>
              <w:autoSpaceDE w:val="0"/>
              <w:autoSpaceDN w:val="0"/>
              <w:adjustRightInd w:val="0"/>
              <w:spacing w:line="420" w:lineRule="exact"/>
              <w:jc w:val="center"/>
              <w:rPr>
                <w:rFonts w:asciiTheme="minorEastAsia" w:hAnsiTheme="minorEastAsia" w:cstheme="minorEastAsia"/>
                <w:color w:val="000000"/>
                <w:sz w:val="20"/>
                <w:szCs w:val="20"/>
                <w:highlight w:val="none"/>
              </w:rPr>
            </w:pPr>
            <w:r>
              <w:rPr>
                <w:rFonts w:hint="eastAsia" w:asciiTheme="minorEastAsia" w:hAnsiTheme="minorEastAsia" w:cstheme="minorEastAsia"/>
                <w:color w:val="000000"/>
                <w:sz w:val="20"/>
                <w:szCs w:val="20"/>
                <w:highlight w:val="none"/>
              </w:rPr>
              <w:t>终端安全管理中心</w:t>
            </w:r>
          </w:p>
        </w:tc>
        <w:tc>
          <w:tcPr>
            <w:tcW w:w="3408" w:type="dxa"/>
            <w:vAlign w:val="center"/>
          </w:tcPr>
          <w:p>
            <w:pPr>
              <w:rPr>
                <w:highlight w:val="none"/>
              </w:rPr>
            </w:pPr>
            <w:r>
              <w:rPr>
                <w:rFonts w:hint="eastAsia" w:asciiTheme="minorEastAsia" w:hAnsiTheme="minorEastAsia" w:cstheme="minorEastAsia"/>
                <w:color w:val="000000"/>
                <w:sz w:val="20"/>
                <w:szCs w:val="20"/>
                <w:highlight w:val="none"/>
              </w:rPr>
              <w:t>中心需要</w:t>
            </w:r>
            <w:r>
              <w:rPr>
                <w:rFonts w:asciiTheme="minorEastAsia" w:hAnsiTheme="minorEastAsia" w:cstheme="minorEastAsia"/>
                <w:color w:val="000000"/>
                <w:sz w:val="20"/>
                <w:szCs w:val="20"/>
                <w:highlight w:val="none"/>
              </w:rPr>
              <w:t>8G</w:t>
            </w:r>
            <w:r>
              <w:rPr>
                <w:rFonts w:hint="eastAsia" w:asciiTheme="minorEastAsia" w:hAnsiTheme="minorEastAsia" w:cstheme="minorEastAsia"/>
                <w:color w:val="000000"/>
                <w:sz w:val="20"/>
                <w:szCs w:val="20"/>
                <w:highlight w:val="none"/>
              </w:rPr>
              <w:t>及以上内存，四核及以上</w:t>
            </w:r>
            <w:r>
              <w:rPr>
                <w:rFonts w:asciiTheme="minorEastAsia" w:hAnsiTheme="minorEastAsia" w:cstheme="minorEastAsia"/>
                <w:color w:val="000000"/>
                <w:sz w:val="20"/>
                <w:szCs w:val="20"/>
                <w:highlight w:val="none"/>
              </w:rPr>
              <w:t>CPU</w:t>
            </w:r>
            <w:r>
              <w:rPr>
                <w:rFonts w:hint="eastAsia" w:asciiTheme="minorEastAsia" w:hAnsiTheme="minorEastAsia" w:cstheme="minorEastAsia"/>
                <w:color w:val="000000"/>
                <w:sz w:val="20"/>
                <w:szCs w:val="20"/>
                <w:highlight w:val="none"/>
              </w:rPr>
              <w:t>，</w:t>
            </w:r>
            <w:r>
              <w:rPr>
                <w:rFonts w:asciiTheme="minorEastAsia" w:hAnsiTheme="minorEastAsia" w:cstheme="minorEastAsia"/>
                <w:color w:val="000000"/>
                <w:sz w:val="20"/>
                <w:szCs w:val="20"/>
                <w:highlight w:val="none"/>
              </w:rPr>
              <w:t>500G</w:t>
            </w:r>
            <w:r>
              <w:rPr>
                <w:rFonts w:hint="eastAsia" w:asciiTheme="minorEastAsia" w:hAnsiTheme="minorEastAsia" w:cstheme="minorEastAsia"/>
                <w:color w:val="000000"/>
                <w:sz w:val="20"/>
                <w:szCs w:val="20"/>
                <w:highlight w:val="none"/>
              </w:rPr>
              <w:t>以上硬盘；提供终端统一安全防护，实现集中的管理、监控、更新和部署等能力，集中管理客户端防病毒、防火墙、Web信誉、桌面管控、EDR、资产管理等功能</w:t>
            </w:r>
          </w:p>
          <w:p>
            <w:pPr>
              <w:autoSpaceDE w:val="0"/>
              <w:autoSpaceDN w:val="0"/>
              <w:adjustRightInd w:val="0"/>
              <w:jc w:val="left"/>
              <w:rPr>
                <w:rFonts w:asciiTheme="minorEastAsia" w:hAnsiTheme="minorEastAsia" w:cstheme="minorEastAsia"/>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vAlign w:val="center"/>
          </w:tcPr>
          <w:p>
            <w:pPr>
              <w:autoSpaceDE w:val="0"/>
              <w:autoSpaceDN w:val="0"/>
              <w:adjustRightInd w:val="0"/>
              <w:spacing w:line="420" w:lineRule="exact"/>
              <w:jc w:val="center"/>
              <w:rPr>
                <w:rFonts w:asciiTheme="minorEastAsia" w:hAnsiTheme="minorEastAsia" w:cstheme="minorEastAsia"/>
                <w:color w:val="000000"/>
                <w:sz w:val="20"/>
                <w:szCs w:val="20"/>
                <w:highlight w:val="none"/>
              </w:rPr>
            </w:pPr>
          </w:p>
        </w:tc>
        <w:tc>
          <w:tcPr>
            <w:tcW w:w="1703" w:type="dxa"/>
            <w:vMerge w:val="continue"/>
            <w:vAlign w:val="center"/>
          </w:tcPr>
          <w:p>
            <w:pPr>
              <w:autoSpaceDE w:val="0"/>
              <w:autoSpaceDN w:val="0"/>
              <w:adjustRightInd w:val="0"/>
              <w:spacing w:line="420" w:lineRule="exact"/>
              <w:jc w:val="center"/>
              <w:rPr>
                <w:rFonts w:asciiTheme="minorEastAsia" w:hAnsiTheme="minorEastAsia" w:cstheme="minorEastAsia"/>
                <w:color w:val="000000"/>
                <w:sz w:val="20"/>
                <w:szCs w:val="20"/>
                <w:highlight w:val="none"/>
              </w:rPr>
            </w:pPr>
          </w:p>
        </w:tc>
        <w:tc>
          <w:tcPr>
            <w:tcW w:w="1704" w:type="dxa"/>
            <w:vAlign w:val="center"/>
          </w:tcPr>
          <w:p>
            <w:pPr>
              <w:autoSpaceDE w:val="0"/>
              <w:autoSpaceDN w:val="0"/>
              <w:adjustRightInd w:val="0"/>
              <w:spacing w:line="420" w:lineRule="exact"/>
              <w:jc w:val="center"/>
              <w:rPr>
                <w:rFonts w:asciiTheme="minorEastAsia" w:hAnsiTheme="minorEastAsia" w:cstheme="minorEastAsia"/>
                <w:color w:val="000000"/>
                <w:sz w:val="20"/>
                <w:szCs w:val="20"/>
                <w:highlight w:val="none"/>
              </w:rPr>
            </w:pPr>
            <w:r>
              <w:rPr>
                <w:rFonts w:hint="eastAsia" w:asciiTheme="minorEastAsia" w:hAnsiTheme="minorEastAsia" w:cstheme="minorEastAsia"/>
                <w:color w:val="000000"/>
                <w:sz w:val="20"/>
                <w:szCs w:val="20"/>
                <w:highlight w:val="none"/>
              </w:rPr>
              <w:t>PC防护模块</w:t>
            </w:r>
          </w:p>
        </w:tc>
        <w:tc>
          <w:tcPr>
            <w:tcW w:w="3408" w:type="dxa"/>
            <w:vAlign w:val="center"/>
          </w:tcPr>
          <w:p>
            <w:pPr>
              <w:autoSpaceDE w:val="0"/>
              <w:autoSpaceDN w:val="0"/>
              <w:adjustRightInd w:val="0"/>
              <w:rPr>
                <w:sz w:val="20"/>
                <w:szCs w:val="20"/>
                <w:highlight w:val="none"/>
              </w:rPr>
            </w:pPr>
            <w:r>
              <w:rPr>
                <w:sz w:val="20"/>
                <w:szCs w:val="20"/>
                <w:highlight w:val="none"/>
              </w:rPr>
              <w:t>1</w:t>
            </w:r>
            <w:r>
              <w:rPr>
                <w:rFonts w:hint="eastAsia"/>
                <w:sz w:val="20"/>
                <w:szCs w:val="20"/>
                <w:highlight w:val="none"/>
              </w:rPr>
              <w:t>、产品应具备云安全智能防护、扫描安全风险、防御未知威胁、恶意行为监控、移动设备权限管理、</w:t>
            </w:r>
            <w:r>
              <w:rPr>
                <w:sz w:val="20"/>
                <w:szCs w:val="20"/>
                <w:highlight w:val="none"/>
              </w:rPr>
              <w:t>WEB</w:t>
            </w:r>
            <w:r>
              <w:rPr>
                <w:rFonts w:hint="eastAsia"/>
                <w:sz w:val="20"/>
                <w:szCs w:val="20"/>
                <w:highlight w:val="none"/>
              </w:rPr>
              <w:t>信誉、防火墙等能力；</w:t>
            </w:r>
          </w:p>
          <w:p>
            <w:pPr>
              <w:autoSpaceDE w:val="0"/>
              <w:autoSpaceDN w:val="0"/>
              <w:adjustRightInd w:val="0"/>
              <w:rPr>
                <w:sz w:val="20"/>
                <w:szCs w:val="20"/>
                <w:highlight w:val="none"/>
              </w:rPr>
            </w:pPr>
            <w:r>
              <w:rPr>
                <w:sz w:val="20"/>
                <w:szCs w:val="20"/>
                <w:highlight w:val="none"/>
              </w:rPr>
              <w:t>2</w:t>
            </w:r>
            <w:r>
              <w:rPr>
                <w:rFonts w:hint="eastAsia"/>
                <w:sz w:val="20"/>
                <w:szCs w:val="20"/>
                <w:highlight w:val="none"/>
              </w:rPr>
              <w:t>、产品应支持多种处置措施，以保证对于文件多种处理的可选择性，处置措施包含但不限于：清除、隔离、删除、不予处理、拒绝访问；</w:t>
            </w:r>
          </w:p>
          <w:p>
            <w:pPr>
              <w:autoSpaceDE w:val="0"/>
              <w:autoSpaceDN w:val="0"/>
              <w:adjustRightInd w:val="0"/>
              <w:rPr>
                <w:sz w:val="20"/>
                <w:szCs w:val="20"/>
                <w:highlight w:val="none"/>
              </w:rPr>
            </w:pPr>
            <w:r>
              <w:rPr>
                <w:sz w:val="20"/>
                <w:szCs w:val="20"/>
                <w:highlight w:val="none"/>
              </w:rPr>
              <w:t>3</w:t>
            </w:r>
            <w:r>
              <w:rPr>
                <w:rFonts w:hint="eastAsia"/>
                <w:sz w:val="20"/>
                <w:szCs w:val="20"/>
                <w:highlight w:val="none"/>
              </w:rPr>
              <w:t>、具备</w:t>
            </w:r>
            <w:r>
              <w:rPr>
                <w:sz w:val="20"/>
                <w:szCs w:val="20"/>
                <w:highlight w:val="none"/>
              </w:rPr>
              <w:t>Web</w:t>
            </w:r>
            <w:r>
              <w:rPr>
                <w:rFonts w:hint="eastAsia"/>
                <w:sz w:val="20"/>
                <w:szCs w:val="20"/>
                <w:highlight w:val="none"/>
              </w:rPr>
              <w:t>信誉评估功能，包含</w:t>
            </w:r>
            <w:r>
              <w:rPr>
                <w:sz w:val="20"/>
                <w:szCs w:val="20"/>
                <w:highlight w:val="none"/>
              </w:rPr>
              <w:t>HTTPS</w:t>
            </w:r>
            <w:r>
              <w:rPr>
                <w:rFonts w:hint="eastAsia"/>
                <w:sz w:val="20"/>
                <w:szCs w:val="20"/>
                <w:highlight w:val="none"/>
              </w:rPr>
              <w:t>通信扫描，结合云安全架构自动识别并屏蔽恶意站点，阻止病毒自动更新；</w:t>
            </w:r>
          </w:p>
          <w:p>
            <w:pPr>
              <w:autoSpaceDE w:val="0"/>
              <w:autoSpaceDN w:val="0"/>
              <w:adjustRightInd w:val="0"/>
              <w:rPr>
                <w:sz w:val="20"/>
                <w:szCs w:val="20"/>
                <w:highlight w:val="none"/>
              </w:rPr>
            </w:pPr>
            <w:r>
              <w:rPr>
                <w:sz w:val="20"/>
                <w:szCs w:val="20"/>
                <w:highlight w:val="none"/>
              </w:rPr>
              <w:t>4</w:t>
            </w:r>
            <w:r>
              <w:rPr>
                <w:rFonts w:hint="eastAsia"/>
                <w:sz w:val="20"/>
                <w:szCs w:val="20"/>
                <w:highlight w:val="none"/>
              </w:rPr>
              <w:t>、支持病毒爆发防御功能。当最新病毒爆发时</w:t>
            </w:r>
            <w:r>
              <w:rPr>
                <w:sz w:val="20"/>
                <w:szCs w:val="20"/>
                <w:highlight w:val="none"/>
              </w:rPr>
              <w:t>,</w:t>
            </w:r>
            <w:r>
              <w:rPr>
                <w:rFonts w:hint="eastAsia"/>
                <w:sz w:val="20"/>
                <w:szCs w:val="20"/>
                <w:highlight w:val="none"/>
              </w:rPr>
              <w:t>可在病毒代码未完成之前自动对单位网络中的病毒传播端口、共享等进行关闭</w:t>
            </w:r>
            <w:r>
              <w:rPr>
                <w:sz w:val="20"/>
                <w:szCs w:val="20"/>
                <w:highlight w:val="none"/>
              </w:rPr>
              <w:t>,</w:t>
            </w:r>
            <w:r>
              <w:rPr>
                <w:rFonts w:hint="eastAsia"/>
                <w:sz w:val="20"/>
                <w:szCs w:val="20"/>
                <w:highlight w:val="none"/>
              </w:rPr>
              <w:t>切断病毒传播途径</w:t>
            </w:r>
            <w:r>
              <w:rPr>
                <w:sz w:val="20"/>
                <w:szCs w:val="20"/>
                <w:highlight w:val="none"/>
              </w:rPr>
              <w:t>,</w:t>
            </w:r>
            <w:r>
              <w:rPr>
                <w:rFonts w:hint="eastAsia"/>
                <w:sz w:val="20"/>
                <w:szCs w:val="20"/>
                <w:highlight w:val="none"/>
              </w:rPr>
              <w:t>预防最新病毒的攻击；</w:t>
            </w:r>
          </w:p>
          <w:p>
            <w:pPr>
              <w:autoSpaceDE w:val="0"/>
              <w:autoSpaceDN w:val="0"/>
              <w:adjustRightInd w:val="0"/>
              <w:rPr>
                <w:sz w:val="20"/>
                <w:szCs w:val="20"/>
                <w:highlight w:val="none"/>
              </w:rPr>
            </w:pPr>
            <w:r>
              <w:rPr>
                <w:sz w:val="20"/>
                <w:szCs w:val="20"/>
                <w:highlight w:val="none"/>
              </w:rPr>
              <w:t>5</w:t>
            </w:r>
            <w:r>
              <w:rPr>
                <w:rFonts w:hint="eastAsia"/>
                <w:sz w:val="20"/>
                <w:szCs w:val="20"/>
                <w:highlight w:val="none"/>
              </w:rPr>
              <w:t>、具备勒索软件防护功能，需阻止勒索软件关联的进程，需具备检测到勒索行为前自动备份和恢复文档的能力；</w:t>
            </w:r>
          </w:p>
          <w:p>
            <w:pPr>
              <w:autoSpaceDE w:val="0"/>
              <w:autoSpaceDN w:val="0"/>
              <w:adjustRightInd w:val="0"/>
              <w:rPr>
                <w:sz w:val="20"/>
                <w:szCs w:val="20"/>
                <w:highlight w:val="none"/>
              </w:rPr>
            </w:pPr>
            <w:r>
              <w:rPr>
                <w:sz w:val="20"/>
                <w:szCs w:val="20"/>
                <w:highlight w:val="none"/>
              </w:rPr>
              <w:t>6</w:t>
            </w:r>
            <w:r>
              <w:rPr>
                <w:rFonts w:hint="eastAsia"/>
                <w:sz w:val="20"/>
                <w:szCs w:val="20"/>
                <w:highlight w:val="none"/>
              </w:rPr>
              <w:t>、</w:t>
            </w:r>
            <w:r>
              <w:rPr>
                <w:rFonts w:hint="eastAsia" w:asciiTheme="minorHAnsi" w:hAnsiTheme="minorHAnsi" w:cstheme="minorBidi"/>
                <w:color w:val="000000"/>
                <w:sz w:val="20"/>
                <w:szCs w:val="20"/>
                <w:highlight w:val="none"/>
              </w:rPr>
              <w:t>需提供</w:t>
            </w:r>
            <w:r>
              <w:rPr>
                <w:rFonts w:asciiTheme="minorHAnsi" w:hAnsiTheme="minorHAnsi" w:cstheme="minorBidi"/>
                <w:color w:val="000000"/>
                <w:sz w:val="20"/>
                <w:szCs w:val="20"/>
                <w:highlight w:val="none"/>
              </w:rPr>
              <w:t>Windows桌面防病毒模块950个，windows桌面管理模块950个，国产系统防病毒模块50个；</w:t>
            </w:r>
          </w:p>
          <w:p>
            <w:pPr>
              <w:autoSpaceDE w:val="0"/>
              <w:autoSpaceDN w:val="0"/>
              <w:adjustRightInd w:val="0"/>
              <w:rPr>
                <w:rFonts w:asciiTheme="minorEastAsia" w:hAnsiTheme="minorEastAsia" w:cstheme="minorEastAsia"/>
                <w:color w:val="000000"/>
                <w:sz w:val="20"/>
                <w:szCs w:val="20"/>
                <w:highlight w:val="none"/>
              </w:rPr>
            </w:pPr>
            <w:r>
              <w:rPr>
                <w:rFonts w:hint="eastAsia" w:asciiTheme="minorEastAsia" w:hAnsiTheme="minorEastAsia" w:cstheme="minorEastAsia"/>
                <w:color w:val="000000"/>
                <w:sz w:val="20"/>
                <w:szCs w:val="20"/>
                <w:highlight w:val="none"/>
              </w:rPr>
              <w:t>7、</w:t>
            </w:r>
            <w:r>
              <w:rPr>
                <w:rFonts w:hint="eastAsia"/>
                <w:sz w:val="20"/>
                <w:szCs w:val="20"/>
                <w:highlight w:val="none"/>
              </w:rPr>
              <w:t>桌面管理模块</w:t>
            </w:r>
            <w:r>
              <w:rPr>
                <w:rFonts w:hint="eastAsia" w:asciiTheme="minorEastAsia" w:hAnsiTheme="minorEastAsia" w:cstheme="minorEastAsia"/>
                <w:color w:val="000000"/>
                <w:sz w:val="20"/>
                <w:szCs w:val="20"/>
                <w:highlight w:val="none"/>
              </w:rPr>
              <w:t>应具备违规预警、敏感信息检查、安全基线、</w:t>
            </w:r>
            <w:r>
              <w:rPr>
                <w:rFonts w:asciiTheme="minorEastAsia" w:hAnsiTheme="minorEastAsia" w:cstheme="minorEastAsia"/>
                <w:color w:val="000000"/>
                <w:sz w:val="20"/>
                <w:szCs w:val="20"/>
                <w:highlight w:val="none"/>
              </w:rPr>
              <w:t>USB</w:t>
            </w:r>
            <w:r>
              <w:rPr>
                <w:rFonts w:hint="eastAsia" w:asciiTheme="minorEastAsia" w:hAnsiTheme="minorEastAsia" w:cstheme="minorEastAsia"/>
                <w:color w:val="000000"/>
                <w:sz w:val="20"/>
                <w:szCs w:val="20"/>
                <w:highlight w:val="none"/>
              </w:rPr>
              <w:t>接入管理、安全防护、强制行为控制、行审计、资产管理、水印管理、文件外发管控、软件管理、运维管控等能力；</w:t>
            </w:r>
          </w:p>
          <w:p>
            <w:pPr>
              <w:autoSpaceDE w:val="0"/>
              <w:autoSpaceDN w:val="0"/>
              <w:adjustRightInd w:val="0"/>
              <w:rPr>
                <w:rFonts w:asciiTheme="minorEastAsia" w:hAnsiTheme="minorEastAsia" w:cstheme="minorEastAsia"/>
                <w:color w:val="000000"/>
                <w:sz w:val="20"/>
                <w:szCs w:val="20"/>
                <w:highlight w:val="none"/>
              </w:rPr>
            </w:pPr>
            <w:r>
              <w:rPr>
                <w:rFonts w:hint="eastAsia" w:asciiTheme="minorEastAsia" w:hAnsiTheme="minorEastAsia" w:cstheme="minorEastAsia"/>
                <w:color w:val="000000"/>
                <w:sz w:val="20"/>
                <w:szCs w:val="20"/>
                <w:highlight w:val="none"/>
              </w:rPr>
              <w:t>8、</w:t>
            </w:r>
            <w:r>
              <w:rPr>
                <w:rFonts w:hint="eastAsia"/>
                <w:sz w:val="20"/>
                <w:szCs w:val="20"/>
                <w:highlight w:val="none"/>
              </w:rPr>
              <w:t>桌面管理模块</w:t>
            </w:r>
            <w:r>
              <w:rPr>
                <w:rFonts w:hint="eastAsia" w:asciiTheme="minorEastAsia" w:hAnsiTheme="minorEastAsia" w:cstheme="minorEastAsia"/>
                <w:color w:val="000000"/>
                <w:sz w:val="20"/>
                <w:szCs w:val="20"/>
                <w:highlight w:val="none"/>
              </w:rPr>
              <w:t>支持针对违规外联、修改系统时间、</w:t>
            </w:r>
            <w:r>
              <w:rPr>
                <w:rFonts w:asciiTheme="minorEastAsia" w:hAnsiTheme="minorEastAsia" w:cstheme="minorEastAsia"/>
                <w:color w:val="000000"/>
                <w:sz w:val="20"/>
                <w:szCs w:val="20"/>
                <w:highlight w:val="none"/>
              </w:rPr>
              <w:t>PC</w:t>
            </w:r>
            <w:r>
              <w:rPr>
                <w:rFonts w:hint="eastAsia" w:asciiTheme="minorEastAsia" w:hAnsiTheme="minorEastAsia" w:cstheme="minorEastAsia"/>
                <w:color w:val="000000"/>
                <w:sz w:val="20"/>
                <w:szCs w:val="20"/>
                <w:highlight w:val="none"/>
              </w:rPr>
              <w:t>资源使用异常等异常行为进行预警；管理员可自定义违规策略处置策略，包括但不限于报警、断网、锁屏、关机、消息提示、截屏</w:t>
            </w:r>
            <w:r>
              <w:rPr>
                <w:rFonts w:asciiTheme="minorEastAsia" w:hAnsiTheme="minorEastAsia" w:cstheme="minorEastAsia"/>
                <w:color w:val="000000"/>
                <w:sz w:val="20"/>
                <w:szCs w:val="20"/>
                <w:highlight w:val="none"/>
              </w:rPr>
              <w:t xml:space="preserve"> </w:t>
            </w:r>
            <w:r>
              <w:rPr>
                <w:rFonts w:hint="eastAsia" w:asciiTheme="minorEastAsia" w:hAnsiTheme="minorEastAsia" w:cstheme="minorEastAsia"/>
                <w:color w:val="000000"/>
                <w:sz w:val="20"/>
                <w:szCs w:val="20"/>
                <w:highlight w:val="none"/>
              </w:rPr>
              <w:t>、代理修复等，并支持自定义策略等延后时间；</w:t>
            </w:r>
          </w:p>
          <w:p>
            <w:pPr>
              <w:autoSpaceDE w:val="0"/>
              <w:autoSpaceDN w:val="0"/>
              <w:adjustRightInd w:val="0"/>
              <w:rPr>
                <w:rFonts w:asciiTheme="minorEastAsia" w:hAnsiTheme="minorEastAsia" w:cstheme="minorEastAsia"/>
                <w:color w:val="000000"/>
                <w:sz w:val="20"/>
                <w:szCs w:val="20"/>
                <w:highlight w:val="none"/>
              </w:rPr>
            </w:pPr>
            <w:r>
              <w:rPr>
                <w:rFonts w:hint="eastAsia" w:asciiTheme="minorEastAsia" w:hAnsiTheme="minorEastAsia" w:cstheme="minorEastAsia"/>
                <w:color w:val="000000"/>
                <w:sz w:val="20"/>
                <w:szCs w:val="20"/>
                <w:highlight w:val="none"/>
              </w:rPr>
              <w:t>9、</w:t>
            </w:r>
            <w:r>
              <w:rPr>
                <w:rFonts w:hint="eastAsia"/>
                <w:sz w:val="20"/>
                <w:szCs w:val="20"/>
                <w:highlight w:val="none"/>
              </w:rPr>
              <w:t>桌面管理模块</w:t>
            </w:r>
            <w:r>
              <w:rPr>
                <w:rFonts w:hint="eastAsia" w:asciiTheme="minorEastAsia" w:hAnsiTheme="minorEastAsia" w:cstheme="minorEastAsia"/>
                <w:color w:val="000000"/>
                <w:sz w:val="20"/>
                <w:szCs w:val="20"/>
                <w:highlight w:val="none"/>
              </w:rPr>
              <w:t>支持包括但不限于流量、进程、截屏、文件、协议、账户、邮件、打印、服务、共享、注册表、刻录等行为的审计；</w:t>
            </w:r>
          </w:p>
          <w:p>
            <w:pPr>
              <w:autoSpaceDE w:val="0"/>
              <w:autoSpaceDN w:val="0"/>
              <w:adjustRightInd w:val="0"/>
              <w:rPr>
                <w:rFonts w:asciiTheme="minorEastAsia" w:hAnsiTheme="minorEastAsia" w:cstheme="minorEastAsia"/>
                <w:color w:val="000000"/>
                <w:sz w:val="20"/>
                <w:szCs w:val="20"/>
                <w:highlight w:val="none"/>
              </w:rPr>
            </w:pPr>
            <w:r>
              <w:rPr>
                <w:rFonts w:hint="eastAsia" w:asciiTheme="minorEastAsia" w:hAnsiTheme="minorEastAsia" w:cstheme="minorEastAsia"/>
                <w:color w:val="000000"/>
                <w:sz w:val="20"/>
                <w:szCs w:val="20"/>
                <w:highlight w:val="none"/>
              </w:rPr>
              <w:t>10、</w:t>
            </w:r>
            <w:r>
              <w:rPr>
                <w:rFonts w:hint="eastAsia"/>
                <w:sz w:val="20"/>
                <w:szCs w:val="20"/>
                <w:highlight w:val="none"/>
              </w:rPr>
              <w:t>桌面管理模块</w:t>
            </w:r>
            <w:r>
              <w:rPr>
                <w:rFonts w:hint="eastAsia" w:asciiTheme="minorEastAsia" w:hAnsiTheme="minorEastAsia" w:cstheme="minorEastAsia"/>
                <w:color w:val="000000"/>
                <w:sz w:val="20"/>
                <w:szCs w:val="20"/>
                <w:highlight w:val="none"/>
              </w:rPr>
              <w:t>支持终端安全基线检查，包括但不限于计算机名称、是否加入域、密码策略、弱口令、软件黑白名单、进程黑白名单、系统服务、系统共享等基线检查。提供自动修复功能；</w:t>
            </w:r>
          </w:p>
          <w:p>
            <w:pPr>
              <w:rPr>
                <w:highlight w:val="none"/>
              </w:rPr>
            </w:pPr>
            <w:r>
              <w:rPr>
                <w:rFonts w:hint="eastAsia" w:asciiTheme="minorEastAsia" w:hAnsiTheme="minorEastAsia" w:cstheme="minorEastAsia"/>
                <w:color w:val="000000"/>
                <w:sz w:val="20"/>
                <w:szCs w:val="20"/>
                <w:highlight w:val="none"/>
              </w:rPr>
              <w:t>11、</w:t>
            </w:r>
            <w:r>
              <w:rPr>
                <w:rFonts w:hint="eastAsia"/>
                <w:sz w:val="20"/>
                <w:szCs w:val="20"/>
                <w:highlight w:val="none"/>
              </w:rPr>
              <w:t>桌面管理模块</w:t>
            </w:r>
            <w:r>
              <w:rPr>
                <w:rFonts w:hint="eastAsia" w:asciiTheme="minorEastAsia" w:hAnsiTheme="minorEastAsia" w:cstheme="minorEastAsia"/>
                <w:color w:val="000000"/>
                <w:sz w:val="20"/>
                <w:szCs w:val="20"/>
                <w:highlight w:val="none"/>
              </w:rPr>
              <w:t>支持软硬件资产管理，可对软硬件资产变动提供报警；违规预警、安全审计、安全基线、</w:t>
            </w:r>
            <w:r>
              <w:rPr>
                <w:rFonts w:asciiTheme="minorEastAsia" w:hAnsiTheme="minorEastAsia" w:cstheme="minorEastAsia"/>
                <w:color w:val="000000"/>
                <w:sz w:val="20"/>
                <w:szCs w:val="20"/>
                <w:highlight w:val="none"/>
              </w:rPr>
              <w:t>usb</w:t>
            </w:r>
            <w:r>
              <w:rPr>
                <w:rFonts w:hint="eastAsia" w:asciiTheme="minorEastAsia" w:hAnsiTheme="minorEastAsia" w:cstheme="minorEastAsia"/>
                <w:color w:val="000000"/>
                <w:sz w:val="20"/>
                <w:szCs w:val="20"/>
                <w:highlight w:val="none"/>
              </w:rPr>
              <w:t>接入管理、行为控制、资产管理等均支持灵活的策略应用，包括但不限于根据角色、部门、指定终端、用户、</w:t>
            </w:r>
            <w:r>
              <w:rPr>
                <w:rFonts w:asciiTheme="minorEastAsia" w:hAnsiTheme="minorEastAsia" w:cstheme="minorEastAsia"/>
                <w:color w:val="000000"/>
                <w:sz w:val="20"/>
                <w:szCs w:val="20"/>
                <w:highlight w:val="none"/>
              </w:rPr>
              <w:t>ip</w:t>
            </w:r>
            <w:r>
              <w:rPr>
                <w:rFonts w:hint="eastAsia" w:asciiTheme="minorEastAsia" w:hAnsiTheme="minorEastAsia" w:cstheme="minorEastAsia"/>
                <w:color w:val="000000"/>
                <w:sz w:val="20"/>
                <w:szCs w:val="20"/>
                <w:highlight w:val="none"/>
              </w:rPr>
              <w:t>段等应用。</w:t>
            </w:r>
          </w:p>
          <w:p>
            <w:pPr>
              <w:rPr>
                <w:highlight w:val="none"/>
              </w:rPr>
            </w:pPr>
          </w:p>
          <w:p>
            <w:pPr>
              <w:autoSpaceDE w:val="0"/>
              <w:autoSpaceDN w:val="0"/>
              <w:adjustRightInd w:val="0"/>
              <w:rPr>
                <w:rFonts w:asciiTheme="minorEastAsia" w:hAnsiTheme="minorEastAsia" w:cstheme="minorEastAsia"/>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vAlign w:val="center"/>
          </w:tcPr>
          <w:p>
            <w:pPr>
              <w:autoSpaceDE w:val="0"/>
              <w:autoSpaceDN w:val="0"/>
              <w:adjustRightInd w:val="0"/>
              <w:spacing w:line="420" w:lineRule="exact"/>
              <w:jc w:val="center"/>
              <w:rPr>
                <w:rFonts w:asciiTheme="minorEastAsia" w:hAnsiTheme="minorEastAsia" w:cstheme="minorEastAsia"/>
                <w:color w:val="000000"/>
                <w:sz w:val="20"/>
                <w:szCs w:val="20"/>
                <w:highlight w:val="none"/>
              </w:rPr>
            </w:pPr>
          </w:p>
        </w:tc>
        <w:tc>
          <w:tcPr>
            <w:tcW w:w="1703" w:type="dxa"/>
            <w:vMerge w:val="continue"/>
            <w:vAlign w:val="center"/>
          </w:tcPr>
          <w:p>
            <w:pPr>
              <w:autoSpaceDE w:val="0"/>
              <w:autoSpaceDN w:val="0"/>
              <w:adjustRightInd w:val="0"/>
              <w:spacing w:line="420" w:lineRule="exact"/>
              <w:jc w:val="center"/>
              <w:rPr>
                <w:rFonts w:asciiTheme="minorEastAsia" w:hAnsiTheme="minorEastAsia" w:cstheme="minorEastAsia"/>
                <w:color w:val="000000"/>
                <w:sz w:val="20"/>
                <w:szCs w:val="20"/>
                <w:highlight w:val="none"/>
              </w:rPr>
            </w:pPr>
          </w:p>
        </w:tc>
        <w:tc>
          <w:tcPr>
            <w:tcW w:w="1704" w:type="dxa"/>
            <w:vAlign w:val="center"/>
          </w:tcPr>
          <w:p>
            <w:pPr>
              <w:autoSpaceDE w:val="0"/>
              <w:autoSpaceDN w:val="0"/>
              <w:adjustRightInd w:val="0"/>
              <w:spacing w:line="420" w:lineRule="exact"/>
              <w:jc w:val="center"/>
              <w:rPr>
                <w:rFonts w:asciiTheme="minorEastAsia" w:hAnsiTheme="minorEastAsia" w:cstheme="minorEastAsia"/>
                <w:color w:val="000000"/>
                <w:sz w:val="20"/>
                <w:szCs w:val="20"/>
                <w:highlight w:val="none"/>
              </w:rPr>
            </w:pPr>
            <w:r>
              <w:rPr>
                <w:rFonts w:hint="eastAsia" w:asciiTheme="minorEastAsia" w:hAnsiTheme="minorEastAsia" w:cstheme="minorEastAsia"/>
                <w:color w:val="000000"/>
                <w:sz w:val="20"/>
                <w:szCs w:val="20"/>
                <w:highlight w:val="none"/>
              </w:rPr>
              <w:t>服务器防护模块</w:t>
            </w:r>
          </w:p>
        </w:tc>
        <w:tc>
          <w:tcPr>
            <w:tcW w:w="3408" w:type="dxa"/>
            <w:vAlign w:val="center"/>
          </w:tcPr>
          <w:p>
            <w:pPr>
              <w:autoSpaceDE w:val="0"/>
              <w:autoSpaceDN w:val="0"/>
              <w:adjustRightInd w:val="0"/>
              <w:spacing w:line="240" w:lineRule="auto"/>
              <w:jc w:val="both"/>
              <w:rPr>
                <w:rFonts w:asciiTheme="minorHAnsi" w:hAnsiTheme="minorHAnsi" w:cstheme="minorBidi"/>
                <w:color w:val="000000"/>
                <w:sz w:val="21"/>
                <w:szCs w:val="24"/>
                <w:highlight w:val="none"/>
              </w:rPr>
            </w:pPr>
            <w:r>
              <w:rPr>
                <w:rFonts w:hint="eastAsia"/>
                <w:highlight w:val="none"/>
              </w:rPr>
              <w:t>1、</w:t>
            </w:r>
            <w:r>
              <w:rPr>
                <w:rFonts w:asciiTheme="minorHAnsi" w:hAnsiTheme="minorHAnsi" w:cstheme="minorBidi"/>
                <w:color w:val="000000"/>
                <w:sz w:val="21"/>
                <w:szCs w:val="24"/>
                <w:highlight w:val="none"/>
              </w:rPr>
              <w:t>支持Windows server 2003、Windows server 2008、Windows server 2012、Windows server 2016</w:t>
            </w:r>
            <w:r>
              <w:rPr>
                <w:rFonts w:hint="eastAsia" w:asciiTheme="minorHAnsi" w:hAnsiTheme="minorHAnsi" w:cstheme="minorBidi"/>
                <w:color w:val="000000"/>
                <w:sz w:val="21"/>
                <w:szCs w:val="24"/>
                <w:highlight w:val="none"/>
              </w:rPr>
              <w:t>、</w:t>
            </w:r>
            <w:r>
              <w:rPr>
                <w:rFonts w:asciiTheme="minorHAnsi" w:hAnsiTheme="minorHAnsi" w:cstheme="minorBidi"/>
                <w:color w:val="000000"/>
                <w:sz w:val="21"/>
                <w:szCs w:val="24"/>
                <w:highlight w:val="none"/>
              </w:rPr>
              <w:t>Windows server 2019</w:t>
            </w:r>
            <w:r>
              <w:rPr>
                <w:rFonts w:hint="eastAsia" w:asciiTheme="minorHAnsi" w:hAnsiTheme="minorHAnsi" w:cstheme="minorBidi"/>
                <w:color w:val="000000"/>
                <w:sz w:val="21"/>
                <w:szCs w:val="24"/>
                <w:highlight w:val="none"/>
              </w:rPr>
              <w:t>、</w:t>
            </w:r>
            <w:r>
              <w:rPr>
                <w:rFonts w:asciiTheme="minorHAnsi" w:hAnsiTheme="minorHAnsi" w:cstheme="minorBidi"/>
                <w:color w:val="000000"/>
                <w:sz w:val="21"/>
                <w:szCs w:val="24"/>
                <w:highlight w:val="none"/>
              </w:rPr>
              <w:t>Windows server 2022</w:t>
            </w:r>
            <w:r>
              <w:rPr>
                <w:rFonts w:hint="eastAsia" w:asciiTheme="minorHAnsi" w:hAnsiTheme="minorHAnsi" w:cstheme="minorBidi"/>
                <w:color w:val="000000"/>
                <w:sz w:val="21"/>
                <w:szCs w:val="24"/>
                <w:highlight w:val="none"/>
              </w:rPr>
              <w:t>等</w:t>
            </w:r>
            <w:r>
              <w:rPr>
                <w:rFonts w:asciiTheme="minorHAnsi" w:hAnsiTheme="minorHAnsi" w:cstheme="minorBidi"/>
                <w:color w:val="000000"/>
                <w:sz w:val="21"/>
                <w:szCs w:val="24"/>
                <w:highlight w:val="none"/>
              </w:rPr>
              <w:t>操作系统</w:t>
            </w:r>
            <w:r>
              <w:rPr>
                <w:rFonts w:hint="eastAsia" w:asciiTheme="minorHAnsi" w:hAnsiTheme="minorHAnsi" w:cstheme="minorBidi"/>
                <w:color w:val="000000"/>
                <w:sz w:val="21"/>
                <w:szCs w:val="24"/>
                <w:highlight w:val="none"/>
              </w:rPr>
              <w:t>；</w:t>
            </w:r>
          </w:p>
          <w:p>
            <w:pPr>
              <w:rPr>
                <w:highlight w:val="none"/>
              </w:rPr>
            </w:pPr>
            <w:r>
              <w:rPr>
                <w:rFonts w:hint="eastAsia"/>
                <w:highlight w:val="none"/>
              </w:rPr>
              <w:t>2、防护功能与PC防护模块防病毒功能相同。</w:t>
            </w:r>
          </w:p>
          <w:p>
            <w:pPr>
              <w:autoSpaceDE w:val="0"/>
              <w:autoSpaceDN w:val="0"/>
              <w:adjustRightInd w:val="0"/>
              <w:jc w:val="left"/>
              <w:rPr>
                <w:rFonts w:asciiTheme="minorEastAsia" w:hAnsiTheme="minorEastAsia" w:cstheme="minorEastAsia"/>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restart"/>
            <w:vAlign w:val="center"/>
          </w:tcPr>
          <w:p>
            <w:pPr>
              <w:autoSpaceDE w:val="0"/>
              <w:autoSpaceDN w:val="0"/>
              <w:adjustRightInd w:val="0"/>
              <w:spacing w:line="420" w:lineRule="exact"/>
              <w:jc w:val="center"/>
              <w:rPr>
                <w:rFonts w:asciiTheme="minorEastAsia" w:hAnsiTheme="minorEastAsia" w:cstheme="minorEastAsia"/>
                <w:color w:val="000000"/>
                <w:sz w:val="20"/>
                <w:szCs w:val="20"/>
                <w:highlight w:val="none"/>
              </w:rPr>
            </w:pPr>
            <w:r>
              <w:rPr>
                <w:rFonts w:hint="eastAsia" w:asciiTheme="minorEastAsia" w:hAnsiTheme="minorEastAsia" w:cstheme="minorEastAsia"/>
                <w:color w:val="000000"/>
                <w:sz w:val="20"/>
                <w:szCs w:val="20"/>
                <w:highlight w:val="none"/>
              </w:rPr>
              <w:t>3</w:t>
            </w:r>
          </w:p>
        </w:tc>
        <w:tc>
          <w:tcPr>
            <w:tcW w:w="1703" w:type="dxa"/>
            <w:vMerge w:val="restart"/>
            <w:vAlign w:val="center"/>
          </w:tcPr>
          <w:p>
            <w:pPr>
              <w:autoSpaceDE w:val="0"/>
              <w:autoSpaceDN w:val="0"/>
              <w:adjustRightInd w:val="0"/>
              <w:spacing w:line="420" w:lineRule="exact"/>
              <w:jc w:val="center"/>
              <w:rPr>
                <w:rFonts w:asciiTheme="minorEastAsia" w:hAnsiTheme="minorEastAsia" w:cstheme="minorEastAsia"/>
                <w:color w:val="000000"/>
                <w:sz w:val="20"/>
                <w:szCs w:val="20"/>
                <w:highlight w:val="none"/>
              </w:rPr>
            </w:pPr>
            <w:r>
              <w:rPr>
                <w:rFonts w:hint="eastAsia" w:asciiTheme="minorEastAsia" w:hAnsiTheme="minorEastAsia" w:cstheme="minorEastAsia"/>
                <w:color w:val="000000"/>
                <w:sz w:val="20"/>
                <w:szCs w:val="20"/>
                <w:highlight w:val="none"/>
              </w:rPr>
              <w:t>数据集中备份系统</w:t>
            </w:r>
          </w:p>
        </w:tc>
        <w:tc>
          <w:tcPr>
            <w:tcW w:w="1704" w:type="dxa"/>
            <w:vAlign w:val="center"/>
          </w:tcPr>
          <w:p>
            <w:pPr>
              <w:autoSpaceDE w:val="0"/>
              <w:autoSpaceDN w:val="0"/>
              <w:adjustRightInd w:val="0"/>
              <w:spacing w:line="420" w:lineRule="exact"/>
              <w:jc w:val="center"/>
              <w:rPr>
                <w:rFonts w:asciiTheme="minorEastAsia" w:hAnsiTheme="minorEastAsia" w:cstheme="minorEastAsia"/>
                <w:color w:val="000000"/>
                <w:sz w:val="20"/>
                <w:szCs w:val="20"/>
                <w:highlight w:val="none"/>
              </w:rPr>
            </w:pPr>
            <w:r>
              <w:rPr>
                <w:rFonts w:hint="eastAsia" w:asciiTheme="minorEastAsia" w:hAnsiTheme="minorEastAsia" w:cstheme="minorEastAsia"/>
                <w:color w:val="000000"/>
                <w:sz w:val="20"/>
                <w:szCs w:val="20"/>
                <w:highlight w:val="none"/>
              </w:rPr>
              <w:t>系统硬件</w:t>
            </w:r>
          </w:p>
        </w:tc>
        <w:tc>
          <w:tcPr>
            <w:tcW w:w="3408" w:type="dxa"/>
            <w:vAlign w:val="center"/>
          </w:tcPr>
          <w:p>
            <w:pPr>
              <w:autoSpaceDE w:val="0"/>
              <w:autoSpaceDN w:val="0"/>
              <w:adjustRightInd w:val="0"/>
              <w:jc w:val="left"/>
              <w:rPr>
                <w:rFonts w:asciiTheme="minorEastAsia" w:hAnsiTheme="minorEastAsia" w:cstheme="minorEastAsia"/>
                <w:color w:val="000000"/>
                <w:sz w:val="20"/>
                <w:szCs w:val="20"/>
                <w:highlight w:val="none"/>
              </w:rPr>
            </w:pPr>
            <w:r>
              <w:rPr>
                <w:rFonts w:hint="eastAsia" w:asciiTheme="minorEastAsia" w:hAnsiTheme="minorEastAsia" w:cstheme="minorEastAsia"/>
                <w:color w:val="000000"/>
                <w:sz w:val="20"/>
                <w:szCs w:val="20"/>
                <w:highlight w:val="none"/>
              </w:rPr>
              <w:t xml:space="preserve">CPU： </w:t>
            </w:r>
            <w:r>
              <w:rPr>
                <w:rFonts w:ascii="Arial" w:hAnsi="Arial" w:cs="Arial"/>
                <w:color w:val="000000"/>
                <w:sz w:val="20"/>
                <w:szCs w:val="20"/>
                <w:highlight w:val="none"/>
              </w:rPr>
              <w:t>≥</w:t>
            </w:r>
            <w:r>
              <w:rPr>
                <w:rFonts w:hint="eastAsia" w:asciiTheme="minorEastAsia" w:hAnsiTheme="minorEastAsia" w:cstheme="minorEastAsia"/>
                <w:color w:val="000000"/>
                <w:sz w:val="20"/>
                <w:szCs w:val="20"/>
                <w:highlight w:val="none"/>
              </w:rPr>
              <w:t xml:space="preserve"> 2.2 GHz 以上</w:t>
            </w:r>
          </w:p>
          <w:p>
            <w:pPr>
              <w:rPr>
                <w:highlight w:val="none"/>
              </w:rPr>
            </w:pPr>
            <w:r>
              <w:rPr>
                <w:rFonts w:hint="eastAsia" w:asciiTheme="minorEastAsia" w:hAnsiTheme="minorEastAsia" w:cstheme="minorEastAsia"/>
                <w:color w:val="000000"/>
                <w:sz w:val="20"/>
                <w:szCs w:val="20"/>
                <w:highlight w:val="none"/>
              </w:rPr>
              <w:t xml:space="preserve">内存： </w:t>
            </w:r>
            <w:r>
              <w:rPr>
                <w:rFonts w:ascii="Arial" w:hAnsi="Arial" w:cs="Arial"/>
                <w:color w:val="000000"/>
                <w:sz w:val="20"/>
                <w:szCs w:val="20"/>
                <w:highlight w:val="none"/>
              </w:rPr>
              <w:t>≥</w:t>
            </w:r>
            <w:r>
              <w:rPr>
                <w:rFonts w:hint="eastAsia" w:asciiTheme="minorEastAsia" w:hAnsiTheme="minorEastAsia" w:cstheme="minorEastAsia"/>
                <w:color w:val="000000"/>
                <w:sz w:val="20"/>
                <w:szCs w:val="20"/>
                <w:highlight w:val="none"/>
              </w:rPr>
              <w:t>4 GB DDR4 ECC UDIMM</w:t>
            </w:r>
          </w:p>
          <w:p>
            <w:pPr>
              <w:autoSpaceDE w:val="0"/>
              <w:autoSpaceDN w:val="0"/>
              <w:adjustRightInd w:val="0"/>
              <w:jc w:val="left"/>
              <w:rPr>
                <w:rFonts w:asciiTheme="minorEastAsia" w:hAnsiTheme="minorEastAsia" w:cstheme="minorEastAsia"/>
                <w:color w:val="000000"/>
                <w:sz w:val="20"/>
                <w:szCs w:val="20"/>
                <w:highlight w:val="none"/>
              </w:rPr>
            </w:pPr>
          </w:p>
          <w:p>
            <w:pPr>
              <w:autoSpaceDE w:val="0"/>
              <w:autoSpaceDN w:val="0"/>
              <w:adjustRightInd w:val="0"/>
              <w:jc w:val="left"/>
              <w:rPr>
                <w:rFonts w:asciiTheme="minorEastAsia" w:hAnsiTheme="minorEastAsia" w:cstheme="minorEastAsia"/>
                <w:color w:val="000000"/>
                <w:sz w:val="20"/>
                <w:szCs w:val="20"/>
                <w:highlight w:val="none"/>
              </w:rPr>
            </w:pPr>
            <w:r>
              <w:rPr>
                <w:rFonts w:hint="eastAsia" w:asciiTheme="minorEastAsia" w:hAnsiTheme="minorEastAsia" w:cstheme="minorEastAsia"/>
                <w:color w:val="000000"/>
                <w:sz w:val="20"/>
                <w:szCs w:val="20"/>
                <w:highlight w:val="none"/>
              </w:rPr>
              <w:t>硬盘位：12个，最大可扩展到24个盘位</w:t>
            </w:r>
          </w:p>
          <w:p>
            <w:pPr>
              <w:rPr>
                <w:highlight w:val="none"/>
              </w:rPr>
            </w:pPr>
          </w:p>
          <w:p>
            <w:pPr>
              <w:autoSpaceDE w:val="0"/>
              <w:autoSpaceDN w:val="0"/>
              <w:adjustRightInd w:val="0"/>
              <w:jc w:val="left"/>
              <w:rPr>
                <w:rFonts w:asciiTheme="minorEastAsia" w:hAnsiTheme="minorEastAsia" w:cstheme="minorEastAsia"/>
                <w:color w:val="000000"/>
                <w:sz w:val="20"/>
                <w:szCs w:val="20"/>
                <w:highlight w:val="none"/>
              </w:rPr>
            </w:pPr>
            <w:r>
              <w:rPr>
                <w:rFonts w:hint="eastAsia" w:asciiTheme="minorEastAsia" w:hAnsiTheme="minorEastAsia" w:cstheme="minorEastAsia"/>
                <w:color w:val="000000"/>
                <w:sz w:val="20"/>
                <w:szCs w:val="20"/>
                <w:highlight w:val="none"/>
              </w:rPr>
              <w:t>配置：2块480G高速缓存固态硬盘、10块4T企业级硬盘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vAlign w:val="center"/>
          </w:tcPr>
          <w:p>
            <w:pPr>
              <w:autoSpaceDE w:val="0"/>
              <w:autoSpaceDN w:val="0"/>
              <w:adjustRightInd w:val="0"/>
              <w:spacing w:line="420" w:lineRule="exact"/>
              <w:jc w:val="center"/>
              <w:rPr>
                <w:rFonts w:asciiTheme="minorEastAsia" w:hAnsiTheme="minorEastAsia" w:cstheme="minorEastAsia"/>
                <w:color w:val="000000"/>
                <w:sz w:val="20"/>
                <w:szCs w:val="20"/>
                <w:highlight w:val="none"/>
              </w:rPr>
            </w:pPr>
          </w:p>
        </w:tc>
        <w:tc>
          <w:tcPr>
            <w:tcW w:w="1703" w:type="dxa"/>
            <w:vMerge w:val="continue"/>
            <w:vAlign w:val="center"/>
          </w:tcPr>
          <w:p>
            <w:pPr>
              <w:autoSpaceDE w:val="0"/>
              <w:autoSpaceDN w:val="0"/>
              <w:adjustRightInd w:val="0"/>
              <w:spacing w:line="420" w:lineRule="exact"/>
              <w:jc w:val="center"/>
              <w:rPr>
                <w:rFonts w:asciiTheme="minorEastAsia" w:hAnsiTheme="minorEastAsia" w:cstheme="minorEastAsia"/>
                <w:color w:val="000000"/>
                <w:sz w:val="20"/>
                <w:szCs w:val="20"/>
                <w:highlight w:val="none"/>
              </w:rPr>
            </w:pPr>
          </w:p>
        </w:tc>
        <w:tc>
          <w:tcPr>
            <w:tcW w:w="1704" w:type="dxa"/>
            <w:vAlign w:val="center"/>
          </w:tcPr>
          <w:p>
            <w:pPr>
              <w:autoSpaceDE w:val="0"/>
              <w:autoSpaceDN w:val="0"/>
              <w:adjustRightInd w:val="0"/>
              <w:spacing w:line="420" w:lineRule="exact"/>
              <w:jc w:val="center"/>
              <w:rPr>
                <w:rFonts w:asciiTheme="minorEastAsia" w:hAnsiTheme="minorEastAsia" w:cstheme="minorEastAsia"/>
                <w:color w:val="000000"/>
                <w:sz w:val="20"/>
                <w:szCs w:val="20"/>
                <w:highlight w:val="none"/>
              </w:rPr>
            </w:pPr>
            <w:r>
              <w:rPr>
                <w:rFonts w:hint="eastAsia" w:asciiTheme="minorEastAsia" w:hAnsiTheme="minorEastAsia" w:cstheme="minorEastAsia"/>
                <w:color w:val="000000"/>
                <w:sz w:val="20"/>
                <w:szCs w:val="20"/>
                <w:highlight w:val="none"/>
              </w:rPr>
              <w:t>软件系统</w:t>
            </w:r>
          </w:p>
        </w:tc>
        <w:tc>
          <w:tcPr>
            <w:tcW w:w="3408" w:type="dxa"/>
            <w:vAlign w:val="center"/>
          </w:tcPr>
          <w:p>
            <w:pPr>
              <w:rPr>
                <w:highlight w:val="none"/>
              </w:rPr>
            </w:pPr>
          </w:p>
          <w:p>
            <w:pPr>
              <w:autoSpaceDE w:val="0"/>
              <w:autoSpaceDN w:val="0"/>
              <w:adjustRightInd w:val="0"/>
              <w:jc w:val="left"/>
              <w:rPr>
                <w:rFonts w:asciiTheme="minorEastAsia" w:hAnsiTheme="minorEastAsia" w:cstheme="minorEastAsia"/>
                <w:color w:val="000000"/>
                <w:sz w:val="20"/>
                <w:szCs w:val="20"/>
                <w:highlight w:val="none"/>
              </w:rPr>
            </w:pPr>
            <w:r>
              <w:rPr>
                <w:rFonts w:asciiTheme="minorEastAsia" w:hAnsiTheme="minorEastAsia" w:cstheme="minorEastAsia"/>
                <w:color w:val="000000"/>
                <w:sz w:val="20"/>
                <w:szCs w:val="20"/>
                <w:highlight w:val="none"/>
              </w:rPr>
              <w:t>网络通讯协议:CIFS、AFP、NFS、FTP、WebDAV、CalDAV、iSCSI、Telnet、SSH、SNMP、VPN (PPTP、OpenVPN?、L2TP)</w:t>
            </w:r>
          </w:p>
          <w:p>
            <w:pPr>
              <w:autoSpaceDE w:val="0"/>
              <w:autoSpaceDN w:val="0"/>
              <w:adjustRightInd w:val="0"/>
              <w:jc w:val="left"/>
              <w:rPr>
                <w:rFonts w:asciiTheme="minorEastAsia" w:hAnsiTheme="minorEastAsia" w:cstheme="minorEastAsia"/>
                <w:color w:val="000000"/>
                <w:sz w:val="20"/>
                <w:szCs w:val="20"/>
                <w:highlight w:val="none"/>
              </w:rPr>
            </w:pPr>
            <w:r>
              <w:rPr>
                <w:rFonts w:asciiTheme="minorEastAsia" w:hAnsiTheme="minorEastAsia" w:cstheme="minorEastAsia"/>
                <w:color w:val="000000"/>
                <w:sz w:val="20"/>
                <w:szCs w:val="20"/>
                <w:highlight w:val="none"/>
              </w:rPr>
              <w:t>文件系统：Btrfs，EXT4</w:t>
            </w:r>
          </w:p>
          <w:p>
            <w:pPr>
              <w:autoSpaceDE w:val="0"/>
              <w:autoSpaceDN w:val="0"/>
              <w:adjustRightInd w:val="0"/>
              <w:jc w:val="left"/>
              <w:rPr>
                <w:rFonts w:asciiTheme="minorEastAsia" w:hAnsiTheme="minorEastAsia" w:cstheme="minorEastAsia"/>
                <w:color w:val="000000"/>
                <w:sz w:val="20"/>
                <w:szCs w:val="20"/>
                <w:highlight w:val="none"/>
              </w:rPr>
            </w:pPr>
            <w:r>
              <w:rPr>
                <w:rFonts w:asciiTheme="minorEastAsia" w:hAnsiTheme="minorEastAsia" w:cstheme="minorEastAsia"/>
                <w:color w:val="000000"/>
                <w:sz w:val="20"/>
                <w:szCs w:val="20"/>
                <w:highlight w:val="none"/>
              </w:rPr>
              <w:t>虚拟化支持：VMware vSphere  Microsoft Hyper-V  Citrix  OpenStack</w:t>
            </w:r>
          </w:p>
        </w:tc>
      </w:tr>
      <w:bookmarkEnd w:id="7"/>
    </w:tbl>
    <w:p>
      <w:pPr>
        <w:autoSpaceDE w:val="0"/>
        <w:autoSpaceDN w:val="0"/>
        <w:adjustRightInd w:val="0"/>
        <w:spacing w:line="420" w:lineRule="exact"/>
        <w:rPr>
          <w:rFonts w:ascii="仿宋" w:hAnsi="仿宋" w:eastAsia="仿宋"/>
          <w:color w:val="000000"/>
          <w:sz w:val="24"/>
          <w:highlight w:val="none"/>
        </w:rPr>
      </w:pPr>
      <w:r>
        <w:rPr>
          <w:rFonts w:hint="eastAsia" w:ascii="仿宋" w:hAnsi="仿宋" w:eastAsia="仿宋"/>
          <w:color w:val="000000"/>
          <w:sz w:val="24"/>
          <w:highlight w:val="none"/>
        </w:rPr>
        <w:t>三、安装组织方案</w:t>
      </w:r>
    </w:p>
    <w:p>
      <w:pPr>
        <w:autoSpaceDE w:val="0"/>
        <w:autoSpaceDN w:val="0"/>
        <w:adjustRightInd w:val="0"/>
        <w:spacing w:line="420" w:lineRule="exact"/>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投标人需针对本项目自行制定安装组织设计方案，内容包括对项目的理解，各项安全管理制度、质量安全保证、文明施工、保护措施以及售后服务承诺。</w:t>
      </w:r>
    </w:p>
    <w:p>
      <w:pPr>
        <w:autoSpaceDE w:val="0"/>
        <w:autoSpaceDN w:val="0"/>
        <w:adjustRightInd w:val="0"/>
        <w:spacing w:line="420" w:lineRule="exact"/>
        <w:rPr>
          <w:rFonts w:ascii="仿宋" w:hAnsi="仿宋" w:eastAsia="仿宋"/>
          <w:color w:val="000000"/>
          <w:sz w:val="24"/>
          <w:highlight w:val="none"/>
        </w:rPr>
      </w:pPr>
    </w:p>
    <w:p>
      <w:pPr>
        <w:autoSpaceDE w:val="0"/>
        <w:autoSpaceDN w:val="0"/>
        <w:adjustRightInd w:val="0"/>
        <w:spacing w:line="420" w:lineRule="exact"/>
        <w:rPr>
          <w:rFonts w:ascii="仿宋" w:hAnsi="仿宋" w:eastAsia="仿宋"/>
          <w:color w:val="000000"/>
          <w:sz w:val="24"/>
          <w:highlight w:val="none"/>
        </w:rPr>
      </w:pPr>
      <w:bookmarkStart w:id="8" w:name="_Toc502156724"/>
      <w:r>
        <w:rPr>
          <w:rFonts w:hint="eastAsia" w:ascii="仿宋" w:hAnsi="仿宋" w:eastAsia="仿宋"/>
          <w:color w:val="000000"/>
          <w:sz w:val="24"/>
          <w:highlight w:val="none"/>
        </w:rPr>
        <w:t>四、质保期及售后服务要求</w:t>
      </w:r>
      <w:bookmarkEnd w:id="8"/>
    </w:p>
    <w:p>
      <w:pPr>
        <w:pStyle w:val="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1、供应商必须承诺为采购人提供三年（验收合格之日起计算）免费的技术支持、设备维护及设备硬件损坏（非人为）的无偿更换。</w:t>
      </w:r>
    </w:p>
    <w:p>
      <w:pPr>
        <w:pStyle w:val="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2、针对本次采购的设备内容，供应商须对本项目的售后服务进行承诺并提供售后服务方案，同时提供技术支持热线。</w:t>
      </w:r>
    </w:p>
    <w:p>
      <w:pPr>
        <w:pStyle w:val="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3、供应商必须明确承诺达到采购人的服务响应要求：在运行维护期内，提供 7×24 小时技术支持及维护服务，服务范围包括所有维护设备，并根据故障情况划分为三种现场处理级别：</w:t>
      </w:r>
    </w:p>
    <w:p>
      <w:pPr>
        <w:pStyle w:val="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4、1 级：系统宕机，业务停止。处理方式：供应商在接到故障通知后，立即响应，1 小时内前往设备使用现场，4 小时内解决故障。硬件设备出现故障时，应进行紧急备件更换，保证采购人业务的正常运行。</w:t>
      </w:r>
    </w:p>
    <w:p>
      <w:pPr>
        <w:pStyle w:val="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5、2 级：系统能够工作，但部分功能失效。性能下降，但不至中断业务。处理方式：供应商在接到故障通知后，半小时内响应，3 小时内前往现场，在 24 小时内解决故障。</w:t>
      </w:r>
    </w:p>
    <w:p>
      <w:pPr>
        <w:pStyle w:val="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6、3 级：系统可以运行，但出现系统报错或出现问题。处理方式：供应商在接到故障通知后，1 小时内响应，3 个工作日内解决故障。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7、在质量保证期内发生的质量问题，由供应商负责免费解决，包退包换（因采购人使用不当或其他人为因素造成的故障除外）。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8、在质量保证期外发生的质量问题，由供应商负责解决，采购人应支付相应的费用，供应商需负责及时提供零配件。</w:t>
      </w:r>
    </w:p>
    <w:p>
      <w:pPr>
        <w:numPr>
          <w:ilvl w:val="0"/>
          <w:numId w:val="0"/>
        </w:numPr>
        <w:spacing w:line="360" w:lineRule="auto"/>
        <w:ind w:firstLine="240" w:firstLineChars="100"/>
        <w:rPr>
          <w:rFonts w:hint="eastAsia" w:ascii="仿宋" w:hAnsi="仿宋" w:eastAsia="仿宋" w:cs="Times New Roman"/>
          <w:color w:val="000000"/>
          <w:sz w:val="24"/>
          <w:szCs w:val="22"/>
          <w:highlight w:val="none"/>
          <w:lang w:val="en-US" w:eastAsia="zh-CN"/>
        </w:rPr>
      </w:pPr>
      <w:r>
        <w:rPr>
          <w:rFonts w:hint="eastAsia" w:ascii="仿宋" w:hAnsi="仿宋" w:eastAsia="仿宋" w:cs="Times New Roman"/>
          <w:color w:val="000000"/>
          <w:sz w:val="24"/>
          <w:szCs w:val="22"/>
          <w:highlight w:val="none"/>
        </w:rPr>
        <w:t>★</w:t>
      </w:r>
      <w:r>
        <w:rPr>
          <w:rFonts w:hint="eastAsia" w:ascii="仿宋" w:hAnsi="仿宋" w:eastAsia="仿宋" w:cs="Times New Roman"/>
          <w:color w:val="000000"/>
          <w:sz w:val="24"/>
          <w:szCs w:val="22"/>
          <w:highlight w:val="none"/>
          <w:lang w:val="en-US" w:eastAsia="zh-CN"/>
        </w:rPr>
        <w:t>9.</w:t>
      </w:r>
      <w:r>
        <w:rPr>
          <w:rFonts w:hint="eastAsia" w:ascii="仿宋" w:hAnsi="仿宋" w:eastAsia="仿宋" w:cs="Times New Roman"/>
          <w:color w:val="000000"/>
          <w:sz w:val="24"/>
          <w:szCs w:val="22"/>
          <w:highlight w:val="none"/>
        </w:rPr>
        <w:t>设备</w:t>
      </w:r>
      <w:r>
        <w:rPr>
          <w:rFonts w:hint="eastAsia" w:ascii="仿宋" w:hAnsi="仿宋" w:eastAsia="仿宋" w:cs="Times New Roman"/>
          <w:color w:val="000000"/>
          <w:sz w:val="24"/>
          <w:szCs w:val="22"/>
          <w:highlight w:val="none"/>
          <w:lang w:eastAsia="zh-CN"/>
        </w:rPr>
        <w:t>验收合格并</w:t>
      </w:r>
      <w:r>
        <w:rPr>
          <w:rFonts w:hint="eastAsia" w:ascii="仿宋" w:hAnsi="仿宋" w:eastAsia="仿宋" w:cs="Times New Roman"/>
          <w:color w:val="000000"/>
          <w:sz w:val="24"/>
          <w:szCs w:val="22"/>
          <w:highlight w:val="none"/>
        </w:rPr>
        <w:t>启用</w:t>
      </w:r>
      <w:r>
        <w:rPr>
          <w:rFonts w:hint="eastAsia" w:ascii="仿宋" w:hAnsi="仿宋" w:eastAsia="仿宋" w:cs="Times New Roman"/>
          <w:color w:val="000000"/>
          <w:sz w:val="24"/>
          <w:szCs w:val="22"/>
          <w:highlight w:val="none"/>
          <w:lang w:eastAsia="zh-CN"/>
        </w:rPr>
        <w:t>之日起</w:t>
      </w:r>
      <w:r>
        <w:rPr>
          <w:rFonts w:hint="eastAsia" w:ascii="仿宋" w:hAnsi="仿宋" w:eastAsia="仿宋" w:cs="Times New Roman"/>
          <w:color w:val="000000"/>
          <w:sz w:val="24"/>
          <w:szCs w:val="22"/>
          <w:highlight w:val="none"/>
        </w:rPr>
        <w:t>6个月</w:t>
      </w:r>
      <w:r>
        <w:rPr>
          <w:rFonts w:hint="eastAsia" w:ascii="仿宋" w:hAnsi="仿宋" w:eastAsia="仿宋" w:cs="Times New Roman"/>
          <w:color w:val="000000"/>
          <w:sz w:val="24"/>
          <w:szCs w:val="22"/>
          <w:highlight w:val="none"/>
          <w:lang w:eastAsia="zh-CN"/>
        </w:rPr>
        <w:t>内</w:t>
      </w:r>
      <w:r>
        <w:rPr>
          <w:rFonts w:hint="eastAsia" w:ascii="仿宋" w:hAnsi="仿宋" w:eastAsia="仿宋" w:cs="Times New Roman"/>
          <w:color w:val="000000"/>
          <w:sz w:val="24"/>
          <w:szCs w:val="22"/>
          <w:highlight w:val="none"/>
        </w:rPr>
        <w:t>，</w:t>
      </w:r>
      <w:r>
        <w:rPr>
          <w:rFonts w:hint="eastAsia" w:ascii="仿宋" w:hAnsi="仿宋" w:eastAsia="仿宋" w:cs="Times New Roman"/>
          <w:color w:val="000000"/>
          <w:sz w:val="24"/>
          <w:szCs w:val="22"/>
          <w:highlight w:val="none"/>
          <w:lang w:eastAsia="zh-CN"/>
        </w:rPr>
        <w:t>供应商</w:t>
      </w:r>
      <w:r>
        <w:rPr>
          <w:rFonts w:hint="eastAsia" w:ascii="仿宋" w:hAnsi="仿宋" w:eastAsia="仿宋" w:cs="Times New Roman"/>
          <w:color w:val="000000"/>
          <w:sz w:val="24"/>
          <w:szCs w:val="22"/>
          <w:highlight w:val="none"/>
        </w:rPr>
        <w:t>必须派至少2人驻点</w:t>
      </w:r>
      <w:r>
        <w:rPr>
          <w:rFonts w:hint="eastAsia" w:ascii="仿宋" w:hAnsi="仿宋" w:eastAsia="仿宋" w:cs="Times New Roman"/>
          <w:color w:val="000000"/>
          <w:sz w:val="24"/>
          <w:szCs w:val="22"/>
          <w:highlight w:val="none"/>
          <w:lang w:eastAsia="zh-CN"/>
        </w:rPr>
        <w:t>采购人现场，</w:t>
      </w:r>
      <w:r>
        <w:rPr>
          <w:rFonts w:hint="eastAsia" w:ascii="仿宋" w:hAnsi="仿宋" w:eastAsia="仿宋" w:cs="Times New Roman"/>
          <w:color w:val="000000"/>
          <w:sz w:val="24"/>
          <w:szCs w:val="22"/>
          <w:highlight w:val="none"/>
        </w:rPr>
        <w:t>对设备进行运行维护，工作时间与</w:t>
      </w:r>
      <w:r>
        <w:rPr>
          <w:rFonts w:hint="eastAsia" w:ascii="仿宋" w:hAnsi="仿宋" w:eastAsia="仿宋" w:cs="Times New Roman"/>
          <w:color w:val="000000"/>
          <w:sz w:val="24"/>
          <w:szCs w:val="22"/>
          <w:highlight w:val="none"/>
          <w:lang w:eastAsia="zh-CN"/>
        </w:rPr>
        <w:t>采购人</w:t>
      </w:r>
      <w:r>
        <w:rPr>
          <w:rFonts w:hint="eastAsia" w:ascii="仿宋" w:hAnsi="仿宋" w:eastAsia="仿宋" w:cs="Times New Roman"/>
          <w:color w:val="000000"/>
          <w:sz w:val="24"/>
          <w:szCs w:val="22"/>
          <w:highlight w:val="none"/>
        </w:rPr>
        <w:t>同步，并服从</w:t>
      </w:r>
      <w:r>
        <w:rPr>
          <w:rFonts w:hint="eastAsia" w:ascii="仿宋" w:hAnsi="仿宋" w:eastAsia="仿宋" w:cs="Times New Roman"/>
          <w:color w:val="000000"/>
          <w:sz w:val="24"/>
          <w:szCs w:val="22"/>
          <w:highlight w:val="none"/>
          <w:lang w:eastAsia="zh-CN"/>
        </w:rPr>
        <w:t>采购人</w:t>
      </w:r>
      <w:r>
        <w:rPr>
          <w:rFonts w:hint="eastAsia" w:ascii="仿宋" w:hAnsi="仿宋" w:eastAsia="仿宋" w:cs="Times New Roman"/>
          <w:color w:val="000000"/>
          <w:sz w:val="24"/>
          <w:szCs w:val="22"/>
          <w:highlight w:val="none"/>
        </w:rPr>
        <w:t>日常管理</w:t>
      </w:r>
      <w:r>
        <w:rPr>
          <w:rFonts w:hint="eastAsia" w:ascii="仿宋" w:hAnsi="仿宋" w:eastAsia="仿宋" w:cs="Times New Roman"/>
          <w:color w:val="000000"/>
          <w:sz w:val="24"/>
          <w:szCs w:val="22"/>
          <w:highlight w:val="none"/>
          <w:lang w:eastAsia="zh-CN"/>
        </w:rPr>
        <w:t>和其他工作安排，驻点人员一切费用由供应商承担</w:t>
      </w:r>
      <w:r>
        <w:rPr>
          <w:rFonts w:hint="eastAsia" w:ascii="仿宋" w:hAnsi="仿宋" w:eastAsia="仿宋" w:cs="Times New Roman"/>
          <w:color w:val="000000"/>
          <w:sz w:val="24"/>
          <w:szCs w:val="22"/>
          <w:highlight w:val="none"/>
        </w:rPr>
        <w:t>。</w:t>
      </w:r>
      <w:r>
        <w:rPr>
          <w:rFonts w:hint="eastAsia" w:ascii="仿宋" w:hAnsi="仿宋" w:eastAsia="仿宋" w:cs="Times New Roman"/>
          <w:color w:val="000000"/>
          <w:sz w:val="24"/>
          <w:szCs w:val="22"/>
          <w:highlight w:val="none"/>
          <w:lang w:val="en-US" w:eastAsia="zh-CN"/>
        </w:rPr>
        <w:t>(</w:t>
      </w:r>
      <w:r>
        <w:rPr>
          <w:rFonts w:hint="eastAsia" w:ascii="仿宋" w:hAnsi="仿宋" w:eastAsia="仿宋" w:cs="Times New Roman"/>
          <w:color w:val="000000"/>
          <w:sz w:val="24"/>
          <w:szCs w:val="22"/>
          <w:highlight w:val="none"/>
          <w:lang w:eastAsia="zh-CN"/>
        </w:rPr>
        <w:t>供应商</w:t>
      </w:r>
      <w:r>
        <w:rPr>
          <w:rFonts w:hint="eastAsia" w:ascii="仿宋" w:hAnsi="仿宋" w:eastAsia="仿宋" w:cs="Times New Roman"/>
          <w:color w:val="000000"/>
          <w:sz w:val="24"/>
          <w:szCs w:val="22"/>
          <w:highlight w:val="none"/>
        </w:rPr>
        <w:t>须在</w:t>
      </w:r>
      <w:r>
        <w:rPr>
          <w:rFonts w:hint="eastAsia" w:ascii="仿宋" w:hAnsi="仿宋" w:eastAsia="仿宋" w:cs="Times New Roman"/>
          <w:color w:val="000000"/>
          <w:sz w:val="24"/>
          <w:szCs w:val="22"/>
          <w:highlight w:val="none"/>
          <w:lang w:eastAsia="zh-CN"/>
        </w:rPr>
        <w:t>响应</w:t>
      </w:r>
      <w:r>
        <w:rPr>
          <w:rFonts w:hint="eastAsia" w:ascii="仿宋" w:hAnsi="仿宋" w:eastAsia="仿宋" w:cs="Times New Roman"/>
          <w:color w:val="000000"/>
          <w:sz w:val="24"/>
          <w:szCs w:val="22"/>
          <w:highlight w:val="none"/>
        </w:rPr>
        <w:t>文件中提供单独书面承诺函并加盖投标人公章</w:t>
      </w:r>
      <w:r>
        <w:rPr>
          <w:rFonts w:hint="eastAsia" w:ascii="仿宋" w:hAnsi="仿宋" w:eastAsia="仿宋" w:cs="Times New Roman"/>
          <w:color w:val="000000"/>
          <w:sz w:val="24"/>
          <w:szCs w:val="22"/>
          <w:highlight w:val="none"/>
          <w:lang w:val="en-US" w:eastAsia="zh-CN"/>
        </w:rPr>
        <w:t>）</w:t>
      </w:r>
    </w:p>
    <w:p>
      <w:pPr>
        <w:rPr>
          <w:rFonts w:hint="eastAsia"/>
          <w:highlight w:val="none"/>
          <w:lang w:val="en-US" w:eastAsia="zh-CN"/>
        </w:rPr>
      </w:pPr>
    </w:p>
    <w:p>
      <w:pPr>
        <w:autoSpaceDE w:val="0"/>
        <w:autoSpaceDN w:val="0"/>
        <w:adjustRightInd w:val="0"/>
        <w:spacing w:line="420" w:lineRule="exact"/>
        <w:rPr>
          <w:rFonts w:ascii="仿宋" w:hAnsi="仿宋" w:eastAsia="仿宋"/>
          <w:color w:val="000000"/>
          <w:sz w:val="24"/>
          <w:highlight w:val="none"/>
        </w:rPr>
      </w:pPr>
      <w:bookmarkStart w:id="9" w:name="_Toc502156725"/>
      <w:r>
        <w:rPr>
          <w:rFonts w:hint="eastAsia" w:ascii="仿宋" w:hAnsi="仿宋" w:eastAsia="仿宋"/>
          <w:color w:val="000000"/>
          <w:sz w:val="24"/>
          <w:highlight w:val="none"/>
        </w:rPr>
        <w:t>五、验收方式、标准要求</w:t>
      </w:r>
      <w:bookmarkEnd w:id="9"/>
    </w:p>
    <w:p>
      <w:pPr>
        <w:pStyle w:val="2"/>
        <w:spacing w:line="420" w:lineRule="exact"/>
        <w:ind w:firstLine="480" w:firstLineChars="200"/>
        <w:rPr>
          <w:rFonts w:ascii="仿宋" w:hAnsi="仿宋" w:eastAsia="仿宋" w:cs="Times New Roman"/>
          <w:color w:val="000000"/>
          <w:sz w:val="24"/>
          <w:szCs w:val="22"/>
          <w:highlight w:val="none"/>
        </w:rPr>
      </w:pPr>
      <w:r>
        <w:rPr>
          <w:rFonts w:ascii="仿宋" w:hAnsi="仿宋" w:eastAsia="仿宋" w:cs="Times New Roman"/>
          <w:color w:val="000000"/>
          <w:sz w:val="24"/>
          <w:szCs w:val="22"/>
          <w:highlight w:val="none"/>
        </w:rPr>
        <w:t xml:space="preserve">5.1 </w:t>
      </w:r>
      <w:r>
        <w:rPr>
          <w:rFonts w:hint="eastAsia" w:ascii="仿宋" w:hAnsi="仿宋" w:eastAsia="仿宋" w:cs="Times New Roman"/>
          <w:color w:val="000000"/>
          <w:sz w:val="24"/>
          <w:szCs w:val="22"/>
          <w:highlight w:val="none"/>
        </w:rPr>
        <w:t xml:space="preserve">验收标准 </w:t>
      </w:r>
    </w:p>
    <w:p>
      <w:pPr>
        <w:pStyle w:val="2"/>
        <w:spacing w:line="420" w:lineRule="exact"/>
        <w:ind w:firstLine="480" w:firstLineChars="200"/>
        <w:rPr>
          <w:rFonts w:hint="eastAsia" w:eastAsia="仿宋"/>
          <w:highlight w:val="none"/>
          <w:lang w:val="en-US" w:eastAsia="zh-CN"/>
        </w:rPr>
      </w:pPr>
      <w:r>
        <w:rPr>
          <w:rFonts w:hint="eastAsia" w:ascii="仿宋" w:hAnsi="仿宋" w:eastAsia="仿宋" w:cs="Times New Roman"/>
          <w:color w:val="000000"/>
          <w:sz w:val="24"/>
          <w:szCs w:val="22"/>
          <w:highlight w:val="none"/>
        </w:rPr>
        <w:t>★1.</w:t>
      </w:r>
      <w:r>
        <w:rPr>
          <w:rFonts w:hint="eastAsia" w:ascii="仿宋" w:hAnsi="仿宋" w:eastAsia="仿宋" w:cs="Times New Roman"/>
          <w:color w:val="000000"/>
          <w:sz w:val="24"/>
          <w:szCs w:val="22"/>
          <w:highlight w:val="none"/>
          <w:lang w:eastAsia="zh-CN"/>
        </w:rPr>
        <w:t>供应商</w:t>
      </w:r>
      <w:r>
        <w:rPr>
          <w:rFonts w:hint="eastAsia" w:ascii="仿宋" w:hAnsi="仿宋" w:eastAsia="仿宋" w:cs="Times New Roman"/>
          <w:color w:val="000000"/>
          <w:sz w:val="24"/>
          <w:szCs w:val="22"/>
          <w:highlight w:val="none"/>
        </w:rPr>
        <w:t>须承诺，在</w:t>
      </w:r>
      <w:r>
        <w:rPr>
          <w:rFonts w:hint="eastAsia" w:ascii="仿宋" w:hAnsi="仿宋" w:eastAsia="仿宋" w:cs="Times New Roman"/>
          <w:color w:val="000000"/>
          <w:sz w:val="24"/>
          <w:szCs w:val="22"/>
          <w:highlight w:val="none"/>
          <w:lang w:eastAsia="zh-CN"/>
        </w:rPr>
        <w:t>成交</w:t>
      </w:r>
      <w:r>
        <w:rPr>
          <w:rFonts w:hint="eastAsia" w:ascii="仿宋" w:hAnsi="仿宋" w:eastAsia="仿宋" w:cs="Times New Roman"/>
          <w:color w:val="000000"/>
          <w:sz w:val="24"/>
          <w:szCs w:val="22"/>
          <w:highlight w:val="none"/>
        </w:rPr>
        <w:t>通知书发布之日起1天内，须提供所投大数据智能安全平台</w:t>
      </w:r>
      <w:r>
        <w:rPr>
          <w:rFonts w:hint="eastAsia" w:ascii="仿宋" w:hAnsi="仿宋" w:eastAsia="仿宋" w:cs="Times New Roman"/>
          <w:color w:val="000000"/>
          <w:sz w:val="24"/>
          <w:szCs w:val="22"/>
          <w:highlight w:val="none"/>
          <w:lang w:eastAsia="zh-CN"/>
        </w:rPr>
        <w:t>、</w:t>
      </w:r>
      <w:r>
        <w:rPr>
          <w:rFonts w:hint="eastAsia" w:ascii="仿宋" w:hAnsi="仿宋" w:eastAsia="仿宋" w:cs="Times New Roman"/>
          <w:color w:val="000000"/>
          <w:sz w:val="24"/>
          <w:szCs w:val="22"/>
          <w:highlight w:val="none"/>
        </w:rPr>
        <w:t>终端安全管理系统到采购人指定场所，</w:t>
      </w:r>
      <w:r>
        <w:rPr>
          <w:rFonts w:hint="eastAsia" w:ascii="仿宋" w:hAnsi="仿宋" w:eastAsia="仿宋" w:cs="Times New Roman"/>
          <w:color w:val="000000"/>
          <w:sz w:val="24"/>
          <w:szCs w:val="22"/>
          <w:highlight w:val="none"/>
          <w:lang w:eastAsia="zh-CN"/>
        </w:rPr>
        <w:t>按“</w:t>
      </w:r>
      <w:r>
        <w:rPr>
          <w:rFonts w:hint="eastAsia" w:ascii="仿宋" w:hAnsi="仿宋" w:eastAsia="仿宋" w:cs="Times New Roman"/>
          <w:color w:val="000000"/>
          <w:sz w:val="24"/>
          <w:szCs w:val="22"/>
          <w:highlight w:val="none"/>
        </w:rPr>
        <w:t>功能</w:t>
      </w:r>
      <w:r>
        <w:rPr>
          <w:rFonts w:hint="eastAsia" w:ascii="仿宋" w:hAnsi="仿宋" w:eastAsia="仿宋" w:cs="Times New Roman"/>
          <w:color w:val="000000"/>
          <w:sz w:val="24"/>
          <w:szCs w:val="22"/>
          <w:highlight w:val="none"/>
          <w:lang w:eastAsia="zh-CN"/>
        </w:rPr>
        <w:t>演示</w:t>
      </w:r>
      <w:r>
        <w:rPr>
          <w:rFonts w:hint="eastAsia" w:ascii="仿宋" w:hAnsi="仿宋" w:eastAsia="仿宋" w:cs="Times New Roman"/>
          <w:color w:val="000000"/>
          <w:sz w:val="24"/>
          <w:szCs w:val="22"/>
          <w:highlight w:val="none"/>
        </w:rPr>
        <w:t>要求</w:t>
      </w:r>
      <w:r>
        <w:rPr>
          <w:rFonts w:hint="eastAsia" w:ascii="仿宋" w:hAnsi="仿宋" w:eastAsia="仿宋" w:cs="Times New Roman"/>
          <w:color w:val="000000"/>
          <w:sz w:val="24"/>
          <w:szCs w:val="22"/>
          <w:highlight w:val="none"/>
          <w:lang w:eastAsia="zh-CN"/>
        </w:rPr>
        <w:t>”</w:t>
      </w:r>
      <w:r>
        <w:rPr>
          <w:rFonts w:hint="eastAsia" w:ascii="仿宋" w:hAnsi="仿宋" w:eastAsia="仿宋" w:cs="Times New Roman"/>
          <w:color w:val="000000"/>
          <w:sz w:val="24"/>
          <w:szCs w:val="22"/>
          <w:highlight w:val="none"/>
        </w:rPr>
        <w:t>与采购人共同进行测试，</w:t>
      </w:r>
      <w:r>
        <w:rPr>
          <w:rFonts w:hint="eastAsia" w:ascii="仿宋" w:hAnsi="仿宋" w:eastAsia="仿宋" w:cs="Times New Roman"/>
          <w:color w:val="000000"/>
          <w:sz w:val="24"/>
          <w:szCs w:val="22"/>
          <w:highlight w:val="none"/>
          <w:lang w:eastAsia="zh-CN"/>
        </w:rPr>
        <w:t>测试功能点须完全满足功能演示要求，如测试未满足功能演示要求的，</w:t>
      </w:r>
      <w:r>
        <w:rPr>
          <w:rFonts w:hint="eastAsia" w:ascii="仿宋" w:hAnsi="仿宋" w:eastAsia="仿宋" w:cs="Times New Roman"/>
          <w:color w:val="000000"/>
          <w:sz w:val="24"/>
          <w:szCs w:val="22"/>
          <w:highlight w:val="none"/>
        </w:rPr>
        <w:t>招标方有权取消</w:t>
      </w:r>
      <w:r>
        <w:rPr>
          <w:rFonts w:hint="eastAsia" w:ascii="仿宋" w:hAnsi="仿宋" w:eastAsia="仿宋" w:cs="Times New Roman"/>
          <w:color w:val="000000"/>
          <w:sz w:val="24"/>
          <w:szCs w:val="22"/>
          <w:highlight w:val="none"/>
          <w:lang w:eastAsia="zh-CN"/>
        </w:rPr>
        <w:t>成交供应商</w:t>
      </w:r>
      <w:r>
        <w:rPr>
          <w:rFonts w:hint="eastAsia" w:ascii="仿宋" w:hAnsi="仿宋" w:eastAsia="仿宋" w:cs="Times New Roman"/>
          <w:color w:val="000000"/>
          <w:sz w:val="24"/>
          <w:szCs w:val="22"/>
          <w:highlight w:val="none"/>
        </w:rPr>
        <w:t>方</w:t>
      </w:r>
      <w:r>
        <w:rPr>
          <w:rFonts w:hint="eastAsia" w:ascii="仿宋" w:hAnsi="仿宋" w:eastAsia="仿宋" w:cs="Times New Roman"/>
          <w:color w:val="000000"/>
          <w:sz w:val="24"/>
          <w:szCs w:val="22"/>
          <w:highlight w:val="none"/>
          <w:lang w:eastAsia="zh-CN"/>
        </w:rPr>
        <w:t>成交</w:t>
      </w:r>
      <w:r>
        <w:rPr>
          <w:rFonts w:hint="eastAsia" w:ascii="仿宋" w:hAnsi="仿宋" w:eastAsia="仿宋" w:cs="Times New Roman"/>
          <w:color w:val="000000"/>
          <w:sz w:val="24"/>
          <w:szCs w:val="22"/>
          <w:highlight w:val="none"/>
        </w:rPr>
        <w:t>资格。（</w:t>
      </w:r>
      <w:r>
        <w:rPr>
          <w:rFonts w:hint="eastAsia" w:ascii="仿宋" w:hAnsi="仿宋" w:eastAsia="仿宋" w:cs="Times New Roman"/>
          <w:color w:val="000000"/>
          <w:sz w:val="24"/>
          <w:szCs w:val="22"/>
          <w:highlight w:val="none"/>
          <w:lang w:eastAsia="zh-CN"/>
        </w:rPr>
        <w:t>供应商</w:t>
      </w:r>
      <w:r>
        <w:rPr>
          <w:rFonts w:hint="eastAsia" w:ascii="仿宋" w:hAnsi="仿宋" w:eastAsia="仿宋" w:cs="Times New Roman"/>
          <w:color w:val="000000"/>
          <w:sz w:val="24"/>
          <w:szCs w:val="22"/>
          <w:highlight w:val="none"/>
        </w:rPr>
        <w:t>须在</w:t>
      </w:r>
      <w:r>
        <w:rPr>
          <w:rFonts w:hint="eastAsia" w:ascii="仿宋" w:hAnsi="仿宋" w:eastAsia="仿宋" w:cs="Times New Roman"/>
          <w:color w:val="000000"/>
          <w:sz w:val="24"/>
          <w:szCs w:val="22"/>
          <w:highlight w:val="none"/>
          <w:lang w:eastAsia="zh-CN"/>
        </w:rPr>
        <w:t>响应</w:t>
      </w:r>
      <w:r>
        <w:rPr>
          <w:rFonts w:hint="eastAsia" w:ascii="仿宋" w:hAnsi="仿宋" w:eastAsia="仿宋" w:cs="Times New Roman"/>
          <w:color w:val="000000"/>
          <w:sz w:val="24"/>
          <w:szCs w:val="22"/>
          <w:highlight w:val="none"/>
        </w:rPr>
        <w:t>文件中提供单独书面承诺函并加盖投标人公章）</w:t>
      </w:r>
    </w:p>
    <w:p>
      <w:pPr>
        <w:pStyle w:val="2"/>
        <w:spacing w:line="420" w:lineRule="exact"/>
        <w:ind w:firstLine="480" w:firstLineChars="200"/>
        <w:rPr>
          <w:rFonts w:hint="eastAsia" w:ascii="仿宋" w:hAnsi="仿宋" w:eastAsia="仿宋" w:cs="Times New Roman"/>
          <w:color w:val="000000"/>
          <w:sz w:val="24"/>
          <w:szCs w:val="22"/>
          <w:highlight w:val="none"/>
        </w:rPr>
      </w:pPr>
      <w:r>
        <w:rPr>
          <w:rFonts w:hint="eastAsia" w:ascii="仿宋" w:hAnsi="仿宋" w:eastAsia="仿宋" w:cs="Times New Roman"/>
          <w:color w:val="000000"/>
          <w:sz w:val="24"/>
          <w:szCs w:val="22"/>
          <w:highlight w:val="none"/>
        </w:rPr>
        <w:t>★2.合同签订之日起</w:t>
      </w:r>
      <w:r>
        <w:rPr>
          <w:rFonts w:hint="eastAsia" w:ascii="仿宋" w:hAnsi="仿宋" w:eastAsia="仿宋" w:cs="Times New Roman"/>
          <w:color w:val="000000"/>
          <w:sz w:val="24"/>
          <w:szCs w:val="22"/>
          <w:highlight w:val="none"/>
          <w:lang w:val="en-US" w:eastAsia="zh-CN"/>
        </w:rPr>
        <w:t>7</w:t>
      </w:r>
      <w:r>
        <w:rPr>
          <w:rFonts w:hint="eastAsia" w:ascii="仿宋" w:hAnsi="仿宋" w:eastAsia="仿宋" w:cs="Times New Roman"/>
          <w:color w:val="000000"/>
          <w:sz w:val="24"/>
          <w:szCs w:val="22"/>
          <w:highlight w:val="none"/>
        </w:rPr>
        <w:t>个日历日内完成所有货物的交货、安装、调试运行并经采购人验收合格，否</w:t>
      </w:r>
      <w:r>
        <w:rPr>
          <w:rFonts w:hint="eastAsia" w:ascii="仿宋" w:hAnsi="仿宋" w:eastAsia="仿宋" w:cs="Times New Roman"/>
          <w:color w:val="000000"/>
          <w:sz w:val="24"/>
          <w:szCs w:val="22"/>
          <w:highlight w:val="none"/>
          <w:lang w:eastAsia="zh-CN"/>
        </w:rPr>
        <w:t>则采购人</w:t>
      </w:r>
      <w:r>
        <w:rPr>
          <w:rFonts w:hint="eastAsia" w:ascii="仿宋" w:hAnsi="仿宋" w:eastAsia="仿宋" w:cs="Times New Roman"/>
          <w:color w:val="000000"/>
          <w:sz w:val="24"/>
          <w:szCs w:val="22"/>
          <w:highlight w:val="none"/>
        </w:rPr>
        <w:t>有权取消</w:t>
      </w:r>
      <w:r>
        <w:rPr>
          <w:rFonts w:hint="eastAsia" w:ascii="仿宋" w:hAnsi="仿宋" w:eastAsia="仿宋" w:cs="Times New Roman"/>
          <w:color w:val="000000"/>
          <w:sz w:val="24"/>
          <w:szCs w:val="22"/>
          <w:highlight w:val="none"/>
          <w:lang w:eastAsia="zh-CN"/>
        </w:rPr>
        <w:t>合同</w:t>
      </w:r>
      <w:r>
        <w:rPr>
          <w:rFonts w:hint="eastAsia" w:ascii="仿宋" w:hAnsi="仿宋" w:eastAsia="仿宋" w:cs="Times New Roman"/>
          <w:color w:val="000000"/>
          <w:sz w:val="24"/>
          <w:szCs w:val="22"/>
          <w:highlight w:val="none"/>
        </w:rPr>
        <w:t>（</w:t>
      </w:r>
      <w:r>
        <w:rPr>
          <w:rFonts w:hint="eastAsia" w:ascii="仿宋" w:hAnsi="仿宋" w:eastAsia="仿宋" w:cs="Times New Roman"/>
          <w:color w:val="000000"/>
          <w:sz w:val="24"/>
          <w:szCs w:val="22"/>
          <w:highlight w:val="none"/>
          <w:lang w:eastAsia="zh-CN"/>
        </w:rPr>
        <w:t>供应商</w:t>
      </w:r>
      <w:r>
        <w:rPr>
          <w:rFonts w:hint="eastAsia" w:ascii="仿宋" w:hAnsi="仿宋" w:eastAsia="仿宋" w:cs="Times New Roman"/>
          <w:color w:val="000000"/>
          <w:sz w:val="24"/>
          <w:szCs w:val="22"/>
          <w:highlight w:val="none"/>
        </w:rPr>
        <w:t>须在</w:t>
      </w:r>
      <w:r>
        <w:rPr>
          <w:rFonts w:hint="eastAsia" w:ascii="仿宋" w:hAnsi="仿宋" w:eastAsia="仿宋" w:cs="Times New Roman"/>
          <w:color w:val="000000"/>
          <w:sz w:val="24"/>
          <w:szCs w:val="22"/>
          <w:highlight w:val="none"/>
          <w:lang w:eastAsia="zh-CN"/>
        </w:rPr>
        <w:t>响应</w:t>
      </w:r>
      <w:r>
        <w:rPr>
          <w:rFonts w:hint="eastAsia" w:ascii="仿宋" w:hAnsi="仿宋" w:eastAsia="仿宋" w:cs="Times New Roman"/>
          <w:color w:val="000000"/>
          <w:sz w:val="24"/>
          <w:szCs w:val="22"/>
          <w:highlight w:val="none"/>
        </w:rPr>
        <w:t>文件中提供单独书面承诺函并加盖投标人公章）。</w:t>
      </w:r>
    </w:p>
    <w:p>
      <w:pPr>
        <w:pStyle w:val="2"/>
        <w:spacing w:line="420" w:lineRule="exact"/>
        <w:ind w:firstLine="480" w:firstLineChars="200"/>
        <w:rPr>
          <w:rFonts w:hint="eastAsia" w:eastAsia="仿宋"/>
          <w:highlight w:val="none"/>
          <w:lang w:val="en-US" w:eastAsia="zh-CN"/>
        </w:rPr>
      </w:pPr>
      <w:r>
        <w:rPr>
          <w:rFonts w:hint="eastAsia" w:ascii="仿宋" w:hAnsi="仿宋" w:eastAsia="仿宋" w:cs="Times New Roman"/>
          <w:color w:val="000000"/>
          <w:sz w:val="24"/>
          <w:szCs w:val="22"/>
          <w:highlight w:val="none"/>
        </w:rPr>
        <w:t>★</w:t>
      </w:r>
      <w:r>
        <w:rPr>
          <w:rFonts w:hint="eastAsia" w:ascii="仿宋" w:hAnsi="仿宋" w:eastAsia="仿宋" w:cs="Times New Roman"/>
          <w:color w:val="000000"/>
          <w:sz w:val="24"/>
          <w:szCs w:val="22"/>
          <w:highlight w:val="none"/>
          <w:lang w:val="en-US" w:eastAsia="zh-CN"/>
        </w:rPr>
        <w:t>3.</w:t>
      </w:r>
      <w:r>
        <w:rPr>
          <w:rFonts w:hint="eastAsia" w:ascii="仿宋" w:hAnsi="仿宋" w:eastAsia="仿宋" w:cs="Times New Roman"/>
          <w:color w:val="000000"/>
          <w:sz w:val="24"/>
          <w:szCs w:val="22"/>
          <w:highlight w:val="none"/>
        </w:rPr>
        <w:t>本项目所有设备用于</w:t>
      </w:r>
      <w:r>
        <w:rPr>
          <w:rFonts w:hint="eastAsia" w:ascii="仿宋" w:hAnsi="仿宋" w:eastAsia="仿宋"/>
          <w:color w:val="000000"/>
          <w:sz w:val="24"/>
          <w:szCs w:val="22"/>
          <w:highlight w:val="none"/>
        </w:rPr>
        <w:t>万江街道办事处主楼3楼机房，所提供的货物必须与机房内所有服务器、交换机等设备兼容并且所有功能运行正常</w:t>
      </w:r>
      <w:r>
        <w:rPr>
          <w:rFonts w:hint="eastAsia" w:ascii="仿宋" w:hAnsi="仿宋" w:eastAsia="仿宋" w:cs="Times New Roman"/>
          <w:color w:val="000000"/>
          <w:sz w:val="24"/>
          <w:szCs w:val="22"/>
          <w:highlight w:val="none"/>
        </w:rPr>
        <w:t>。中标人签订合同</w:t>
      </w:r>
      <w:r>
        <w:rPr>
          <w:rFonts w:hint="eastAsia" w:ascii="仿宋" w:hAnsi="仿宋" w:eastAsia="仿宋" w:cs="Times New Roman"/>
          <w:color w:val="000000"/>
          <w:sz w:val="24"/>
          <w:szCs w:val="22"/>
          <w:highlight w:val="none"/>
          <w:lang w:eastAsia="zh-CN"/>
        </w:rPr>
        <w:t>后</w:t>
      </w:r>
      <w:r>
        <w:rPr>
          <w:rFonts w:hint="eastAsia" w:ascii="仿宋" w:hAnsi="仿宋" w:eastAsia="仿宋" w:cs="Times New Roman"/>
          <w:color w:val="000000"/>
          <w:sz w:val="24"/>
          <w:szCs w:val="22"/>
          <w:highlight w:val="none"/>
        </w:rPr>
        <w:t>，完成所有货物供货、调试</w:t>
      </w:r>
      <w:r>
        <w:rPr>
          <w:rFonts w:hint="eastAsia" w:ascii="仿宋" w:hAnsi="仿宋" w:eastAsia="仿宋" w:cs="Times New Roman"/>
          <w:color w:val="000000"/>
          <w:sz w:val="24"/>
          <w:szCs w:val="22"/>
          <w:highlight w:val="none"/>
          <w:lang w:eastAsia="zh-CN"/>
        </w:rPr>
        <w:t>后</w:t>
      </w:r>
      <w:r>
        <w:rPr>
          <w:rFonts w:hint="eastAsia" w:ascii="仿宋" w:hAnsi="仿宋" w:eastAsia="仿宋" w:cs="Times New Roman"/>
          <w:color w:val="000000"/>
          <w:sz w:val="24"/>
          <w:szCs w:val="22"/>
          <w:highlight w:val="none"/>
        </w:rPr>
        <w:t>2天内</w:t>
      </w:r>
      <w:r>
        <w:rPr>
          <w:rFonts w:hint="eastAsia" w:ascii="仿宋" w:hAnsi="仿宋" w:eastAsia="仿宋" w:cs="Times New Roman"/>
          <w:color w:val="000000"/>
          <w:sz w:val="24"/>
          <w:szCs w:val="22"/>
          <w:highlight w:val="none"/>
          <w:lang w:eastAsia="zh-CN"/>
        </w:rPr>
        <w:t>，</w:t>
      </w:r>
      <w:r>
        <w:rPr>
          <w:rFonts w:hint="eastAsia" w:ascii="仿宋" w:hAnsi="仿宋" w:eastAsia="仿宋" w:cs="Times New Roman"/>
          <w:color w:val="000000"/>
          <w:sz w:val="24"/>
          <w:szCs w:val="22"/>
          <w:highlight w:val="none"/>
        </w:rPr>
        <w:t>把</w:t>
      </w:r>
      <w:r>
        <w:rPr>
          <w:rFonts w:hint="eastAsia" w:ascii="仿宋" w:hAnsi="仿宋" w:eastAsia="仿宋" w:cs="Times New Roman"/>
          <w:color w:val="000000"/>
          <w:sz w:val="24"/>
          <w:szCs w:val="22"/>
          <w:highlight w:val="none"/>
          <w:lang w:eastAsia="zh-CN"/>
        </w:rPr>
        <w:t>功能</w:t>
      </w:r>
      <w:r>
        <w:rPr>
          <w:rFonts w:hint="eastAsia" w:ascii="仿宋" w:hAnsi="仿宋" w:eastAsia="仿宋" w:cs="Times New Roman"/>
          <w:color w:val="000000"/>
          <w:sz w:val="24"/>
          <w:szCs w:val="22"/>
          <w:highlight w:val="none"/>
        </w:rPr>
        <w:t>自检报告以书面形式通知采购人，采购人收到自检报告后，组织验收小组对货物进行测试验收，货物保证能够满足主要技术参数与要求。若测试不合格，</w:t>
      </w:r>
      <w:r>
        <w:rPr>
          <w:rFonts w:hint="eastAsia" w:ascii="仿宋" w:hAnsi="仿宋" w:eastAsia="仿宋" w:cs="Times New Roman"/>
          <w:color w:val="000000"/>
          <w:sz w:val="24"/>
          <w:szCs w:val="22"/>
          <w:highlight w:val="none"/>
          <w:lang w:eastAsia="zh-CN"/>
        </w:rPr>
        <w:t>供应商</w:t>
      </w:r>
      <w:r>
        <w:rPr>
          <w:rFonts w:hint="eastAsia" w:ascii="仿宋" w:hAnsi="仿宋" w:eastAsia="仿宋" w:cs="Times New Roman"/>
          <w:color w:val="000000"/>
          <w:sz w:val="24"/>
          <w:szCs w:val="22"/>
          <w:highlight w:val="none"/>
        </w:rPr>
        <w:t>须在</w:t>
      </w:r>
      <w:r>
        <w:rPr>
          <w:rFonts w:hint="eastAsia" w:ascii="仿宋" w:hAnsi="仿宋" w:eastAsia="仿宋" w:cs="Times New Roman"/>
          <w:color w:val="000000"/>
          <w:sz w:val="24"/>
          <w:szCs w:val="22"/>
          <w:highlight w:val="none"/>
          <w:lang w:val="en-US" w:eastAsia="zh-CN"/>
        </w:rPr>
        <w:t>1</w:t>
      </w:r>
      <w:r>
        <w:rPr>
          <w:rFonts w:hint="eastAsia" w:ascii="仿宋" w:hAnsi="仿宋" w:eastAsia="仿宋" w:cs="Times New Roman"/>
          <w:color w:val="000000"/>
          <w:sz w:val="24"/>
          <w:szCs w:val="22"/>
          <w:highlight w:val="none"/>
        </w:rPr>
        <w:t>天内完成对货物的二次调试并再次组织验收小组进行验收，若仍然测试不合格，采购人有权终止合同并不再支付本项目剩余的款项且要求</w:t>
      </w:r>
      <w:r>
        <w:rPr>
          <w:rFonts w:hint="eastAsia" w:ascii="仿宋" w:hAnsi="仿宋" w:eastAsia="仿宋" w:cs="Times New Roman"/>
          <w:color w:val="000000"/>
          <w:sz w:val="24"/>
          <w:szCs w:val="22"/>
          <w:highlight w:val="none"/>
          <w:lang w:eastAsia="zh-CN"/>
        </w:rPr>
        <w:t>供应商</w:t>
      </w:r>
      <w:r>
        <w:rPr>
          <w:rFonts w:hint="eastAsia" w:ascii="仿宋" w:hAnsi="仿宋" w:eastAsia="仿宋" w:cs="Times New Roman"/>
          <w:color w:val="000000"/>
          <w:sz w:val="24"/>
          <w:szCs w:val="22"/>
          <w:highlight w:val="none"/>
        </w:rPr>
        <w:t>退还采购人已支付的款项，同时，</w:t>
      </w:r>
      <w:r>
        <w:rPr>
          <w:rFonts w:hint="eastAsia" w:ascii="仿宋" w:hAnsi="仿宋" w:eastAsia="仿宋" w:cs="Times New Roman"/>
          <w:color w:val="000000"/>
          <w:sz w:val="24"/>
          <w:szCs w:val="22"/>
          <w:highlight w:val="none"/>
          <w:lang w:eastAsia="zh-CN"/>
        </w:rPr>
        <w:t>供应商</w:t>
      </w:r>
      <w:r>
        <w:rPr>
          <w:rFonts w:hint="eastAsia" w:ascii="仿宋" w:hAnsi="仿宋" w:eastAsia="仿宋" w:cs="Times New Roman"/>
          <w:color w:val="000000"/>
          <w:sz w:val="24"/>
          <w:szCs w:val="22"/>
          <w:highlight w:val="none"/>
        </w:rPr>
        <w:t>须承担</w:t>
      </w:r>
      <w:r>
        <w:rPr>
          <w:rFonts w:hint="eastAsia" w:ascii="仿宋" w:hAnsi="仿宋" w:eastAsia="仿宋" w:cs="Times New Roman"/>
          <w:color w:val="000000"/>
          <w:sz w:val="24"/>
          <w:szCs w:val="22"/>
          <w:highlight w:val="none"/>
          <w:lang w:eastAsia="zh-CN"/>
        </w:rPr>
        <w:t>成交</w:t>
      </w:r>
      <w:r>
        <w:rPr>
          <w:rFonts w:hint="eastAsia" w:ascii="仿宋" w:hAnsi="仿宋" w:eastAsia="仿宋" w:cs="Times New Roman"/>
          <w:color w:val="000000"/>
          <w:sz w:val="24"/>
          <w:szCs w:val="22"/>
          <w:highlight w:val="none"/>
        </w:rPr>
        <w:t>金额30%的违约金及其造成的一切损失。（</w:t>
      </w:r>
      <w:r>
        <w:rPr>
          <w:rFonts w:hint="eastAsia" w:ascii="仿宋" w:hAnsi="仿宋" w:eastAsia="仿宋" w:cs="Times New Roman"/>
          <w:color w:val="000000"/>
          <w:sz w:val="24"/>
          <w:szCs w:val="22"/>
          <w:highlight w:val="none"/>
          <w:lang w:eastAsia="zh-CN"/>
        </w:rPr>
        <w:t>供应商</w:t>
      </w:r>
      <w:r>
        <w:rPr>
          <w:rFonts w:hint="eastAsia" w:ascii="仿宋" w:hAnsi="仿宋" w:eastAsia="仿宋" w:cs="Times New Roman"/>
          <w:color w:val="000000"/>
          <w:sz w:val="24"/>
          <w:szCs w:val="22"/>
          <w:highlight w:val="none"/>
        </w:rPr>
        <w:t>须在</w:t>
      </w:r>
      <w:r>
        <w:rPr>
          <w:rFonts w:hint="eastAsia" w:ascii="仿宋" w:hAnsi="仿宋" w:eastAsia="仿宋" w:cs="Times New Roman"/>
          <w:color w:val="000000"/>
          <w:sz w:val="24"/>
          <w:szCs w:val="22"/>
          <w:highlight w:val="none"/>
          <w:lang w:eastAsia="zh-CN"/>
        </w:rPr>
        <w:t>响应</w:t>
      </w:r>
      <w:r>
        <w:rPr>
          <w:rFonts w:hint="eastAsia" w:ascii="仿宋" w:hAnsi="仿宋" w:eastAsia="仿宋" w:cs="Times New Roman"/>
          <w:color w:val="000000"/>
          <w:sz w:val="24"/>
          <w:szCs w:val="22"/>
          <w:highlight w:val="none"/>
        </w:rPr>
        <w:t>文件中提供单独书面承诺函并加盖投标人公章）</w:t>
      </w:r>
    </w:p>
    <w:p>
      <w:pPr>
        <w:pStyle w:val="2"/>
        <w:spacing w:line="420" w:lineRule="exact"/>
        <w:ind w:firstLine="480" w:firstLineChars="200"/>
        <w:rPr>
          <w:rFonts w:ascii="仿宋" w:hAnsi="仿宋" w:eastAsia="仿宋" w:cs="Times New Roman"/>
          <w:color w:val="000000"/>
          <w:sz w:val="24"/>
          <w:szCs w:val="22"/>
          <w:highlight w:val="none"/>
        </w:rPr>
      </w:pPr>
      <w:r>
        <w:rPr>
          <w:rFonts w:hint="eastAsia" w:ascii="仿宋" w:hAnsi="仿宋" w:eastAsia="仿宋" w:cs="Times New Roman"/>
          <w:color w:val="000000"/>
          <w:sz w:val="24"/>
          <w:szCs w:val="22"/>
          <w:highlight w:val="none"/>
          <w:lang w:val="en-US" w:eastAsia="zh-CN"/>
        </w:rPr>
        <w:t>4.</w:t>
      </w:r>
      <w:r>
        <w:rPr>
          <w:rFonts w:hint="eastAsia" w:ascii="仿宋" w:hAnsi="仿宋" w:eastAsia="仿宋" w:cs="Times New Roman"/>
          <w:color w:val="000000"/>
          <w:sz w:val="24"/>
          <w:szCs w:val="22"/>
          <w:highlight w:val="none"/>
        </w:rPr>
        <w:t xml:space="preserve">要求本项目的设备，除了要符合本采购项目内容所要求的技术规格参数外，还要符合中华人民共和国国家标准或行业标准，这些标准必须是有关机构发布的最新版本的标准；如采购项目内容中所描述的 技术参数标准与国家标准或行业标准有冲突，则以国家标准或行业标准为准。 </w:t>
      </w:r>
    </w:p>
    <w:p>
      <w:pPr>
        <w:pStyle w:val="2"/>
        <w:spacing w:line="420" w:lineRule="exact"/>
        <w:ind w:firstLine="480" w:firstLineChars="200"/>
        <w:rPr>
          <w:rFonts w:ascii="仿宋" w:hAnsi="仿宋" w:eastAsia="仿宋" w:cs="Times New Roman"/>
          <w:color w:val="000000"/>
          <w:sz w:val="24"/>
          <w:szCs w:val="22"/>
          <w:highlight w:val="none"/>
        </w:rPr>
      </w:pPr>
      <w:r>
        <w:rPr>
          <w:rFonts w:hint="eastAsia" w:ascii="仿宋" w:hAnsi="仿宋" w:eastAsia="仿宋" w:cs="Times New Roman"/>
          <w:color w:val="000000"/>
          <w:sz w:val="24"/>
          <w:szCs w:val="22"/>
          <w:highlight w:val="none"/>
        </w:rPr>
        <w:t>5.2 验收细则</w:t>
      </w:r>
    </w:p>
    <w:p>
      <w:pPr>
        <w:pStyle w:val="2"/>
        <w:spacing w:line="420" w:lineRule="exact"/>
        <w:ind w:firstLine="480" w:firstLineChars="200"/>
        <w:rPr>
          <w:rFonts w:ascii="仿宋" w:hAnsi="仿宋" w:eastAsia="仿宋" w:cs="Times New Roman"/>
          <w:color w:val="000000"/>
          <w:sz w:val="24"/>
          <w:szCs w:val="22"/>
          <w:highlight w:val="none"/>
        </w:rPr>
      </w:pPr>
      <w:r>
        <w:rPr>
          <w:rFonts w:hint="eastAsia" w:ascii="仿宋" w:hAnsi="仿宋" w:eastAsia="仿宋" w:cs="Times New Roman"/>
          <w:color w:val="000000"/>
          <w:sz w:val="24"/>
          <w:szCs w:val="22"/>
          <w:highlight w:val="none"/>
        </w:rPr>
        <w:t xml:space="preserve"> 1）</w:t>
      </w:r>
      <w:r>
        <w:rPr>
          <w:rFonts w:hint="eastAsia" w:ascii="仿宋" w:hAnsi="仿宋" w:eastAsia="仿宋" w:cs="Times New Roman"/>
          <w:color w:val="000000"/>
          <w:sz w:val="24"/>
          <w:szCs w:val="22"/>
          <w:highlight w:val="none"/>
          <w:lang w:eastAsia="zh-CN"/>
        </w:rPr>
        <w:t>全部</w:t>
      </w:r>
      <w:r>
        <w:rPr>
          <w:rFonts w:hint="eastAsia" w:ascii="仿宋" w:hAnsi="仿宋" w:eastAsia="仿宋" w:cs="Times New Roman"/>
          <w:color w:val="000000"/>
          <w:sz w:val="24"/>
          <w:szCs w:val="22"/>
          <w:highlight w:val="none"/>
        </w:rPr>
        <w:t xml:space="preserve">货物运抵现场后至最终验收前。都要求进行依国家有关标准、行业标准、合同及有关附件要求进行检测。 </w:t>
      </w:r>
    </w:p>
    <w:p>
      <w:pPr>
        <w:pStyle w:val="2"/>
        <w:spacing w:line="420" w:lineRule="exact"/>
        <w:ind w:firstLine="480" w:firstLineChars="200"/>
        <w:rPr>
          <w:rFonts w:ascii="仿宋" w:hAnsi="仿宋" w:eastAsia="仿宋" w:cs="Times New Roman"/>
          <w:color w:val="000000"/>
          <w:sz w:val="24"/>
          <w:szCs w:val="22"/>
          <w:highlight w:val="none"/>
        </w:rPr>
      </w:pPr>
      <w:r>
        <w:rPr>
          <w:rFonts w:hint="eastAsia" w:ascii="仿宋" w:hAnsi="仿宋" w:eastAsia="仿宋" w:cs="Times New Roman"/>
          <w:color w:val="000000"/>
          <w:sz w:val="24"/>
          <w:szCs w:val="22"/>
          <w:highlight w:val="none"/>
        </w:rPr>
        <w:t xml:space="preserve">2）货物到货阶段、开箱检验和基本测试货物到货验收将分成两步进行：第一步是产品外包装验收，第二步是产品开箱验收。外包装验收主要是检查外包装在运输途中的破损情况；开箱验收，主要是检查有无短缺和到货即损，包括对硬件产品的通电检验，并将货物的序列号进行登记和核对，即严格按照合同对货物进行检查，以便及早发现到货即损的货物，并采取相应措施，按照保修程序返回厂家更换。货物到货验阶段需填写货物验收表等，采购人对生产厂家的产品进行验收。 </w:t>
      </w:r>
    </w:p>
    <w:p>
      <w:pPr>
        <w:pStyle w:val="2"/>
        <w:spacing w:line="420" w:lineRule="exact"/>
        <w:ind w:firstLine="480" w:firstLineChars="200"/>
        <w:rPr>
          <w:rFonts w:ascii="仿宋" w:hAnsi="仿宋" w:eastAsia="仿宋" w:cs="Times New Roman"/>
          <w:color w:val="000000"/>
          <w:sz w:val="24"/>
          <w:szCs w:val="22"/>
          <w:highlight w:val="none"/>
        </w:rPr>
      </w:pPr>
      <w:r>
        <w:rPr>
          <w:rFonts w:hint="eastAsia" w:ascii="仿宋" w:hAnsi="仿宋" w:eastAsia="仿宋" w:cs="Times New Roman"/>
          <w:color w:val="000000"/>
          <w:sz w:val="24"/>
          <w:szCs w:val="22"/>
          <w:highlight w:val="none"/>
        </w:rPr>
        <w:t>3）要求对全部的货物、产品、型号、规格、数量、外型、外观、包装及资料、文件（如进货单、装箱单、保修证明、保修单、随箱介质等）的仔细检查。拆箱后，对其全部产品、零件、配件、用户许 可证书、资料、介质造册登记，并与装箱单对比，如有出入应立即书面记录，由供货商解决，如影响安装则按合同有关条款处理。货物通电测试应单台进行，所有货物通电自检正常后，才能相互联。货物全部安装完成且连接完毕进行系统测试，按</w:t>
      </w:r>
      <w:r>
        <w:rPr>
          <w:rFonts w:hint="eastAsia" w:ascii="仿宋" w:hAnsi="仿宋" w:eastAsia="仿宋" w:cs="Times New Roman"/>
          <w:color w:val="000000"/>
          <w:sz w:val="24"/>
          <w:szCs w:val="22"/>
          <w:highlight w:val="none"/>
          <w:lang w:eastAsia="zh-CN"/>
        </w:rPr>
        <w:t>询价</w:t>
      </w:r>
      <w:r>
        <w:rPr>
          <w:rFonts w:hint="eastAsia" w:ascii="仿宋" w:hAnsi="仿宋" w:eastAsia="仿宋" w:cs="Times New Roman"/>
          <w:color w:val="000000"/>
          <w:sz w:val="24"/>
          <w:szCs w:val="22"/>
          <w:highlight w:val="none"/>
        </w:rPr>
        <w:t>文件技术要求逐条检测，供货时不以任何理由作变更，采购人一律不接受功能有负偏差的变更，只接受功能优于且包含采购需求所列功能的产品，若供货后发现功能不满足</w:t>
      </w:r>
      <w:r>
        <w:rPr>
          <w:rFonts w:hint="eastAsia" w:ascii="仿宋" w:hAnsi="仿宋" w:eastAsia="仿宋" w:cs="Times New Roman"/>
          <w:color w:val="000000"/>
          <w:sz w:val="24"/>
          <w:szCs w:val="22"/>
          <w:highlight w:val="none"/>
          <w:lang w:eastAsia="zh-CN"/>
        </w:rPr>
        <w:t>响应</w:t>
      </w:r>
      <w:r>
        <w:rPr>
          <w:rFonts w:hint="eastAsia" w:ascii="仿宋" w:hAnsi="仿宋" w:eastAsia="仿宋" w:cs="Times New Roman"/>
          <w:color w:val="000000"/>
          <w:sz w:val="24"/>
          <w:szCs w:val="22"/>
          <w:highlight w:val="none"/>
        </w:rPr>
        <w:t>文件的，采购人一律不予</w:t>
      </w:r>
      <w:r>
        <w:rPr>
          <w:rFonts w:hint="eastAsia" w:ascii="仿宋" w:hAnsi="仿宋" w:eastAsia="仿宋" w:cs="Times New Roman"/>
          <w:color w:val="000000"/>
          <w:sz w:val="24"/>
          <w:szCs w:val="22"/>
          <w:highlight w:val="none"/>
          <w:lang w:eastAsia="zh-CN"/>
        </w:rPr>
        <w:t>通过</w:t>
      </w:r>
      <w:r>
        <w:rPr>
          <w:rFonts w:hint="eastAsia" w:ascii="仿宋" w:hAnsi="仿宋" w:eastAsia="仿宋" w:cs="Times New Roman"/>
          <w:color w:val="000000"/>
          <w:sz w:val="24"/>
          <w:szCs w:val="22"/>
          <w:highlight w:val="none"/>
        </w:rPr>
        <w:t>验收，所带来的损失采购人一概不负责</w:t>
      </w:r>
      <w:r>
        <w:rPr>
          <w:rFonts w:hint="eastAsia" w:ascii="仿宋" w:hAnsi="仿宋" w:eastAsia="仿宋" w:cs="Times New Roman"/>
          <w:color w:val="000000"/>
          <w:sz w:val="24"/>
          <w:szCs w:val="22"/>
          <w:highlight w:val="none"/>
          <w:lang w:eastAsia="zh-CN"/>
        </w:rPr>
        <w:t>且</w:t>
      </w:r>
      <w:r>
        <w:rPr>
          <w:rFonts w:hint="eastAsia" w:ascii="仿宋" w:hAnsi="仿宋" w:eastAsia="仿宋" w:cs="Times New Roman"/>
          <w:color w:val="000000"/>
          <w:sz w:val="24"/>
          <w:szCs w:val="22"/>
          <w:highlight w:val="none"/>
        </w:rPr>
        <w:t>及</w:t>
      </w:r>
      <w:r>
        <w:rPr>
          <w:rFonts w:hint="eastAsia" w:ascii="仿宋" w:hAnsi="仿宋" w:eastAsia="仿宋" w:cs="Times New Roman"/>
          <w:color w:val="000000"/>
          <w:sz w:val="24"/>
          <w:szCs w:val="22"/>
          <w:highlight w:val="none"/>
          <w:lang w:eastAsia="zh-CN"/>
        </w:rPr>
        <w:t>有权要求供应商</w:t>
      </w:r>
      <w:r>
        <w:rPr>
          <w:rFonts w:hint="eastAsia" w:ascii="仿宋" w:hAnsi="仿宋" w:eastAsia="仿宋" w:cs="Times New Roman"/>
          <w:color w:val="000000"/>
          <w:sz w:val="24"/>
          <w:szCs w:val="22"/>
          <w:highlight w:val="none"/>
        </w:rPr>
        <w:t>赔偿。</w:t>
      </w:r>
    </w:p>
    <w:p>
      <w:pPr>
        <w:ind w:firstLine="562"/>
        <w:rPr>
          <w:rFonts w:hint="eastAsia" w:ascii="仿宋" w:hAnsi="仿宋" w:eastAsia="仿宋" w:cs="Times New Roman"/>
          <w:color w:val="000000"/>
          <w:sz w:val="24"/>
          <w:szCs w:val="22"/>
          <w:highlight w:val="none"/>
          <w:lang w:eastAsia="zh-CN"/>
        </w:rPr>
      </w:pPr>
      <w:r>
        <w:rPr>
          <w:rFonts w:hint="eastAsia" w:ascii="仿宋" w:hAnsi="仿宋" w:eastAsia="仿宋" w:cs="Times New Roman"/>
          <w:color w:val="000000"/>
          <w:sz w:val="24"/>
          <w:szCs w:val="22"/>
          <w:highlight w:val="none"/>
        </w:rPr>
        <w:t>4）货物安装调试完成</w:t>
      </w:r>
      <w:r>
        <w:rPr>
          <w:rFonts w:hint="eastAsia" w:ascii="仿宋" w:hAnsi="仿宋" w:eastAsia="仿宋" w:cs="Times New Roman"/>
          <w:color w:val="000000"/>
          <w:sz w:val="24"/>
          <w:szCs w:val="22"/>
          <w:highlight w:val="none"/>
          <w:lang w:eastAsia="zh-CN"/>
        </w:rPr>
        <w:t>并验收合格</w:t>
      </w:r>
      <w:r>
        <w:rPr>
          <w:rFonts w:hint="eastAsia" w:ascii="仿宋" w:hAnsi="仿宋" w:eastAsia="仿宋" w:cs="Times New Roman"/>
          <w:color w:val="000000"/>
          <w:sz w:val="24"/>
          <w:szCs w:val="22"/>
          <w:highlight w:val="none"/>
        </w:rPr>
        <w:t>后，在不影响正常使用的情况下也不得出现异响、漏电、过热等异常情况。如3天内无法解决上述异常，视为该货物不合格</w:t>
      </w:r>
      <w:r>
        <w:rPr>
          <w:rFonts w:hint="eastAsia" w:ascii="仿宋" w:hAnsi="仿宋" w:eastAsia="仿宋" w:cs="Times New Roman"/>
          <w:color w:val="000000"/>
          <w:sz w:val="24"/>
          <w:szCs w:val="22"/>
          <w:highlight w:val="none"/>
          <w:lang w:eastAsia="zh-CN"/>
        </w:rPr>
        <w:t>，</w:t>
      </w:r>
      <w:r>
        <w:rPr>
          <w:rFonts w:hint="eastAsia" w:ascii="仿宋" w:hAnsi="仿宋" w:eastAsia="仿宋" w:cs="Times New Roman"/>
          <w:color w:val="000000"/>
          <w:sz w:val="24"/>
          <w:szCs w:val="22"/>
          <w:highlight w:val="none"/>
        </w:rPr>
        <w:t>采购人</w:t>
      </w:r>
      <w:r>
        <w:rPr>
          <w:rFonts w:hint="eastAsia" w:ascii="仿宋" w:hAnsi="仿宋" w:eastAsia="仿宋" w:cs="Times New Roman"/>
          <w:color w:val="000000"/>
          <w:sz w:val="24"/>
          <w:szCs w:val="22"/>
          <w:highlight w:val="none"/>
          <w:lang w:eastAsia="zh-CN"/>
        </w:rPr>
        <w:t>有权要求终止合同并要求供应商</w:t>
      </w:r>
      <w:r>
        <w:rPr>
          <w:rFonts w:hint="eastAsia" w:ascii="仿宋" w:hAnsi="仿宋" w:eastAsia="仿宋" w:cs="Times New Roman"/>
          <w:color w:val="000000"/>
          <w:sz w:val="24"/>
          <w:szCs w:val="22"/>
          <w:highlight w:val="none"/>
        </w:rPr>
        <w:t>赔偿</w:t>
      </w:r>
      <w:r>
        <w:rPr>
          <w:rFonts w:hint="eastAsia" w:ascii="仿宋" w:hAnsi="仿宋" w:eastAsia="仿宋" w:cs="Times New Roman"/>
          <w:color w:val="000000"/>
          <w:sz w:val="24"/>
          <w:szCs w:val="22"/>
          <w:highlight w:val="none"/>
          <w:lang w:eastAsia="zh-CN"/>
        </w:rPr>
        <w:t>。</w:t>
      </w:r>
    </w:p>
    <w:p>
      <w:pPr>
        <w:rPr>
          <w:highlight w:val="none"/>
        </w:rPr>
      </w:pPr>
    </w:p>
    <w:p>
      <w:pPr>
        <w:jc w:val="center"/>
        <w:rPr>
          <w:highlight w:val="none"/>
        </w:rPr>
      </w:pPr>
      <w:r>
        <w:rPr>
          <w:rFonts w:hint="eastAsia"/>
          <w:highlight w:val="none"/>
        </w:rPr>
        <w:t>功能演示要求</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395"/>
        <w:gridCol w:w="928"/>
        <w:gridCol w:w="5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autoSpaceDE w:val="0"/>
              <w:autoSpaceDN w:val="0"/>
              <w:adjustRightInd w:val="0"/>
              <w:spacing w:line="420" w:lineRule="exact"/>
              <w:jc w:val="center"/>
              <w:rPr>
                <w:rFonts w:ascii="宋体" w:hAnsi="宋体" w:eastAsia="宋体" w:cs="Times New Roman"/>
                <w:b/>
                <w:bCs/>
                <w:color w:val="000000"/>
                <w:kern w:val="0"/>
                <w:sz w:val="21"/>
                <w:szCs w:val="21"/>
                <w:highlight w:val="none"/>
              </w:rPr>
            </w:pPr>
            <w:r>
              <w:rPr>
                <w:rFonts w:hint="eastAsia" w:ascii="宋体" w:hAnsi="宋体" w:eastAsia="宋体" w:cs="Times New Roman"/>
                <w:b/>
                <w:bCs/>
                <w:color w:val="000000"/>
                <w:kern w:val="0"/>
                <w:sz w:val="21"/>
                <w:szCs w:val="21"/>
                <w:highlight w:val="none"/>
              </w:rPr>
              <w:t>序号</w:t>
            </w:r>
          </w:p>
        </w:tc>
        <w:tc>
          <w:tcPr>
            <w:tcW w:w="770" w:type="pct"/>
            <w:vAlign w:val="center"/>
          </w:tcPr>
          <w:p>
            <w:pPr>
              <w:autoSpaceDE w:val="0"/>
              <w:autoSpaceDN w:val="0"/>
              <w:adjustRightInd w:val="0"/>
              <w:spacing w:line="420" w:lineRule="exact"/>
              <w:jc w:val="center"/>
              <w:rPr>
                <w:rFonts w:ascii="宋体" w:hAnsi="宋体" w:eastAsia="宋体" w:cs="Times New Roman"/>
                <w:b/>
                <w:bCs/>
                <w:color w:val="000000"/>
                <w:kern w:val="0"/>
                <w:sz w:val="21"/>
                <w:szCs w:val="21"/>
                <w:highlight w:val="none"/>
              </w:rPr>
            </w:pPr>
            <w:r>
              <w:rPr>
                <w:rFonts w:hint="eastAsia" w:ascii="宋体" w:hAnsi="宋体" w:eastAsia="宋体" w:cs="Times New Roman"/>
                <w:b/>
                <w:bCs/>
                <w:color w:val="000000"/>
                <w:kern w:val="0"/>
                <w:sz w:val="21"/>
                <w:szCs w:val="21"/>
                <w:highlight w:val="none"/>
              </w:rPr>
              <w:t>演示产品</w:t>
            </w:r>
          </w:p>
        </w:tc>
        <w:tc>
          <w:tcPr>
            <w:tcW w:w="512" w:type="pct"/>
            <w:vAlign w:val="center"/>
          </w:tcPr>
          <w:p>
            <w:pPr>
              <w:autoSpaceDE w:val="0"/>
              <w:autoSpaceDN w:val="0"/>
              <w:adjustRightInd w:val="0"/>
              <w:spacing w:line="420" w:lineRule="exact"/>
              <w:jc w:val="center"/>
              <w:rPr>
                <w:rFonts w:hint="eastAsia" w:ascii="宋体" w:hAnsi="宋体" w:eastAsia="宋体" w:cs="Times New Roman"/>
                <w:b/>
                <w:bCs/>
                <w:color w:val="000000"/>
                <w:kern w:val="0"/>
                <w:sz w:val="21"/>
                <w:szCs w:val="21"/>
                <w:highlight w:val="none"/>
              </w:rPr>
            </w:pPr>
            <w:r>
              <w:rPr>
                <w:rFonts w:hint="eastAsia" w:ascii="宋体" w:hAnsi="宋体" w:eastAsia="宋体" w:cs="Times New Roman"/>
                <w:b/>
                <w:bCs/>
                <w:color w:val="000000"/>
                <w:kern w:val="0"/>
                <w:sz w:val="21"/>
                <w:szCs w:val="21"/>
                <w:highlight w:val="none"/>
              </w:rPr>
              <w:t>部件</w:t>
            </w:r>
          </w:p>
        </w:tc>
        <w:tc>
          <w:tcPr>
            <w:tcW w:w="3294" w:type="pct"/>
            <w:vAlign w:val="center"/>
          </w:tcPr>
          <w:p>
            <w:pPr>
              <w:autoSpaceDE w:val="0"/>
              <w:autoSpaceDN w:val="0"/>
              <w:adjustRightInd w:val="0"/>
              <w:spacing w:line="420" w:lineRule="exact"/>
              <w:jc w:val="center"/>
              <w:rPr>
                <w:rFonts w:ascii="宋体" w:hAnsi="宋体" w:eastAsia="宋体" w:cs="Times New Roman"/>
                <w:b/>
                <w:bCs/>
                <w:color w:val="000000"/>
                <w:kern w:val="0"/>
                <w:sz w:val="21"/>
                <w:szCs w:val="21"/>
                <w:highlight w:val="none"/>
              </w:rPr>
            </w:pPr>
            <w:r>
              <w:rPr>
                <w:rFonts w:hint="eastAsia" w:ascii="宋体" w:hAnsi="宋体" w:eastAsia="宋体" w:cs="Times New Roman"/>
                <w:b/>
                <w:bCs/>
                <w:color w:val="000000"/>
                <w:kern w:val="0"/>
                <w:sz w:val="21"/>
                <w:szCs w:val="21"/>
                <w:highlight w:val="none"/>
              </w:rPr>
              <w:t>具体</w:t>
            </w:r>
            <w:r>
              <w:rPr>
                <w:rFonts w:ascii="宋体" w:hAnsi="宋体" w:eastAsia="宋体" w:cs="Times New Roman"/>
                <w:b/>
                <w:bCs/>
                <w:color w:val="000000"/>
                <w:kern w:val="0"/>
                <w:sz w:val="21"/>
                <w:szCs w:val="21"/>
                <w:highlight w:val="none"/>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restart"/>
            <w:vAlign w:val="center"/>
          </w:tcPr>
          <w:p>
            <w:pPr>
              <w:autoSpaceDE w:val="0"/>
              <w:autoSpaceDN w:val="0"/>
              <w:adjustRightInd w:val="0"/>
              <w:spacing w:line="420" w:lineRule="exact"/>
              <w:jc w:val="center"/>
              <w:rPr>
                <w:rFonts w:ascii="宋体" w:hAnsi="宋体" w:eastAsia="宋体" w:cs="等线"/>
                <w:color w:val="000000"/>
                <w:kern w:val="0"/>
                <w:sz w:val="21"/>
                <w:szCs w:val="21"/>
                <w:highlight w:val="none"/>
              </w:rPr>
            </w:pPr>
            <w:r>
              <w:rPr>
                <w:rFonts w:hint="eastAsia" w:ascii="宋体" w:hAnsi="宋体" w:eastAsia="宋体" w:cs="等线"/>
                <w:color w:val="000000"/>
                <w:kern w:val="0"/>
                <w:sz w:val="21"/>
                <w:szCs w:val="21"/>
                <w:highlight w:val="none"/>
              </w:rPr>
              <w:t>1</w:t>
            </w:r>
          </w:p>
        </w:tc>
        <w:tc>
          <w:tcPr>
            <w:tcW w:w="770" w:type="pct"/>
            <w:vMerge w:val="restart"/>
            <w:vAlign w:val="center"/>
          </w:tcPr>
          <w:p>
            <w:pPr>
              <w:autoSpaceDE w:val="0"/>
              <w:autoSpaceDN w:val="0"/>
              <w:adjustRightInd w:val="0"/>
              <w:spacing w:line="420" w:lineRule="exact"/>
              <w:jc w:val="center"/>
              <w:rPr>
                <w:rFonts w:ascii="宋体" w:hAnsi="宋体" w:eastAsia="宋体" w:cs="等线"/>
                <w:color w:val="000000"/>
                <w:kern w:val="0"/>
                <w:sz w:val="21"/>
                <w:szCs w:val="21"/>
                <w:highlight w:val="none"/>
              </w:rPr>
            </w:pPr>
            <w:r>
              <w:rPr>
                <w:rFonts w:hint="eastAsia" w:ascii="宋体" w:hAnsi="宋体" w:eastAsia="宋体" w:cs="等线"/>
                <w:color w:val="000000"/>
                <w:kern w:val="0"/>
                <w:sz w:val="21"/>
                <w:szCs w:val="21"/>
                <w:highlight w:val="none"/>
              </w:rPr>
              <w:t>大数据智能安全平台</w:t>
            </w:r>
          </w:p>
        </w:tc>
        <w:tc>
          <w:tcPr>
            <w:tcW w:w="512" w:type="pct"/>
            <w:vAlign w:val="center"/>
          </w:tcPr>
          <w:p>
            <w:pPr>
              <w:numPr>
                <w:ilvl w:val="255"/>
                <w:numId w:val="0"/>
              </w:numPr>
              <w:autoSpaceDE w:val="0"/>
              <w:autoSpaceDN w:val="0"/>
              <w:adjustRightInd w:val="0"/>
              <w:jc w:val="center"/>
              <w:rPr>
                <w:rFonts w:hint="eastAsia" w:ascii="宋体" w:hAnsi="宋体" w:eastAsia="宋体" w:cs="等线"/>
                <w:kern w:val="0"/>
                <w:sz w:val="21"/>
                <w:szCs w:val="21"/>
                <w:highlight w:val="none"/>
              </w:rPr>
            </w:pPr>
            <w:r>
              <w:rPr>
                <w:rFonts w:hint="eastAsia" w:ascii="宋体" w:hAnsi="宋体" w:eastAsia="宋体" w:cs="等线"/>
                <w:kern w:val="0"/>
                <w:sz w:val="21"/>
                <w:szCs w:val="21"/>
                <w:highlight w:val="none"/>
              </w:rPr>
              <w:t>平台软件</w:t>
            </w:r>
          </w:p>
        </w:tc>
        <w:tc>
          <w:tcPr>
            <w:tcW w:w="3294" w:type="pct"/>
            <w:vAlign w:val="center"/>
          </w:tcPr>
          <w:p>
            <w:pPr>
              <w:numPr>
                <w:ilvl w:val="255"/>
                <w:numId w:val="0"/>
              </w:numPr>
              <w:autoSpaceDE w:val="0"/>
              <w:autoSpaceDN w:val="0"/>
              <w:adjustRightInd w:val="0"/>
              <w:rPr>
                <w:rFonts w:ascii="宋体" w:hAnsi="宋体" w:eastAsia="宋体" w:cs="等线"/>
                <w:kern w:val="0"/>
                <w:sz w:val="21"/>
                <w:szCs w:val="21"/>
                <w:highlight w:val="none"/>
              </w:rPr>
            </w:pPr>
            <w:r>
              <w:rPr>
                <w:rFonts w:hint="eastAsia" w:ascii="宋体" w:hAnsi="宋体" w:eastAsia="宋体" w:cs="等线"/>
                <w:b/>
                <w:bCs/>
                <w:kern w:val="0"/>
                <w:sz w:val="21"/>
                <w:szCs w:val="21"/>
                <w:highlight w:val="none"/>
              </w:rPr>
              <w:t>1、提供威胁狩猎能力：</w:t>
            </w:r>
            <w:r>
              <w:rPr>
                <w:rFonts w:hint="eastAsia" w:ascii="宋体" w:hAnsi="宋体" w:eastAsia="宋体" w:cs="等线"/>
                <w:kern w:val="0"/>
                <w:sz w:val="21"/>
                <w:szCs w:val="21"/>
                <w:highlight w:val="none"/>
              </w:rPr>
              <w:t>应支持基于</w:t>
            </w:r>
            <w:r>
              <w:rPr>
                <w:rFonts w:ascii="宋体" w:hAnsi="宋体" w:eastAsia="宋体" w:cs="等线"/>
                <w:kern w:val="0"/>
                <w:sz w:val="21"/>
                <w:szCs w:val="21"/>
                <w:highlight w:val="none"/>
              </w:rPr>
              <w:t>IP</w:t>
            </w:r>
            <w:r>
              <w:rPr>
                <w:rFonts w:hint="eastAsia" w:ascii="宋体" w:hAnsi="宋体" w:eastAsia="宋体" w:cs="等线"/>
                <w:kern w:val="0"/>
                <w:sz w:val="21"/>
                <w:szCs w:val="21"/>
                <w:highlight w:val="none"/>
              </w:rPr>
              <w:t>的威胁狩猎，实现风险钻取分析功能，可根据攻击者和受害者等不同纬度的风险要素对整网安全进行逐层分析和逐级追踪，可以从系统内所有的</w:t>
            </w:r>
            <w:r>
              <w:rPr>
                <w:rFonts w:ascii="宋体" w:hAnsi="宋体" w:eastAsia="宋体" w:cs="等线"/>
                <w:kern w:val="0"/>
                <w:sz w:val="21"/>
                <w:szCs w:val="21"/>
                <w:highlight w:val="none"/>
              </w:rPr>
              <w:t>IP</w:t>
            </w:r>
            <w:r>
              <w:rPr>
                <w:rFonts w:hint="eastAsia" w:ascii="宋体" w:hAnsi="宋体" w:eastAsia="宋体" w:cs="等线"/>
                <w:kern w:val="0"/>
                <w:sz w:val="21"/>
                <w:szCs w:val="21"/>
                <w:highlight w:val="none"/>
              </w:rPr>
              <w:t>进行下钻分析，聚合关联与该</w:t>
            </w:r>
            <w:r>
              <w:rPr>
                <w:rFonts w:ascii="宋体" w:hAnsi="宋体" w:eastAsia="宋体" w:cs="等线"/>
                <w:kern w:val="0"/>
                <w:sz w:val="21"/>
                <w:szCs w:val="21"/>
                <w:highlight w:val="none"/>
              </w:rPr>
              <w:t>IP</w:t>
            </w:r>
            <w:r>
              <w:rPr>
                <w:rFonts w:hint="eastAsia" w:ascii="宋体" w:hAnsi="宋体" w:eastAsia="宋体" w:cs="等线"/>
                <w:kern w:val="0"/>
                <w:sz w:val="21"/>
                <w:szCs w:val="21"/>
                <w:highlight w:val="none"/>
              </w:rPr>
              <w:t>相关的所有安全告警与访问信息，以时序方式呈现资产遭受的攻击全过程；同时具备一键快照能力：支持创建、修改、删除狩猎报告，支持将星空图及系统中的异常元素，一键添加到威胁狩猎报告内容中，须提供动态演示界面；</w:t>
            </w:r>
          </w:p>
          <w:p>
            <w:pPr>
              <w:numPr>
                <w:ilvl w:val="255"/>
                <w:numId w:val="0"/>
              </w:numPr>
              <w:autoSpaceDE w:val="0"/>
              <w:autoSpaceDN w:val="0"/>
              <w:adjustRightInd w:val="0"/>
              <w:rPr>
                <w:rFonts w:ascii="宋体" w:hAnsi="宋体" w:eastAsia="宋体" w:cs="等线"/>
                <w:kern w:val="0"/>
                <w:sz w:val="21"/>
                <w:szCs w:val="21"/>
                <w:highlight w:val="none"/>
              </w:rPr>
            </w:pPr>
            <w:r>
              <w:rPr>
                <w:rFonts w:hint="eastAsia" w:ascii="宋体" w:hAnsi="宋体" w:eastAsia="宋体" w:cs="等线"/>
                <w:b/>
                <w:bCs/>
                <w:kern w:val="0"/>
                <w:sz w:val="21"/>
                <w:szCs w:val="21"/>
                <w:highlight w:val="none"/>
              </w:rPr>
              <w:t>2、提供告警处置能力：</w:t>
            </w:r>
            <w:r>
              <w:rPr>
                <w:rFonts w:hint="eastAsia" w:ascii="宋体" w:hAnsi="宋体" w:eastAsia="宋体" w:cs="等线"/>
                <w:kern w:val="0"/>
                <w:sz w:val="21"/>
                <w:szCs w:val="21"/>
                <w:highlight w:val="none"/>
              </w:rPr>
              <w:t>应支持对告警进行处置，包括确认、加入白名单、封堵操作，支持多条件查询，支持图表和列表联动，支持钻取至告警详情，综合展示告警信息攻击模型，访问关系图，危害和处置建议，告警历程，告警溯源信息和关联的原始日志，支持钻取到日志中心进行详细分析，须提供动态演示界面；</w:t>
            </w:r>
          </w:p>
          <w:p>
            <w:pPr>
              <w:numPr>
                <w:ilvl w:val="255"/>
                <w:numId w:val="0"/>
              </w:numPr>
              <w:autoSpaceDE w:val="0"/>
              <w:autoSpaceDN w:val="0"/>
              <w:adjustRightInd w:val="0"/>
              <w:rPr>
                <w:rFonts w:ascii="宋体" w:hAnsi="宋体" w:eastAsia="宋体" w:cs="等线"/>
                <w:kern w:val="0"/>
                <w:sz w:val="21"/>
                <w:szCs w:val="21"/>
                <w:highlight w:val="none"/>
              </w:rPr>
            </w:pPr>
            <w:r>
              <w:rPr>
                <w:rFonts w:hint="eastAsia" w:ascii="宋体" w:hAnsi="宋体" w:eastAsia="宋体" w:cs="等线"/>
                <w:b/>
                <w:bCs/>
                <w:kern w:val="0"/>
                <w:sz w:val="21"/>
                <w:szCs w:val="21"/>
                <w:highlight w:val="none"/>
              </w:rPr>
              <w:t>3、提供第三方产品联动能力：</w:t>
            </w:r>
            <w:r>
              <w:rPr>
                <w:rFonts w:hint="eastAsia" w:ascii="宋体" w:hAnsi="宋体" w:eastAsia="宋体" w:cs="等线"/>
                <w:kern w:val="0"/>
                <w:sz w:val="21"/>
                <w:szCs w:val="21"/>
                <w:highlight w:val="none"/>
              </w:rPr>
              <w:t>应支持联动防火墙、云主机防护、终端防病毒、终端安全管理等产品的功能，实现</w:t>
            </w:r>
            <w:r>
              <w:rPr>
                <w:rFonts w:ascii="宋体" w:hAnsi="宋体" w:eastAsia="宋体" w:cs="等线"/>
                <w:kern w:val="0"/>
                <w:sz w:val="21"/>
                <w:szCs w:val="21"/>
                <w:highlight w:val="none"/>
              </w:rPr>
              <w:t>IP/URL/</w:t>
            </w:r>
            <w:r>
              <w:rPr>
                <w:rFonts w:hint="eastAsia" w:ascii="宋体" w:hAnsi="宋体" w:eastAsia="宋体" w:cs="等线"/>
                <w:kern w:val="0"/>
                <w:sz w:val="21"/>
                <w:szCs w:val="21"/>
                <w:highlight w:val="none"/>
              </w:rPr>
              <w:t>域名封堵、病毒查杀、主机隔离、虚拟补丁、挖矿防护等能力，须提供动态演示界面；</w:t>
            </w:r>
          </w:p>
          <w:p>
            <w:pPr>
              <w:numPr>
                <w:ilvl w:val="255"/>
                <w:numId w:val="0"/>
              </w:numPr>
              <w:autoSpaceDE w:val="0"/>
              <w:autoSpaceDN w:val="0"/>
              <w:adjustRightInd w:val="0"/>
              <w:rPr>
                <w:rFonts w:ascii="宋体" w:hAnsi="宋体" w:eastAsia="宋体" w:cs="等线"/>
                <w:kern w:val="0"/>
                <w:sz w:val="21"/>
                <w:szCs w:val="21"/>
                <w:highlight w:val="none"/>
              </w:rPr>
            </w:pPr>
            <w:r>
              <w:rPr>
                <w:rFonts w:hint="eastAsia" w:ascii="宋体" w:hAnsi="宋体" w:eastAsia="宋体" w:cs="等线"/>
                <w:b/>
                <w:bCs/>
                <w:kern w:val="0"/>
                <w:sz w:val="21"/>
                <w:szCs w:val="21"/>
                <w:highlight w:val="none"/>
              </w:rPr>
              <w:t>4、提供剧本任务执行能力：</w:t>
            </w:r>
            <w:r>
              <w:rPr>
                <w:rFonts w:hint="eastAsia" w:ascii="宋体" w:hAnsi="宋体" w:eastAsia="宋体" w:cs="等线"/>
                <w:kern w:val="0"/>
                <w:sz w:val="21"/>
                <w:szCs w:val="21"/>
                <w:highlight w:val="none"/>
              </w:rPr>
              <w:t>支持根据剧本一键封禁、一键查杀、补丁联动、挖矿防护等剧本，</w:t>
            </w:r>
            <w:r>
              <w:rPr>
                <w:rFonts w:ascii="宋体" w:hAnsi="宋体" w:eastAsia="宋体" w:cs="等线"/>
                <w:kern w:val="0"/>
                <w:sz w:val="21"/>
                <w:szCs w:val="21"/>
                <w:highlight w:val="none"/>
              </w:rPr>
              <w:t xml:space="preserve"> 同时可</w:t>
            </w:r>
            <w:r>
              <w:rPr>
                <w:rFonts w:hint="eastAsia" w:ascii="宋体" w:hAnsi="宋体" w:eastAsia="宋体" w:cs="等线"/>
                <w:kern w:val="0"/>
                <w:sz w:val="21"/>
                <w:szCs w:val="21"/>
                <w:highlight w:val="none"/>
              </w:rPr>
              <w:t>查询剧本执行历史查询，单剧本可查看执行轨迹，须提供动态演示界面；</w:t>
            </w:r>
          </w:p>
          <w:p>
            <w:pPr>
              <w:numPr>
                <w:ilvl w:val="255"/>
                <w:numId w:val="0"/>
              </w:numPr>
              <w:autoSpaceDE w:val="0"/>
              <w:autoSpaceDN w:val="0"/>
              <w:adjustRightInd w:val="0"/>
              <w:rPr>
                <w:rFonts w:ascii="宋体" w:hAnsi="宋体" w:eastAsia="宋体" w:cs="等线"/>
                <w:kern w:val="0"/>
                <w:sz w:val="21"/>
                <w:szCs w:val="21"/>
                <w:highlight w:val="none"/>
              </w:rPr>
            </w:pPr>
            <w:r>
              <w:rPr>
                <w:rFonts w:hint="eastAsia" w:ascii="宋体" w:hAnsi="宋体" w:eastAsia="宋体" w:cs="等线"/>
                <w:b/>
                <w:bCs/>
                <w:kern w:val="0"/>
                <w:sz w:val="21"/>
                <w:szCs w:val="21"/>
                <w:highlight w:val="none"/>
              </w:rPr>
              <w:t>5、提供资产自动扫描识别能力：</w:t>
            </w:r>
            <w:r>
              <w:rPr>
                <w:rFonts w:hint="eastAsia" w:ascii="宋体" w:hAnsi="宋体" w:eastAsia="宋体" w:cs="等线"/>
                <w:kern w:val="0"/>
                <w:sz w:val="21"/>
                <w:szCs w:val="21"/>
                <w:highlight w:val="none"/>
              </w:rPr>
              <w:t>应支持根据</w:t>
            </w:r>
            <w:r>
              <w:rPr>
                <w:rFonts w:ascii="宋体" w:hAnsi="宋体" w:eastAsia="宋体" w:cs="等线"/>
                <w:kern w:val="0"/>
                <w:sz w:val="21"/>
                <w:szCs w:val="21"/>
                <w:highlight w:val="none"/>
              </w:rPr>
              <w:t>IP</w:t>
            </w:r>
            <w:r>
              <w:rPr>
                <w:rFonts w:hint="eastAsia" w:ascii="宋体" w:hAnsi="宋体" w:eastAsia="宋体" w:cs="等线"/>
                <w:kern w:val="0"/>
                <w:sz w:val="21"/>
                <w:szCs w:val="21"/>
                <w:highlight w:val="none"/>
              </w:rPr>
              <w:t>网段和端口段进行扫描内网的资产信息，能够识别操作系统、开放的端口、开放的服务、</w:t>
            </w:r>
            <w:r>
              <w:rPr>
                <w:rFonts w:ascii="宋体" w:hAnsi="宋体" w:eastAsia="宋体" w:cs="等线"/>
                <w:kern w:val="0"/>
                <w:sz w:val="21"/>
                <w:szCs w:val="21"/>
                <w:highlight w:val="none"/>
              </w:rPr>
              <w:t>MAC</w:t>
            </w:r>
            <w:r>
              <w:rPr>
                <w:rFonts w:hint="eastAsia" w:ascii="宋体" w:hAnsi="宋体" w:eastAsia="宋体" w:cs="等线"/>
                <w:kern w:val="0"/>
                <w:sz w:val="21"/>
                <w:szCs w:val="21"/>
                <w:highlight w:val="none"/>
              </w:rPr>
              <w:t>地址、资产名称，所得的资产数据可以自动或者人工确认装载到资产数据库进行统一管理，须提供动态演示界面；</w:t>
            </w:r>
          </w:p>
          <w:p>
            <w:pPr>
              <w:numPr>
                <w:ilvl w:val="255"/>
                <w:numId w:val="0"/>
              </w:numPr>
              <w:autoSpaceDE w:val="0"/>
              <w:autoSpaceDN w:val="0"/>
              <w:adjustRightInd w:val="0"/>
              <w:rPr>
                <w:rFonts w:ascii="宋体" w:hAnsi="宋体" w:eastAsia="宋体" w:cs="等线"/>
                <w:kern w:val="0"/>
                <w:sz w:val="21"/>
                <w:szCs w:val="21"/>
                <w:highlight w:val="none"/>
              </w:rPr>
            </w:pPr>
            <w:r>
              <w:rPr>
                <w:rFonts w:hint="eastAsia" w:ascii="宋体" w:hAnsi="宋体" w:eastAsia="宋体" w:cs="等线"/>
                <w:b/>
                <w:bCs/>
                <w:kern w:val="0"/>
                <w:sz w:val="21"/>
                <w:szCs w:val="21"/>
                <w:highlight w:val="none"/>
              </w:rPr>
              <w:t>6、提供资产拓扑自动化生成能力：</w:t>
            </w:r>
            <w:r>
              <w:rPr>
                <w:rFonts w:hint="eastAsia" w:ascii="宋体" w:hAnsi="宋体" w:eastAsia="宋体" w:cs="等线"/>
                <w:kern w:val="0"/>
                <w:sz w:val="21"/>
                <w:szCs w:val="21"/>
                <w:highlight w:val="none"/>
              </w:rPr>
              <w:t>应支持根据设定的安全域网段，自动生成网络拓扑，将各类资产及资产间的互访关联关系，以逻辑拓扑的方式进行展现，支持用户手动修改拓扑图摆放位置，支持在拓扑图上展示资产的详细信息，须提供动态演示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autoSpaceDE w:val="0"/>
              <w:autoSpaceDN w:val="0"/>
              <w:adjustRightInd w:val="0"/>
              <w:spacing w:line="420" w:lineRule="exact"/>
              <w:jc w:val="center"/>
              <w:rPr>
                <w:rFonts w:ascii="宋体" w:hAnsi="宋体" w:eastAsia="宋体" w:cs="等线"/>
                <w:color w:val="000000"/>
                <w:kern w:val="0"/>
                <w:sz w:val="21"/>
                <w:szCs w:val="21"/>
                <w:highlight w:val="none"/>
              </w:rPr>
            </w:pPr>
          </w:p>
        </w:tc>
        <w:tc>
          <w:tcPr>
            <w:tcW w:w="770" w:type="pct"/>
            <w:vMerge w:val="continue"/>
            <w:vAlign w:val="center"/>
          </w:tcPr>
          <w:p>
            <w:pPr>
              <w:autoSpaceDE w:val="0"/>
              <w:autoSpaceDN w:val="0"/>
              <w:adjustRightInd w:val="0"/>
              <w:spacing w:line="420" w:lineRule="exact"/>
              <w:jc w:val="center"/>
              <w:rPr>
                <w:rFonts w:ascii="宋体" w:hAnsi="宋体" w:eastAsia="宋体" w:cs="等线"/>
                <w:color w:val="000000"/>
                <w:kern w:val="0"/>
                <w:sz w:val="21"/>
                <w:szCs w:val="21"/>
                <w:highlight w:val="none"/>
              </w:rPr>
            </w:pPr>
          </w:p>
        </w:tc>
        <w:tc>
          <w:tcPr>
            <w:tcW w:w="512" w:type="pct"/>
            <w:vAlign w:val="center"/>
          </w:tcPr>
          <w:p>
            <w:pPr>
              <w:autoSpaceDE w:val="0"/>
              <w:autoSpaceDN w:val="0"/>
              <w:adjustRightInd w:val="0"/>
              <w:spacing w:after="120"/>
              <w:jc w:val="center"/>
              <w:rPr>
                <w:rFonts w:hint="eastAsia" w:ascii="宋体" w:hAnsi="宋体" w:eastAsia="宋体" w:cs="Times New Roman"/>
                <w:b/>
                <w:bCs/>
                <w:kern w:val="0"/>
                <w:sz w:val="21"/>
                <w:szCs w:val="21"/>
                <w:highlight w:val="none"/>
              </w:rPr>
            </w:pPr>
            <w:r>
              <w:rPr>
                <w:rFonts w:hint="eastAsia" w:ascii="宋体" w:hAnsi="宋体" w:eastAsia="宋体" w:cs="等线"/>
                <w:color w:val="000000"/>
                <w:kern w:val="0"/>
                <w:sz w:val="21"/>
                <w:szCs w:val="21"/>
                <w:highlight w:val="none"/>
              </w:rPr>
              <w:t>流量监测探针</w:t>
            </w:r>
          </w:p>
        </w:tc>
        <w:tc>
          <w:tcPr>
            <w:tcW w:w="3294" w:type="pct"/>
            <w:vAlign w:val="center"/>
          </w:tcPr>
          <w:p>
            <w:pPr>
              <w:autoSpaceDE w:val="0"/>
              <w:autoSpaceDN w:val="0"/>
              <w:adjustRightInd w:val="0"/>
              <w:spacing w:after="120"/>
              <w:rPr>
                <w:rFonts w:ascii="宋体" w:hAnsi="宋体" w:eastAsia="宋体" w:cs="Times New Roman"/>
                <w:kern w:val="0"/>
                <w:sz w:val="21"/>
                <w:szCs w:val="21"/>
                <w:highlight w:val="none"/>
              </w:rPr>
            </w:pPr>
            <w:r>
              <w:rPr>
                <w:rFonts w:hint="eastAsia" w:ascii="宋体" w:hAnsi="宋体" w:eastAsia="宋体" w:cs="Times New Roman"/>
                <w:b/>
                <w:bCs/>
                <w:kern w:val="0"/>
                <w:sz w:val="21"/>
                <w:szCs w:val="21"/>
                <w:highlight w:val="none"/>
              </w:rPr>
              <w:t>1、提供新型/未知威胁分析能力：</w:t>
            </w:r>
            <w:r>
              <w:rPr>
                <w:rFonts w:hint="eastAsia" w:ascii="宋体" w:hAnsi="宋体" w:eastAsia="宋体" w:cs="Times New Roman"/>
                <w:kern w:val="0"/>
                <w:sz w:val="21"/>
                <w:szCs w:val="21"/>
                <w:highlight w:val="none"/>
              </w:rPr>
              <w:t>应支持内置沙箱系统，具有高度定制化，可以支持使用客户环境特性的</w:t>
            </w:r>
            <w:r>
              <w:rPr>
                <w:rFonts w:ascii="宋体" w:hAnsi="宋体" w:eastAsia="宋体" w:cs="Times New Roman"/>
                <w:kern w:val="0"/>
                <w:sz w:val="21"/>
                <w:szCs w:val="21"/>
                <w:highlight w:val="none"/>
              </w:rPr>
              <w:t>Windows</w:t>
            </w:r>
            <w:r>
              <w:rPr>
                <w:rFonts w:hint="eastAsia" w:ascii="宋体" w:hAnsi="宋体" w:eastAsia="宋体" w:cs="Times New Roman"/>
                <w:kern w:val="0"/>
                <w:sz w:val="21"/>
                <w:szCs w:val="21"/>
                <w:highlight w:val="none"/>
              </w:rPr>
              <w:t>操作系统平台与应用，</w:t>
            </w:r>
            <w:r>
              <w:rPr>
                <w:rFonts w:hint="eastAsia" w:ascii="宋体" w:hAnsi="宋体" w:eastAsia="宋体" w:cs="等线"/>
                <w:kern w:val="0"/>
                <w:sz w:val="21"/>
                <w:szCs w:val="21"/>
                <w:highlight w:val="none"/>
              </w:rPr>
              <w:t>须提供动态演示界面；</w:t>
            </w:r>
          </w:p>
          <w:p>
            <w:pPr>
              <w:autoSpaceDE w:val="0"/>
              <w:autoSpaceDN w:val="0"/>
              <w:adjustRightInd w:val="0"/>
              <w:spacing w:after="120"/>
              <w:rPr>
                <w:rFonts w:ascii="宋体" w:hAnsi="宋体" w:eastAsia="宋体" w:cs="Times New Roman"/>
                <w:kern w:val="0"/>
                <w:sz w:val="21"/>
                <w:szCs w:val="21"/>
                <w:highlight w:val="none"/>
              </w:rPr>
            </w:pPr>
            <w:r>
              <w:rPr>
                <w:rFonts w:hint="eastAsia" w:ascii="宋体" w:hAnsi="宋体" w:eastAsia="宋体" w:cs="Times New Roman"/>
                <w:b/>
                <w:bCs/>
                <w:kern w:val="0"/>
                <w:sz w:val="21"/>
                <w:szCs w:val="21"/>
                <w:highlight w:val="none"/>
              </w:rPr>
              <w:t>2、提供流量抓包与回放能力：</w:t>
            </w:r>
            <w:r>
              <w:rPr>
                <w:rFonts w:hint="eastAsia" w:ascii="宋体" w:hAnsi="宋体" w:eastAsia="宋体" w:cs="Times New Roman"/>
                <w:kern w:val="0"/>
                <w:sz w:val="21"/>
                <w:szCs w:val="21"/>
                <w:highlight w:val="none"/>
              </w:rPr>
              <w:t>应支持</w:t>
            </w:r>
            <w:r>
              <w:rPr>
                <w:rFonts w:ascii="宋体" w:hAnsi="宋体" w:eastAsia="宋体" w:cs="Times New Roman"/>
                <w:kern w:val="0"/>
                <w:sz w:val="21"/>
                <w:szCs w:val="21"/>
                <w:highlight w:val="none"/>
              </w:rPr>
              <w:t>pcap</w:t>
            </w:r>
            <w:r>
              <w:rPr>
                <w:rFonts w:hint="eastAsia" w:ascii="宋体" w:hAnsi="宋体" w:eastAsia="宋体" w:cs="Times New Roman"/>
                <w:kern w:val="0"/>
                <w:sz w:val="21"/>
                <w:szCs w:val="21"/>
                <w:highlight w:val="none"/>
              </w:rPr>
              <w:t>回放功能，对导入的</w:t>
            </w:r>
            <w:r>
              <w:rPr>
                <w:rFonts w:ascii="宋体" w:hAnsi="宋体" w:eastAsia="宋体" w:cs="Times New Roman"/>
                <w:kern w:val="0"/>
                <w:sz w:val="21"/>
                <w:szCs w:val="21"/>
                <w:highlight w:val="none"/>
              </w:rPr>
              <w:t>pcap</w:t>
            </w:r>
            <w:r>
              <w:rPr>
                <w:rFonts w:hint="eastAsia" w:ascii="宋体" w:hAnsi="宋体" w:eastAsia="宋体" w:cs="Times New Roman"/>
                <w:kern w:val="0"/>
                <w:sz w:val="21"/>
                <w:szCs w:val="21"/>
                <w:highlight w:val="none"/>
              </w:rPr>
              <w:t>进行回放并进行威胁检测，回放产生的告警必须和生产网络流量的告警分页面展示，避免干扰正常安全运营，</w:t>
            </w:r>
            <w:r>
              <w:rPr>
                <w:rFonts w:hint="eastAsia" w:ascii="宋体" w:hAnsi="宋体" w:eastAsia="宋体" w:cs="等线"/>
                <w:kern w:val="0"/>
                <w:sz w:val="21"/>
                <w:szCs w:val="21"/>
                <w:highlight w:val="none"/>
              </w:rPr>
              <w:t>须提供动态演示界面；</w:t>
            </w:r>
          </w:p>
          <w:p>
            <w:pPr>
              <w:autoSpaceDE w:val="0"/>
              <w:autoSpaceDN w:val="0"/>
              <w:adjustRightInd w:val="0"/>
              <w:spacing w:after="120"/>
              <w:rPr>
                <w:rFonts w:ascii="宋体" w:hAnsi="宋体" w:eastAsia="宋体" w:cs="Times New Roman"/>
                <w:kern w:val="0"/>
                <w:sz w:val="21"/>
                <w:szCs w:val="21"/>
                <w:highlight w:val="none"/>
              </w:rPr>
            </w:pPr>
            <w:r>
              <w:rPr>
                <w:rFonts w:hint="eastAsia" w:ascii="宋体" w:hAnsi="宋体" w:eastAsia="宋体" w:cs="Times New Roman"/>
                <w:b/>
                <w:bCs/>
                <w:kern w:val="0"/>
                <w:sz w:val="21"/>
                <w:szCs w:val="21"/>
                <w:highlight w:val="none"/>
              </w:rPr>
              <w:t>3、提供恶意文件流转溯源能力：</w:t>
            </w:r>
            <w:r>
              <w:rPr>
                <w:rFonts w:hint="eastAsia" w:ascii="宋体" w:hAnsi="宋体" w:eastAsia="宋体" w:cs="Times New Roman"/>
                <w:kern w:val="0"/>
                <w:sz w:val="21"/>
                <w:szCs w:val="21"/>
                <w:highlight w:val="none"/>
              </w:rPr>
              <w:t>应支持以文件为中心，溯源整个文件的流转记录，并以图形化方式展示出来，</w:t>
            </w:r>
            <w:r>
              <w:rPr>
                <w:rFonts w:hint="eastAsia" w:ascii="宋体" w:hAnsi="宋体" w:eastAsia="宋体" w:cs="等线"/>
                <w:kern w:val="0"/>
                <w:sz w:val="21"/>
                <w:szCs w:val="21"/>
                <w:highlight w:val="none"/>
              </w:rPr>
              <w:t>须提供动态演示界面；</w:t>
            </w:r>
          </w:p>
          <w:p>
            <w:pPr>
              <w:autoSpaceDE w:val="0"/>
              <w:autoSpaceDN w:val="0"/>
              <w:adjustRightInd w:val="0"/>
              <w:spacing w:after="120"/>
              <w:rPr>
                <w:rFonts w:ascii="宋体" w:hAnsi="宋体" w:eastAsia="宋体" w:cs="等线"/>
                <w:color w:val="000000"/>
                <w:kern w:val="0"/>
                <w:sz w:val="21"/>
                <w:szCs w:val="21"/>
                <w:highlight w:val="none"/>
              </w:rPr>
            </w:pPr>
            <w:r>
              <w:rPr>
                <w:rFonts w:hint="eastAsia" w:ascii="宋体" w:hAnsi="宋体" w:eastAsia="宋体" w:cs="Times New Roman"/>
                <w:b/>
                <w:bCs/>
                <w:kern w:val="0"/>
                <w:sz w:val="21"/>
                <w:szCs w:val="21"/>
                <w:highlight w:val="none"/>
              </w:rPr>
              <w:t>4、提供威胁检测特征自定义能力：</w:t>
            </w:r>
            <w:r>
              <w:rPr>
                <w:rFonts w:hint="eastAsia" w:ascii="宋体" w:hAnsi="宋体" w:eastAsia="宋体" w:cs="Times New Roman"/>
                <w:kern w:val="0"/>
                <w:sz w:val="21"/>
                <w:szCs w:val="21"/>
                <w:highlight w:val="none"/>
              </w:rPr>
              <w:t>应支持网络威胁自定义与威胁情报自定义，网络威胁能自主添加规则名称，规则等级与规则类型，语法兼容业界最常用的</w:t>
            </w:r>
            <w:r>
              <w:rPr>
                <w:rFonts w:ascii="宋体" w:hAnsi="宋体" w:eastAsia="宋体" w:cs="Times New Roman"/>
                <w:kern w:val="0"/>
                <w:sz w:val="21"/>
                <w:szCs w:val="21"/>
                <w:highlight w:val="none"/>
              </w:rPr>
              <w:t>snort</w:t>
            </w:r>
            <w:r>
              <w:rPr>
                <w:rFonts w:hint="eastAsia" w:ascii="宋体" w:hAnsi="宋体" w:eastAsia="宋体" w:cs="Times New Roman"/>
                <w:kern w:val="0"/>
                <w:sz w:val="21"/>
                <w:szCs w:val="21"/>
                <w:highlight w:val="none"/>
              </w:rPr>
              <w:t>规则的写法。威胁情报自定义包括</w:t>
            </w:r>
            <w:r>
              <w:rPr>
                <w:rFonts w:ascii="宋体" w:hAnsi="宋体" w:eastAsia="宋体" w:cs="Times New Roman"/>
                <w:kern w:val="0"/>
                <w:sz w:val="21"/>
                <w:szCs w:val="21"/>
                <w:highlight w:val="none"/>
              </w:rPr>
              <w:t>IP</w:t>
            </w:r>
            <w:r>
              <w:rPr>
                <w:rFonts w:hint="eastAsia" w:ascii="宋体" w:hAnsi="宋体" w:eastAsia="宋体" w:cs="Times New Roman"/>
                <w:kern w:val="0"/>
                <w:sz w:val="21"/>
                <w:szCs w:val="21"/>
                <w:highlight w:val="none"/>
              </w:rPr>
              <w:t>、</w:t>
            </w:r>
            <w:r>
              <w:rPr>
                <w:rFonts w:ascii="宋体" w:hAnsi="宋体" w:eastAsia="宋体" w:cs="Times New Roman"/>
                <w:kern w:val="0"/>
                <w:sz w:val="21"/>
                <w:szCs w:val="21"/>
                <w:highlight w:val="none"/>
              </w:rPr>
              <w:t>URL</w:t>
            </w:r>
            <w:r>
              <w:rPr>
                <w:rFonts w:hint="eastAsia" w:ascii="宋体" w:hAnsi="宋体" w:eastAsia="宋体" w:cs="Times New Roman"/>
                <w:kern w:val="0"/>
                <w:sz w:val="21"/>
                <w:szCs w:val="21"/>
                <w:highlight w:val="none"/>
              </w:rPr>
              <w:t>、</w:t>
            </w:r>
            <w:r>
              <w:rPr>
                <w:rFonts w:ascii="宋体" w:hAnsi="宋体" w:eastAsia="宋体" w:cs="Times New Roman"/>
                <w:kern w:val="0"/>
                <w:sz w:val="21"/>
                <w:szCs w:val="21"/>
                <w:highlight w:val="none"/>
              </w:rPr>
              <w:t>DOMAIN</w:t>
            </w:r>
            <w:r>
              <w:rPr>
                <w:rFonts w:hint="eastAsia" w:ascii="宋体" w:hAnsi="宋体" w:eastAsia="宋体" w:cs="Times New Roman"/>
                <w:kern w:val="0"/>
                <w:sz w:val="21"/>
                <w:szCs w:val="21"/>
                <w:highlight w:val="none"/>
              </w:rPr>
              <w:t>、文件</w:t>
            </w:r>
            <w:r>
              <w:rPr>
                <w:rFonts w:ascii="宋体" w:hAnsi="宋体" w:eastAsia="宋体" w:cs="Times New Roman"/>
                <w:kern w:val="0"/>
                <w:sz w:val="21"/>
                <w:szCs w:val="21"/>
                <w:highlight w:val="none"/>
              </w:rPr>
              <w:t>HASH</w:t>
            </w:r>
            <w:r>
              <w:rPr>
                <w:rFonts w:hint="eastAsia" w:ascii="宋体" w:hAnsi="宋体" w:eastAsia="宋体" w:cs="Times New Roman"/>
                <w:kern w:val="0"/>
                <w:sz w:val="21"/>
                <w:szCs w:val="21"/>
                <w:highlight w:val="none"/>
              </w:rPr>
              <w:t>四种类型，可以根据具体的使用场景进行选择。威胁情报自定义的规则可以支持多个同类对象的集合，比如对多个</w:t>
            </w:r>
            <w:r>
              <w:rPr>
                <w:rFonts w:ascii="宋体" w:hAnsi="宋体" w:eastAsia="宋体" w:cs="Times New Roman"/>
                <w:kern w:val="0"/>
                <w:sz w:val="21"/>
                <w:szCs w:val="21"/>
                <w:highlight w:val="none"/>
              </w:rPr>
              <w:t>IP</w:t>
            </w:r>
            <w:r>
              <w:rPr>
                <w:rFonts w:hint="eastAsia" w:ascii="宋体" w:hAnsi="宋体" w:eastAsia="宋体" w:cs="Times New Roman"/>
                <w:kern w:val="0"/>
                <w:sz w:val="21"/>
                <w:szCs w:val="21"/>
                <w:highlight w:val="none"/>
              </w:rPr>
              <w:t>同时进行监控，</w:t>
            </w:r>
            <w:r>
              <w:rPr>
                <w:rFonts w:hint="eastAsia" w:ascii="宋体" w:hAnsi="宋体" w:eastAsia="宋体" w:cs="等线"/>
                <w:kern w:val="0"/>
                <w:sz w:val="21"/>
                <w:szCs w:val="21"/>
                <w:highlight w:val="none"/>
              </w:rPr>
              <w:t>须提供动态演示界面；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autoSpaceDE w:val="0"/>
              <w:autoSpaceDN w:val="0"/>
              <w:adjustRightInd w:val="0"/>
              <w:spacing w:line="420" w:lineRule="exact"/>
              <w:jc w:val="center"/>
              <w:rPr>
                <w:rFonts w:ascii="宋体" w:hAnsi="宋体" w:eastAsia="宋体" w:cs="等线"/>
                <w:color w:val="000000"/>
                <w:kern w:val="0"/>
                <w:sz w:val="21"/>
                <w:szCs w:val="21"/>
                <w:highlight w:val="none"/>
              </w:rPr>
            </w:pPr>
          </w:p>
        </w:tc>
        <w:tc>
          <w:tcPr>
            <w:tcW w:w="770" w:type="pct"/>
            <w:vMerge w:val="continue"/>
            <w:vAlign w:val="center"/>
          </w:tcPr>
          <w:p>
            <w:pPr>
              <w:autoSpaceDE w:val="0"/>
              <w:autoSpaceDN w:val="0"/>
              <w:adjustRightInd w:val="0"/>
              <w:spacing w:line="420" w:lineRule="exact"/>
              <w:jc w:val="center"/>
              <w:rPr>
                <w:rFonts w:ascii="宋体" w:hAnsi="宋体" w:eastAsia="宋体" w:cs="等线"/>
                <w:color w:val="000000"/>
                <w:kern w:val="0"/>
                <w:sz w:val="21"/>
                <w:szCs w:val="21"/>
                <w:highlight w:val="none"/>
              </w:rPr>
            </w:pPr>
          </w:p>
        </w:tc>
        <w:tc>
          <w:tcPr>
            <w:tcW w:w="512" w:type="pct"/>
            <w:vAlign w:val="center"/>
          </w:tcPr>
          <w:p>
            <w:pPr>
              <w:autoSpaceDE w:val="0"/>
              <w:autoSpaceDN w:val="0"/>
              <w:adjustRightInd w:val="0"/>
              <w:jc w:val="center"/>
              <w:rPr>
                <w:rFonts w:hint="eastAsia" w:ascii="宋体" w:hAnsi="宋体" w:eastAsia="宋体" w:cs="等线"/>
                <w:b/>
                <w:bCs/>
                <w:color w:val="000000"/>
                <w:kern w:val="0"/>
                <w:sz w:val="21"/>
                <w:szCs w:val="21"/>
                <w:highlight w:val="none"/>
              </w:rPr>
            </w:pPr>
            <w:r>
              <w:rPr>
                <w:rFonts w:hint="eastAsia" w:ascii="宋体" w:hAnsi="宋体" w:eastAsia="宋体" w:cs="等线"/>
                <w:color w:val="000000"/>
                <w:kern w:val="0"/>
                <w:sz w:val="21"/>
                <w:szCs w:val="21"/>
                <w:highlight w:val="none"/>
              </w:rPr>
              <w:t>威胁情报订阅模块</w:t>
            </w:r>
          </w:p>
        </w:tc>
        <w:tc>
          <w:tcPr>
            <w:tcW w:w="3294" w:type="pct"/>
            <w:vAlign w:val="center"/>
          </w:tcPr>
          <w:p>
            <w:pPr>
              <w:autoSpaceDE w:val="0"/>
              <w:autoSpaceDN w:val="0"/>
              <w:adjustRightInd w:val="0"/>
              <w:rPr>
                <w:rFonts w:ascii="宋体" w:hAnsi="宋体" w:eastAsia="宋体" w:cs="等线"/>
                <w:color w:val="000000"/>
                <w:kern w:val="0"/>
                <w:sz w:val="21"/>
                <w:szCs w:val="21"/>
                <w:highlight w:val="none"/>
              </w:rPr>
            </w:pPr>
            <w:r>
              <w:rPr>
                <w:rFonts w:hint="eastAsia" w:ascii="宋体" w:hAnsi="宋体" w:eastAsia="宋体" w:cs="等线"/>
                <w:b/>
                <w:bCs/>
                <w:color w:val="000000"/>
                <w:kern w:val="0"/>
                <w:sz w:val="21"/>
                <w:szCs w:val="21"/>
                <w:highlight w:val="none"/>
              </w:rPr>
              <w:t>提供威胁情报订阅能力：</w:t>
            </w:r>
            <w:r>
              <w:rPr>
                <w:rFonts w:hint="eastAsia" w:ascii="宋体" w:hAnsi="宋体" w:eastAsia="宋体" w:cs="等线"/>
                <w:color w:val="000000"/>
                <w:kern w:val="0"/>
                <w:sz w:val="21"/>
                <w:szCs w:val="21"/>
                <w:highlight w:val="none"/>
              </w:rPr>
              <w:t>应具备云端威胁情报订阅模块：内置威胁情报离线库并支持更新；支持采用情报数据进行实时检测防御；支持订阅高级威胁分析情报，</w:t>
            </w:r>
            <w:r>
              <w:rPr>
                <w:rFonts w:hint="eastAsia" w:ascii="宋体" w:hAnsi="宋体" w:eastAsia="宋体" w:cs="等线"/>
                <w:kern w:val="0"/>
                <w:sz w:val="21"/>
                <w:szCs w:val="21"/>
                <w:highlight w:val="none"/>
              </w:rPr>
              <w:t>须提供动态演示界面；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restart"/>
            <w:vAlign w:val="center"/>
          </w:tcPr>
          <w:p>
            <w:pPr>
              <w:autoSpaceDE w:val="0"/>
              <w:autoSpaceDN w:val="0"/>
              <w:adjustRightInd w:val="0"/>
              <w:spacing w:line="420" w:lineRule="exact"/>
              <w:jc w:val="center"/>
              <w:rPr>
                <w:rFonts w:ascii="宋体" w:hAnsi="宋体" w:eastAsia="宋体" w:cs="等线"/>
                <w:color w:val="000000"/>
                <w:kern w:val="0"/>
                <w:sz w:val="21"/>
                <w:szCs w:val="21"/>
                <w:highlight w:val="none"/>
              </w:rPr>
            </w:pPr>
            <w:r>
              <w:rPr>
                <w:rFonts w:hint="eastAsia" w:ascii="宋体" w:hAnsi="宋体" w:eastAsia="宋体" w:cs="等线"/>
                <w:color w:val="000000"/>
                <w:kern w:val="0"/>
                <w:sz w:val="21"/>
                <w:szCs w:val="21"/>
                <w:highlight w:val="none"/>
              </w:rPr>
              <w:t>2</w:t>
            </w:r>
          </w:p>
        </w:tc>
        <w:tc>
          <w:tcPr>
            <w:tcW w:w="770" w:type="pct"/>
            <w:vMerge w:val="restart"/>
            <w:vAlign w:val="center"/>
          </w:tcPr>
          <w:p>
            <w:pPr>
              <w:autoSpaceDE w:val="0"/>
              <w:autoSpaceDN w:val="0"/>
              <w:adjustRightInd w:val="0"/>
              <w:spacing w:line="420" w:lineRule="exact"/>
              <w:jc w:val="center"/>
              <w:rPr>
                <w:rFonts w:ascii="宋体" w:hAnsi="宋体" w:eastAsia="宋体" w:cs="等线"/>
                <w:color w:val="000000"/>
                <w:kern w:val="0"/>
                <w:sz w:val="21"/>
                <w:szCs w:val="21"/>
                <w:highlight w:val="none"/>
              </w:rPr>
            </w:pPr>
            <w:r>
              <w:rPr>
                <w:rFonts w:hint="eastAsia" w:ascii="宋体" w:hAnsi="宋体" w:eastAsia="宋体" w:cs="等线"/>
                <w:color w:val="000000"/>
                <w:kern w:val="0"/>
                <w:sz w:val="21"/>
                <w:szCs w:val="21"/>
                <w:highlight w:val="none"/>
              </w:rPr>
              <w:t>终端安全管理系统</w:t>
            </w:r>
          </w:p>
        </w:tc>
        <w:tc>
          <w:tcPr>
            <w:tcW w:w="512" w:type="pct"/>
            <w:vAlign w:val="center"/>
          </w:tcPr>
          <w:p>
            <w:pPr>
              <w:autoSpaceDE w:val="0"/>
              <w:autoSpaceDN w:val="0"/>
              <w:adjustRightInd w:val="0"/>
              <w:jc w:val="center"/>
              <w:rPr>
                <w:rFonts w:hint="eastAsia" w:ascii="宋体" w:hAnsi="宋体" w:eastAsia="宋体" w:cs="等线"/>
                <w:color w:val="000000"/>
                <w:kern w:val="0"/>
                <w:sz w:val="21"/>
                <w:szCs w:val="21"/>
                <w:highlight w:val="none"/>
              </w:rPr>
            </w:pPr>
            <w:r>
              <w:rPr>
                <w:rFonts w:hint="eastAsia" w:ascii="宋体" w:hAnsi="宋体" w:eastAsia="宋体" w:cs="等线"/>
                <w:color w:val="000000"/>
                <w:kern w:val="0"/>
                <w:sz w:val="21"/>
                <w:szCs w:val="21"/>
                <w:highlight w:val="none"/>
              </w:rPr>
              <w:t>终端安全管理中心</w:t>
            </w:r>
          </w:p>
        </w:tc>
        <w:tc>
          <w:tcPr>
            <w:tcW w:w="3294" w:type="pct"/>
            <w:vAlign w:val="center"/>
          </w:tcPr>
          <w:p>
            <w:pPr>
              <w:autoSpaceDE w:val="0"/>
              <w:autoSpaceDN w:val="0"/>
              <w:adjustRightInd w:val="0"/>
              <w:jc w:val="left"/>
              <w:rPr>
                <w:rFonts w:ascii="宋体" w:hAnsi="宋体" w:eastAsia="宋体" w:cs="等线"/>
                <w:color w:val="000000"/>
                <w:kern w:val="0"/>
                <w:sz w:val="21"/>
                <w:szCs w:val="21"/>
                <w:highlight w:val="none"/>
              </w:rPr>
            </w:pPr>
            <w:r>
              <w:rPr>
                <w:rFonts w:hint="eastAsia" w:ascii="宋体" w:hAnsi="宋体" w:eastAsia="宋体" w:cs="等线"/>
                <w:b/>
                <w:bCs/>
                <w:color w:val="000000"/>
                <w:kern w:val="0"/>
                <w:sz w:val="21"/>
                <w:szCs w:val="21"/>
                <w:highlight w:val="none"/>
              </w:rPr>
              <w:t>提供终端统一安全防护，实现集中的管理、监控、更新和部署等能力：</w:t>
            </w:r>
            <w:r>
              <w:rPr>
                <w:rFonts w:hint="eastAsia" w:ascii="宋体" w:hAnsi="宋体" w:eastAsia="宋体" w:cs="等线"/>
                <w:color w:val="000000"/>
                <w:kern w:val="0"/>
                <w:sz w:val="21"/>
                <w:szCs w:val="21"/>
                <w:highlight w:val="none"/>
              </w:rPr>
              <w:t>集中管理客户端防病毒、防火墙、Web信誉、桌面管控、EDR、资产管理等功能，</w:t>
            </w:r>
            <w:r>
              <w:rPr>
                <w:rFonts w:hint="eastAsia" w:ascii="宋体" w:hAnsi="宋体" w:eastAsia="宋体" w:cs="等线"/>
                <w:kern w:val="0"/>
                <w:sz w:val="21"/>
                <w:szCs w:val="21"/>
                <w:highlight w:val="none"/>
              </w:rPr>
              <w:t>须提供动态演示界面；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autoSpaceDE w:val="0"/>
              <w:autoSpaceDN w:val="0"/>
              <w:adjustRightInd w:val="0"/>
              <w:spacing w:line="420" w:lineRule="exact"/>
              <w:jc w:val="center"/>
              <w:rPr>
                <w:rFonts w:ascii="宋体" w:hAnsi="宋体" w:eastAsia="宋体" w:cs="等线"/>
                <w:color w:val="000000"/>
                <w:kern w:val="0"/>
                <w:sz w:val="21"/>
                <w:szCs w:val="21"/>
                <w:highlight w:val="none"/>
              </w:rPr>
            </w:pPr>
          </w:p>
        </w:tc>
        <w:tc>
          <w:tcPr>
            <w:tcW w:w="770" w:type="pct"/>
            <w:vMerge w:val="continue"/>
            <w:vAlign w:val="center"/>
          </w:tcPr>
          <w:p>
            <w:pPr>
              <w:autoSpaceDE w:val="0"/>
              <w:autoSpaceDN w:val="0"/>
              <w:adjustRightInd w:val="0"/>
              <w:spacing w:line="420" w:lineRule="exact"/>
              <w:jc w:val="center"/>
              <w:rPr>
                <w:rFonts w:ascii="宋体" w:hAnsi="宋体" w:eastAsia="宋体" w:cs="等线"/>
                <w:color w:val="000000"/>
                <w:kern w:val="0"/>
                <w:sz w:val="21"/>
                <w:szCs w:val="21"/>
                <w:highlight w:val="none"/>
              </w:rPr>
            </w:pPr>
          </w:p>
        </w:tc>
        <w:tc>
          <w:tcPr>
            <w:tcW w:w="512" w:type="pct"/>
            <w:vAlign w:val="center"/>
          </w:tcPr>
          <w:p>
            <w:pPr>
              <w:autoSpaceDE w:val="0"/>
              <w:autoSpaceDN w:val="0"/>
              <w:adjustRightInd w:val="0"/>
              <w:jc w:val="center"/>
              <w:rPr>
                <w:rFonts w:hint="eastAsia" w:ascii="宋体" w:hAnsi="宋体" w:eastAsia="宋体" w:cs="Times New Roman"/>
                <w:b/>
                <w:bCs/>
                <w:kern w:val="0"/>
                <w:sz w:val="21"/>
                <w:szCs w:val="21"/>
                <w:highlight w:val="none"/>
              </w:rPr>
            </w:pPr>
            <w:r>
              <w:rPr>
                <w:rFonts w:hint="eastAsia" w:ascii="宋体" w:hAnsi="宋体" w:eastAsia="宋体" w:cs="等线"/>
                <w:color w:val="000000"/>
                <w:kern w:val="0"/>
                <w:sz w:val="21"/>
                <w:szCs w:val="21"/>
                <w:highlight w:val="none"/>
              </w:rPr>
              <w:t>PC防护模块</w:t>
            </w:r>
          </w:p>
        </w:tc>
        <w:tc>
          <w:tcPr>
            <w:tcW w:w="3294" w:type="pct"/>
            <w:vAlign w:val="center"/>
          </w:tcPr>
          <w:p>
            <w:pPr>
              <w:autoSpaceDE w:val="0"/>
              <w:autoSpaceDN w:val="0"/>
              <w:adjustRightInd w:val="0"/>
              <w:rPr>
                <w:rFonts w:ascii="宋体" w:hAnsi="宋体" w:eastAsia="宋体" w:cs="Times New Roman"/>
                <w:b/>
                <w:bCs/>
                <w:kern w:val="0"/>
                <w:sz w:val="21"/>
                <w:szCs w:val="21"/>
                <w:highlight w:val="none"/>
              </w:rPr>
            </w:pPr>
            <w:r>
              <w:rPr>
                <w:rFonts w:hint="eastAsia" w:ascii="宋体" w:hAnsi="宋体" w:eastAsia="宋体" w:cs="Times New Roman"/>
                <w:b/>
                <w:bCs/>
                <w:kern w:val="0"/>
                <w:sz w:val="21"/>
                <w:szCs w:val="21"/>
                <w:highlight w:val="none"/>
              </w:rPr>
              <w:t>1</w:t>
            </w:r>
            <w:r>
              <w:rPr>
                <w:rFonts w:ascii="宋体" w:hAnsi="宋体" w:eastAsia="宋体" w:cs="Times New Roman"/>
                <w:b/>
                <w:bCs/>
                <w:kern w:val="0"/>
                <w:sz w:val="21"/>
                <w:szCs w:val="21"/>
                <w:highlight w:val="none"/>
              </w:rPr>
              <w:t>、</w:t>
            </w:r>
            <w:r>
              <w:rPr>
                <w:rFonts w:hint="eastAsia" w:ascii="宋体" w:hAnsi="宋体" w:eastAsia="宋体" w:cs="Times New Roman"/>
                <w:b/>
                <w:bCs/>
                <w:kern w:val="0"/>
                <w:sz w:val="21"/>
                <w:szCs w:val="21"/>
                <w:highlight w:val="none"/>
              </w:rPr>
              <w:t>提供多种病毒处置能力：</w:t>
            </w:r>
            <w:r>
              <w:rPr>
                <w:rFonts w:hint="eastAsia" w:ascii="宋体" w:hAnsi="宋体" w:eastAsia="宋体" w:cs="Times New Roman"/>
                <w:kern w:val="0"/>
                <w:sz w:val="21"/>
                <w:szCs w:val="21"/>
                <w:highlight w:val="none"/>
              </w:rPr>
              <w:t>产品应支持多种处置措施，以保证对于文件多种处理的可选择性，处置措施包含但不限于：清除、隔离、删除、不予处理、拒绝访问，</w:t>
            </w:r>
            <w:r>
              <w:rPr>
                <w:rFonts w:hint="eastAsia" w:ascii="宋体" w:hAnsi="宋体" w:eastAsia="宋体" w:cs="等线"/>
                <w:kern w:val="0"/>
                <w:sz w:val="21"/>
                <w:szCs w:val="21"/>
                <w:highlight w:val="none"/>
              </w:rPr>
              <w:t>须提供动态演示界面；</w:t>
            </w:r>
          </w:p>
          <w:p>
            <w:pPr>
              <w:autoSpaceDE w:val="0"/>
              <w:autoSpaceDN w:val="0"/>
              <w:adjustRightInd w:val="0"/>
              <w:rPr>
                <w:rFonts w:ascii="宋体" w:hAnsi="宋体" w:eastAsia="宋体" w:cs="Times New Roman"/>
                <w:kern w:val="0"/>
                <w:sz w:val="21"/>
                <w:szCs w:val="21"/>
                <w:highlight w:val="none"/>
              </w:rPr>
            </w:pPr>
            <w:r>
              <w:rPr>
                <w:rFonts w:hint="eastAsia" w:ascii="宋体" w:hAnsi="宋体" w:eastAsia="宋体" w:cs="Times New Roman"/>
                <w:b/>
                <w:bCs/>
                <w:kern w:val="0"/>
                <w:sz w:val="21"/>
                <w:szCs w:val="21"/>
                <w:highlight w:val="none"/>
              </w:rPr>
              <w:t>2、提供恶意站点防护能力：</w:t>
            </w:r>
            <w:r>
              <w:rPr>
                <w:rFonts w:hint="eastAsia" w:ascii="宋体" w:hAnsi="宋体" w:eastAsia="宋体" w:cs="Times New Roman"/>
                <w:kern w:val="0"/>
                <w:sz w:val="21"/>
                <w:szCs w:val="21"/>
                <w:highlight w:val="none"/>
              </w:rPr>
              <w:t>具备</w:t>
            </w:r>
            <w:r>
              <w:rPr>
                <w:rFonts w:ascii="宋体" w:hAnsi="宋体" w:eastAsia="宋体" w:cs="Times New Roman"/>
                <w:kern w:val="0"/>
                <w:sz w:val="21"/>
                <w:szCs w:val="21"/>
                <w:highlight w:val="none"/>
              </w:rPr>
              <w:t>Web</w:t>
            </w:r>
            <w:r>
              <w:rPr>
                <w:rFonts w:hint="eastAsia" w:ascii="宋体" w:hAnsi="宋体" w:eastAsia="宋体" w:cs="Times New Roman"/>
                <w:kern w:val="0"/>
                <w:sz w:val="21"/>
                <w:szCs w:val="21"/>
                <w:highlight w:val="none"/>
              </w:rPr>
              <w:t>信誉评估功能，包含</w:t>
            </w:r>
            <w:r>
              <w:rPr>
                <w:rFonts w:ascii="宋体" w:hAnsi="宋体" w:eastAsia="宋体" w:cs="Times New Roman"/>
                <w:kern w:val="0"/>
                <w:sz w:val="21"/>
                <w:szCs w:val="21"/>
                <w:highlight w:val="none"/>
              </w:rPr>
              <w:t>HTTPS</w:t>
            </w:r>
            <w:r>
              <w:rPr>
                <w:rFonts w:hint="eastAsia" w:ascii="宋体" w:hAnsi="宋体" w:eastAsia="宋体" w:cs="Times New Roman"/>
                <w:kern w:val="0"/>
                <w:sz w:val="21"/>
                <w:szCs w:val="21"/>
                <w:highlight w:val="none"/>
              </w:rPr>
              <w:t>通信扫描，结合云安全架构自动识别并屏蔽恶意站点，阻止病毒自动更新，</w:t>
            </w:r>
            <w:r>
              <w:rPr>
                <w:rFonts w:hint="eastAsia" w:ascii="宋体" w:hAnsi="宋体" w:eastAsia="宋体" w:cs="等线"/>
                <w:kern w:val="0"/>
                <w:sz w:val="21"/>
                <w:szCs w:val="21"/>
                <w:highlight w:val="none"/>
              </w:rPr>
              <w:t>须提供动态演示界面</w:t>
            </w:r>
            <w:r>
              <w:rPr>
                <w:rFonts w:hint="eastAsia" w:ascii="宋体" w:hAnsi="宋体" w:eastAsia="宋体" w:cs="Times New Roman"/>
                <w:kern w:val="0"/>
                <w:sz w:val="21"/>
                <w:szCs w:val="21"/>
                <w:highlight w:val="none"/>
              </w:rPr>
              <w:t>；</w:t>
            </w:r>
          </w:p>
          <w:p>
            <w:pPr>
              <w:autoSpaceDE w:val="0"/>
              <w:autoSpaceDN w:val="0"/>
              <w:adjustRightInd w:val="0"/>
              <w:rPr>
                <w:rFonts w:ascii="宋体" w:hAnsi="宋体" w:eastAsia="宋体" w:cs="Times New Roman"/>
                <w:kern w:val="0"/>
                <w:sz w:val="21"/>
                <w:szCs w:val="21"/>
                <w:highlight w:val="none"/>
              </w:rPr>
            </w:pPr>
            <w:r>
              <w:rPr>
                <w:rFonts w:hint="eastAsia" w:ascii="宋体" w:hAnsi="宋体" w:eastAsia="宋体" w:cs="Times New Roman"/>
                <w:b/>
                <w:bCs/>
                <w:kern w:val="0"/>
                <w:sz w:val="21"/>
                <w:szCs w:val="21"/>
                <w:highlight w:val="none"/>
              </w:rPr>
              <w:t>3、提供病毒爆发防护能力：</w:t>
            </w:r>
            <w:r>
              <w:rPr>
                <w:rFonts w:hint="eastAsia" w:ascii="宋体" w:hAnsi="宋体" w:eastAsia="宋体" w:cs="Times New Roman"/>
                <w:kern w:val="0"/>
                <w:sz w:val="21"/>
                <w:szCs w:val="21"/>
                <w:highlight w:val="none"/>
              </w:rPr>
              <w:t>当最新病毒爆发时</w:t>
            </w:r>
            <w:r>
              <w:rPr>
                <w:rFonts w:ascii="宋体" w:hAnsi="宋体" w:eastAsia="宋体" w:cs="Times New Roman"/>
                <w:kern w:val="0"/>
                <w:sz w:val="21"/>
                <w:szCs w:val="21"/>
                <w:highlight w:val="none"/>
              </w:rPr>
              <w:t>,</w:t>
            </w:r>
            <w:r>
              <w:rPr>
                <w:rFonts w:hint="eastAsia" w:ascii="宋体" w:hAnsi="宋体" w:eastAsia="宋体" w:cs="Times New Roman"/>
                <w:kern w:val="0"/>
                <w:sz w:val="21"/>
                <w:szCs w:val="21"/>
                <w:highlight w:val="none"/>
              </w:rPr>
              <w:t>可在病毒代码未完成之前自动对单位网络中的病毒传播端口、共享等进行关闭</w:t>
            </w:r>
            <w:r>
              <w:rPr>
                <w:rFonts w:ascii="宋体" w:hAnsi="宋体" w:eastAsia="宋体" w:cs="Times New Roman"/>
                <w:kern w:val="0"/>
                <w:sz w:val="21"/>
                <w:szCs w:val="21"/>
                <w:highlight w:val="none"/>
              </w:rPr>
              <w:t>,</w:t>
            </w:r>
            <w:r>
              <w:rPr>
                <w:rFonts w:hint="eastAsia" w:ascii="宋体" w:hAnsi="宋体" w:eastAsia="宋体" w:cs="Times New Roman"/>
                <w:kern w:val="0"/>
                <w:sz w:val="21"/>
                <w:szCs w:val="21"/>
                <w:highlight w:val="none"/>
              </w:rPr>
              <w:t>切断病毒传播途径</w:t>
            </w:r>
            <w:r>
              <w:rPr>
                <w:rFonts w:ascii="宋体" w:hAnsi="宋体" w:eastAsia="宋体" w:cs="Times New Roman"/>
                <w:kern w:val="0"/>
                <w:sz w:val="21"/>
                <w:szCs w:val="21"/>
                <w:highlight w:val="none"/>
              </w:rPr>
              <w:t>,</w:t>
            </w:r>
            <w:r>
              <w:rPr>
                <w:rFonts w:hint="eastAsia" w:ascii="宋体" w:hAnsi="宋体" w:eastAsia="宋体" w:cs="Times New Roman"/>
                <w:kern w:val="0"/>
                <w:sz w:val="21"/>
                <w:szCs w:val="21"/>
                <w:highlight w:val="none"/>
              </w:rPr>
              <w:t>预防最新病毒的攻击；</w:t>
            </w:r>
          </w:p>
          <w:p>
            <w:pPr>
              <w:autoSpaceDE w:val="0"/>
              <w:autoSpaceDN w:val="0"/>
              <w:adjustRightInd w:val="0"/>
              <w:rPr>
                <w:rFonts w:ascii="宋体" w:hAnsi="宋体" w:eastAsia="宋体" w:cs="Times New Roman"/>
                <w:kern w:val="0"/>
                <w:sz w:val="21"/>
                <w:szCs w:val="21"/>
                <w:highlight w:val="none"/>
              </w:rPr>
            </w:pPr>
            <w:r>
              <w:rPr>
                <w:rFonts w:hint="eastAsia" w:ascii="宋体" w:hAnsi="宋体" w:eastAsia="宋体" w:cs="Times New Roman"/>
                <w:b/>
                <w:bCs/>
                <w:kern w:val="0"/>
                <w:sz w:val="21"/>
                <w:szCs w:val="21"/>
                <w:highlight w:val="none"/>
              </w:rPr>
              <w:t>4、提供勒索软件专防能力：</w:t>
            </w:r>
            <w:r>
              <w:rPr>
                <w:rFonts w:hint="eastAsia" w:ascii="宋体" w:hAnsi="宋体" w:eastAsia="宋体" w:cs="Times New Roman"/>
                <w:kern w:val="0"/>
                <w:sz w:val="21"/>
                <w:szCs w:val="21"/>
                <w:highlight w:val="none"/>
              </w:rPr>
              <w:t>支持阻止勒索软件关联的进程，具备检测到勒索行为前自动备份和恢复文档的能力，</w:t>
            </w:r>
            <w:r>
              <w:rPr>
                <w:rFonts w:hint="eastAsia" w:ascii="宋体" w:hAnsi="宋体" w:eastAsia="宋体" w:cs="等线"/>
                <w:kern w:val="0"/>
                <w:sz w:val="21"/>
                <w:szCs w:val="21"/>
                <w:highlight w:val="none"/>
              </w:rPr>
              <w:t>须提供动态演示界面；</w:t>
            </w:r>
          </w:p>
          <w:p>
            <w:pPr>
              <w:autoSpaceDE w:val="0"/>
              <w:autoSpaceDN w:val="0"/>
              <w:adjustRightInd w:val="0"/>
              <w:rPr>
                <w:rFonts w:ascii="宋体" w:hAnsi="宋体" w:eastAsia="宋体" w:cs="等线"/>
                <w:color w:val="000000"/>
                <w:kern w:val="0"/>
                <w:sz w:val="21"/>
                <w:szCs w:val="21"/>
                <w:highlight w:val="none"/>
              </w:rPr>
            </w:pPr>
            <w:r>
              <w:rPr>
                <w:rFonts w:hint="eastAsia" w:ascii="宋体" w:hAnsi="宋体" w:eastAsia="宋体" w:cs="等线"/>
                <w:b/>
                <w:bCs/>
                <w:color w:val="000000"/>
                <w:kern w:val="0"/>
                <w:sz w:val="21"/>
                <w:szCs w:val="21"/>
                <w:highlight w:val="none"/>
              </w:rPr>
              <w:t>5、提供异常行为告警、处置能力：</w:t>
            </w:r>
            <w:r>
              <w:rPr>
                <w:rFonts w:hint="eastAsia" w:ascii="宋体" w:hAnsi="宋体" w:eastAsia="宋体" w:cs="Times New Roman"/>
                <w:kern w:val="0"/>
                <w:sz w:val="21"/>
                <w:szCs w:val="21"/>
                <w:highlight w:val="none"/>
              </w:rPr>
              <w:t>应</w:t>
            </w:r>
            <w:r>
              <w:rPr>
                <w:rFonts w:hint="eastAsia" w:ascii="宋体" w:hAnsi="宋体" w:eastAsia="宋体" w:cs="等线"/>
                <w:color w:val="000000"/>
                <w:kern w:val="0"/>
                <w:sz w:val="21"/>
                <w:szCs w:val="21"/>
                <w:highlight w:val="none"/>
              </w:rPr>
              <w:t>支持针对违规外联、修改系统时间、</w:t>
            </w:r>
            <w:r>
              <w:rPr>
                <w:rFonts w:ascii="宋体" w:hAnsi="宋体" w:eastAsia="宋体" w:cs="等线"/>
                <w:color w:val="000000"/>
                <w:kern w:val="0"/>
                <w:sz w:val="21"/>
                <w:szCs w:val="21"/>
                <w:highlight w:val="none"/>
              </w:rPr>
              <w:t>PC</w:t>
            </w:r>
            <w:r>
              <w:rPr>
                <w:rFonts w:hint="eastAsia" w:ascii="宋体" w:hAnsi="宋体" w:eastAsia="宋体" w:cs="等线"/>
                <w:color w:val="000000"/>
                <w:kern w:val="0"/>
                <w:sz w:val="21"/>
                <w:szCs w:val="21"/>
                <w:highlight w:val="none"/>
              </w:rPr>
              <w:t>资源使用异常等异常行为进行预警；管理员可自定义违规策略处置策略，包括但不限于报警、断网、锁屏、关机、消息提示、截屏</w:t>
            </w:r>
            <w:r>
              <w:rPr>
                <w:rFonts w:ascii="宋体" w:hAnsi="宋体" w:eastAsia="宋体" w:cs="等线"/>
                <w:color w:val="000000"/>
                <w:kern w:val="0"/>
                <w:sz w:val="21"/>
                <w:szCs w:val="21"/>
                <w:highlight w:val="none"/>
              </w:rPr>
              <w:t xml:space="preserve"> </w:t>
            </w:r>
            <w:r>
              <w:rPr>
                <w:rFonts w:hint="eastAsia" w:ascii="宋体" w:hAnsi="宋体" w:eastAsia="宋体" w:cs="等线"/>
                <w:color w:val="000000"/>
                <w:kern w:val="0"/>
                <w:sz w:val="21"/>
                <w:szCs w:val="21"/>
                <w:highlight w:val="none"/>
              </w:rPr>
              <w:t>、代理修复等，并支持自定义策略等延后时间，</w:t>
            </w:r>
            <w:r>
              <w:rPr>
                <w:rFonts w:hint="eastAsia" w:ascii="宋体" w:hAnsi="宋体" w:eastAsia="宋体" w:cs="等线"/>
                <w:kern w:val="0"/>
                <w:sz w:val="21"/>
                <w:szCs w:val="21"/>
                <w:highlight w:val="none"/>
              </w:rPr>
              <w:t>须提供动态演示界面；</w:t>
            </w:r>
          </w:p>
          <w:p>
            <w:pPr>
              <w:autoSpaceDE w:val="0"/>
              <w:autoSpaceDN w:val="0"/>
              <w:adjustRightInd w:val="0"/>
              <w:rPr>
                <w:rFonts w:ascii="宋体" w:hAnsi="宋体" w:eastAsia="宋体" w:cs="等线"/>
                <w:color w:val="000000"/>
                <w:kern w:val="0"/>
                <w:sz w:val="21"/>
                <w:szCs w:val="21"/>
                <w:highlight w:val="none"/>
              </w:rPr>
            </w:pPr>
            <w:r>
              <w:rPr>
                <w:rFonts w:hint="eastAsia" w:ascii="宋体" w:hAnsi="宋体" w:eastAsia="宋体" w:cs="等线"/>
                <w:b/>
                <w:bCs/>
                <w:color w:val="000000"/>
                <w:kern w:val="0"/>
                <w:sz w:val="21"/>
                <w:szCs w:val="21"/>
                <w:highlight w:val="none"/>
              </w:rPr>
              <w:t>6、提供终端全行为审计能力：</w:t>
            </w:r>
            <w:r>
              <w:rPr>
                <w:rFonts w:hint="eastAsia" w:ascii="宋体" w:hAnsi="宋体" w:eastAsia="宋体" w:cs="Times New Roman"/>
                <w:kern w:val="0"/>
                <w:sz w:val="21"/>
                <w:szCs w:val="21"/>
                <w:highlight w:val="none"/>
              </w:rPr>
              <w:t>应</w:t>
            </w:r>
            <w:r>
              <w:rPr>
                <w:rFonts w:hint="eastAsia" w:ascii="宋体" w:hAnsi="宋体" w:eastAsia="宋体" w:cs="等线"/>
                <w:color w:val="000000"/>
                <w:kern w:val="0"/>
                <w:sz w:val="21"/>
                <w:szCs w:val="21"/>
                <w:highlight w:val="none"/>
              </w:rPr>
              <w:t>支持包括但不限于流量、进程、截屏、文件、协议、账户、邮件、打印、服务、共享、注册表、刻录等行为的审计，</w:t>
            </w:r>
            <w:r>
              <w:rPr>
                <w:rFonts w:hint="eastAsia" w:ascii="宋体" w:hAnsi="宋体" w:eastAsia="宋体" w:cs="等线"/>
                <w:kern w:val="0"/>
                <w:sz w:val="21"/>
                <w:szCs w:val="21"/>
                <w:highlight w:val="none"/>
              </w:rPr>
              <w:t>须提供动态演示界面；</w:t>
            </w:r>
          </w:p>
          <w:p>
            <w:pPr>
              <w:autoSpaceDE w:val="0"/>
              <w:autoSpaceDN w:val="0"/>
              <w:adjustRightInd w:val="0"/>
              <w:rPr>
                <w:rFonts w:ascii="宋体" w:hAnsi="宋体" w:eastAsia="宋体" w:cs="等线"/>
                <w:color w:val="000000"/>
                <w:kern w:val="0"/>
                <w:sz w:val="21"/>
                <w:szCs w:val="21"/>
                <w:highlight w:val="none"/>
              </w:rPr>
            </w:pPr>
            <w:r>
              <w:rPr>
                <w:rFonts w:hint="eastAsia" w:ascii="宋体" w:hAnsi="宋体" w:eastAsia="宋体" w:cs="等线"/>
                <w:b/>
                <w:bCs/>
                <w:color w:val="000000"/>
                <w:kern w:val="0"/>
                <w:sz w:val="21"/>
                <w:szCs w:val="21"/>
                <w:highlight w:val="none"/>
              </w:rPr>
              <w:t>7、提供终端安全基线检查及修复能力：</w:t>
            </w:r>
            <w:r>
              <w:rPr>
                <w:rFonts w:hint="eastAsia" w:ascii="宋体" w:hAnsi="宋体" w:eastAsia="宋体" w:cs="Times New Roman"/>
                <w:color w:val="000000"/>
                <w:kern w:val="0"/>
                <w:sz w:val="21"/>
                <w:szCs w:val="21"/>
                <w:highlight w:val="none"/>
              </w:rPr>
              <w:t>应</w:t>
            </w:r>
            <w:r>
              <w:rPr>
                <w:rFonts w:hint="eastAsia" w:ascii="宋体" w:hAnsi="宋体" w:eastAsia="宋体" w:cs="等线"/>
                <w:color w:val="000000"/>
                <w:kern w:val="0"/>
                <w:sz w:val="21"/>
                <w:szCs w:val="21"/>
                <w:highlight w:val="none"/>
              </w:rPr>
              <w:t>支持终端安全基线检查，包括但不限于计算机名称、是否加入域、密码策略、弱口令、软件黑白名单、进程黑白名单、系统服务、系统共享等基线检查。提供自动修复功能，</w:t>
            </w:r>
            <w:r>
              <w:rPr>
                <w:rFonts w:hint="eastAsia" w:ascii="宋体" w:hAnsi="宋体" w:eastAsia="宋体" w:cs="等线"/>
                <w:kern w:val="0"/>
                <w:sz w:val="21"/>
                <w:szCs w:val="21"/>
                <w:highlight w:val="none"/>
              </w:rPr>
              <w:t>须提供动态演示界面；</w:t>
            </w:r>
          </w:p>
          <w:p>
            <w:pPr>
              <w:autoSpaceDE w:val="0"/>
              <w:autoSpaceDN w:val="0"/>
              <w:adjustRightInd w:val="0"/>
              <w:rPr>
                <w:rFonts w:ascii="宋体" w:hAnsi="宋体" w:eastAsia="宋体" w:cs="等线"/>
                <w:color w:val="000000"/>
                <w:kern w:val="0"/>
                <w:sz w:val="21"/>
                <w:szCs w:val="21"/>
                <w:highlight w:val="none"/>
              </w:rPr>
            </w:pPr>
            <w:r>
              <w:rPr>
                <w:rFonts w:hint="eastAsia" w:ascii="宋体" w:hAnsi="宋体" w:eastAsia="宋体" w:cs="等线"/>
                <w:b/>
                <w:bCs/>
                <w:color w:val="000000"/>
                <w:kern w:val="0"/>
                <w:sz w:val="21"/>
                <w:szCs w:val="21"/>
                <w:highlight w:val="none"/>
              </w:rPr>
              <w:t>8、提供终端软硬件资产管理能力：</w:t>
            </w:r>
            <w:r>
              <w:rPr>
                <w:rFonts w:hint="eastAsia" w:ascii="宋体" w:hAnsi="宋体" w:eastAsia="宋体" w:cs="Times New Roman"/>
                <w:kern w:val="0"/>
                <w:sz w:val="21"/>
                <w:szCs w:val="21"/>
                <w:highlight w:val="none"/>
              </w:rPr>
              <w:t>应</w:t>
            </w:r>
            <w:r>
              <w:rPr>
                <w:rFonts w:hint="eastAsia" w:ascii="宋体" w:hAnsi="宋体" w:eastAsia="宋体" w:cs="等线"/>
                <w:color w:val="000000"/>
                <w:kern w:val="0"/>
                <w:sz w:val="21"/>
                <w:szCs w:val="21"/>
                <w:highlight w:val="none"/>
              </w:rPr>
              <w:t>支持软硬件资产管理，可对软硬件资产变动提供报警；违规预警、安全审计、安全基线、</w:t>
            </w:r>
            <w:r>
              <w:rPr>
                <w:rFonts w:ascii="宋体" w:hAnsi="宋体" w:eastAsia="宋体" w:cs="等线"/>
                <w:color w:val="000000"/>
                <w:kern w:val="0"/>
                <w:sz w:val="21"/>
                <w:szCs w:val="21"/>
                <w:highlight w:val="none"/>
              </w:rPr>
              <w:t>usb</w:t>
            </w:r>
            <w:r>
              <w:rPr>
                <w:rFonts w:hint="eastAsia" w:ascii="宋体" w:hAnsi="宋体" w:eastAsia="宋体" w:cs="等线"/>
                <w:color w:val="000000"/>
                <w:kern w:val="0"/>
                <w:sz w:val="21"/>
                <w:szCs w:val="21"/>
                <w:highlight w:val="none"/>
              </w:rPr>
              <w:t>接入管理、行为控制、资产管理等均支持灵活的策略应用，包括但不限于根据角色、部门、指定终端、用户、</w:t>
            </w:r>
            <w:r>
              <w:rPr>
                <w:rFonts w:ascii="宋体" w:hAnsi="宋体" w:eastAsia="宋体" w:cs="等线"/>
                <w:color w:val="000000"/>
                <w:kern w:val="0"/>
                <w:sz w:val="21"/>
                <w:szCs w:val="21"/>
                <w:highlight w:val="none"/>
              </w:rPr>
              <w:t>ip</w:t>
            </w:r>
            <w:r>
              <w:rPr>
                <w:rFonts w:hint="eastAsia" w:ascii="宋体" w:hAnsi="宋体" w:eastAsia="宋体" w:cs="等线"/>
                <w:color w:val="000000"/>
                <w:kern w:val="0"/>
                <w:sz w:val="21"/>
                <w:szCs w:val="21"/>
                <w:highlight w:val="none"/>
              </w:rPr>
              <w:t>段等应用，</w:t>
            </w:r>
            <w:r>
              <w:rPr>
                <w:rFonts w:hint="eastAsia" w:ascii="宋体" w:hAnsi="宋体" w:eastAsia="宋体" w:cs="等线"/>
                <w:kern w:val="0"/>
                <w:sz w:val="21"/>
                <w:szCs w:val="21"/>
                <w:highlight w:val="none"/>
              </w:rPr>
              <w:t>须提供动态演示界面；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autoSpaceDE w:val="0"/>
              <w:autoSpaceDN w:val="0"/>
              <w:adjustRightInd w:val="0"/>
              <w:spacing w:line="420" w:lineRule="exact"/>
              <w:jc w:val="center"/>
              <w:rPr>
                <w:rFonts w:ascii="宋体" w:hAnsi="宋体" w:eastAsia="宋体" w:cs="等线"/>
                <w:color w:val="000000"/>
                <w:kern w:val="0"/>
                <w:sz w:val="21"/>
                <w:szCs w:val="21"/>
                <w:highlight w:val="none"/>
              </w:rPr>
            </w:pPr>
          </w:p>
        </w:tc>
        <w:tc>
          <w:tcPr>
            <w:tcW w:w="770" w:type="pct"/>
            <w:vMerge w:val="continue"/>
            <w:vAlign w:val="center"/>
          </w:tcPr>
          <w:p>
            <w:pPr>
              <w:autoSpaceDE w:val="0"/>
              <w:autoSpaceDN w:val="0"/>
              <w:adjustRightInd w:val="0"/>
              <w:spacing w:line="420" w:lineRule="exact"/>
              <w:jc w:val="center"/>
              <w:rPr>
                <w:rFonts w:ascii="宋体" w:hAnsi="宋体" w:eastAsia="宋体" w:cs="等线"/>
                <w:color w:val="000000"/>
                <w:kern w:val="0"/>
                <w:sz w:val="21"/>
                <w:szCs w:val="21"/>
                <w:highlight w:val="none"/>
              </w:rPr>
            </w:pPr>
          </w:p>
        </w:tc>
        <w:tc>
          <w:tcPr>
            <w:tcW w:w="512" w:type="pct"/>
            <w:vAlign w:val="center"/>
          </w:tcPr>
          <w:p>
            <w:pPr>
              <w:autoSpaceDE w:val="0"/>
              <w:autoSpaceDN w:val="0"/>
              <w:adjustRightInd w:val="0"/>
              <w:jc w:val="center"/>
              <w:rPr>
                <w:rFonts w:hint="eastAsia" w:ascii="宋体" w:hAnsi="宋体" w:eastAsia="宋体" w:cs="Times New Roman"/>
                <w:kern w:val="0"/>
                <w:sz w:val="21"/>
                <w:szCs w:val="21"/>
                <w:highlight w:val="none"/>
              </w:rPr>
            </w:pPr>
            <w:r>
              <w:rPr>
                <w:rFonts w:hint="eastAsia" w:ascii="宋体" w:hAnsi="宋体" w:eastAsia="宋体" w:cs="等线"/>
                <w:color w:val="000000"/>
                <w:kern w:val="0"/>
                <w:sz w:val="21"/>
                <w:szCs w:val="21"/>
                <w:highlight w:val="none"/>
              </w:rPr>
              <w:t>服务器防护模块</w:t>
            </w:r>
          </w:p>
        </w:tc>
        <w:tc>
          <w:tcPr>
            <w:tcW w:w="3294" w:type="pct"/>
            <w:vAlign w:val="center"/>
          </w:tcPr>
          <w:p>
            <w:pPr>
              <w:autoSpaceDE w:val="0"/>
              <w:autoSpaceDN w:val="0"/>
              <w:adjustRightInd w:val="0"/>
              <w:rPr>
                <w:rFonts w:ascii="宋体" w:hAnsi="宋体" w:eastAsia="宋体" w:cs="Times New Roman"/>
                <w:kern w:val="0"/>
                <w:sz w:val="21"/>
                <w:szCs w:val="21"/>
                <w:highlight w:val="none"/>
              </w:rPr>
            </w:pPr>
            <w:r>
              <w:rPr>
                <w:rFonts w:hint="eastAsia" w:ascii="宋体" w:hAnsi="宋体" w:eastAsia="宋体" w:cs="Times New Roman"/>
                <w:b/>
                <w:bCs/>
                <w:kern w:val="0"/>
                <w:sz w:val="21"/>
                <w:szCs w:val="21"/>
                <w:highlight w:val="none"/>
              </w:rPr>
              <w:t>1、提供多种病毒处置能力：</w:t>
            </w:r>
            <w:r>
              <w:rPr>
                <w:rFonts w:hint="eastAsia" w:ascii="宋体" w:hAnsi="宋体" w:eastAsia="宋体" w:cs="Times New Roman"/>
                <w:kern w:val="0"/>
                <w:sz w:val="21"/>
                <w:szCs w:val="21"/>
                <w:highlight w:val="none"/>
              </w:rPr>
              <w:t>产品应支持多种处置措施，以保证对于文件多种处理的可选择性，处置措施包含但不限于：清除、隔离、删除、不予处理、拒绝访问，</w:t>
            </w:r>
            <w:r>
              <w:rPr>
                <w:rFonts w:hint="eastAsia" w:ascii="宋体" w:hAnsi="宋体" w:eastAsia="宋体" w:cs="等线"/>
                <w:kern w:val="0"/>
                <w:sz w:val="21"/>
                <w:szCs w:val="21"/>
                <w:highlight w:val="none"/>
              </w:rPr>
              <w:t>须提供动态演示界面；</w:t>
            </w:r>
          </w:p>
          <w:p>
            <w:pPr>
              <w:autoSpaceDE w:val="0"/>
              <w:autoSpaceDN w:val="0"/>
              <w:adjustRightInd w:val="0"/>
              <w:rPr>
                <w:rFonts w:ascii="宋体" w:hAnsi="宋体" w:eastAsia="宋体" w:cs="Times New Roman"/>
                <w:kern w:val="0"/>
                <w:sz w:val="21"/>
                <w:szCs w:val="21"/>
                <w:highlight w:val="none"/>
              </w:rPr>
            </w:pPr>
            <w:r>
              <w:rPr>
                <w:rFonts w:hint="eastAsia" w:ascii="宋体" w:hAnsi="宋体" w:eastAsia="宋体" w:cs="Times New Roman"/>
                <w:b/>
                <w:bCs/>
                <w:kern w:val="0"/>
                <w:sz w:val="21"/>
                <w:szCs w:val="21"/>
                <w:highlight w:val="none"/>
              </w:rPr>
              <w:t>2、提供恶意站点防护能力：</w:t>
            </w:r>
            <w:r>
              <w:rPr>
                <w:rFonts w:hint="eastAsia" w:ascii="宋体" w:hAnsi="宋体" w:eastAsia="宋体" w:cs="Times New Roman"/>
                <w:kern w:val="0"/>
                <w:sz w:val="21"/>
                <w:szCs w:val="21"/>
                <w:highlight w:val="none"/>
              </w:rPr>
              <w:t>具备</w:t>
            </w:r>
            <w:r>
              <w:rPr>
                <w:rFonts w:ascii="宋体" w:hAnsi="宋体" w:eastAsia="宋体" w:cs="Times New Roman"/>
                <w:kern w:val="0"/>
                <w:sz w:val="21"/>
                <w:szCs w:val="21"/>
                <w:highlight w:val="none"/>
              </w:rPr>
              <w:t>Web</w:t>
            </w:r>
            <w:r>
              <w:rPr>
                <w:rFonts w:hint="eastAsia" w:ascii="宋体" w:hAnsi="宋体" w:eastAsia="宋体" w:cs="Times New Roman"/>
                <w:kern w:val="0"/>
                <w:sz w:val="21"/>
                <w:szCs w:val="21"/>
                <w:highlight w:val="none"/>
              </w:rPr>
              <w:t>信誉评估功能，包含</w:t>
            </w:r>
            <w:r>
              <w:rPr>
                <w:rFonts w:ascii="宋体" w:hAnsi="宋体" w:eastAsia="宋体" w:cs="Times New Roman"/>
                <w:kern w:val="0"/>
                <w:sz w:val="21"/>
                <w:szCs w:val="21"/>
                <w:highlight w:val="none"/>
              </w:rPr>
              <w:t>HTTPS</w:t>
            </w:r>
            <w:r>
              <w:rPr>
                <w:rFonts w:hint="eastAsia" w:ascii="宋体" w:hAnsi="宋体" w:eastAsia="宋体" w:cs="Times New Roman"/>
                <w:kern w:val="0"/>
                <w:sz w:val="21"/>
                <w:szCs w:val="21"/>
                <w:highlight w:val="none"/>
              </w:rPr>
              <w:t>通信扫描，结合云安全架构自动识别并屏蔽恶意站点，阻止病毒自动更新，</w:t>
            </w:r>
            <w:r>
              <w:rPr>
                <w:rFonts w:hint="eastAsia" w:ascii="宋体" w:hAnsi="宋体" w:eastAsia="宋体" w:cs="等线"/>
                <w:kern w:val="0"/>
                <w:sz w:val="21"/>
                <w:szCs w:val="21"/>
                <w:highlight w:val="none"/>
              </w:rPr>
              <w:t>须提供动态演示界面</w:t>
            </w:r>
            <w:r>
              <w:rPr>
                <w:rFonts w:hint="eastAsia" w:ascii="宋体" w:hAnsi="宋体" w:eastAsia="宋体" w:cs="Times New Roman"/>
                <w:kern w:val="0"/>
                <w:sz w:val="21"/>
                <w:szCs w:val="21"/>
                <w:highlight w:val="none"/>
              </w:rPr>
              <w:t>；</w:t>
            </w:r>
          </w:p>
          <w:p>
            <w:pPr>
              <w:autoSpaceDE w:val="0"/>
              <w:autoSpaceDN w:val="0"/>
              <w:adjustRightInd w:val="0"/>
              <w:rPr>
                <w:rFonts w:ascii="宋体" w:hAnsi="宋体" w:eastAsia="宋体" w:cs="Times New Roman"/>
                <w:kern w:val="0"/>
                <w:sz w:val="21"/>
                <w:szCs w:val="21"/>
                <w:highlight w:val="none"/>
              </w:rPr>
            </w:pPr>
            <w:r>
              <w:rPr>
                <w:rFonts w:hint="eastAsia" w:ascii="宋体" w:hAnsi="宋体" w:eastAsia="宋体" w:cs="Times New Roman"/>
                <w:b/>
                <w:bCs/>
                <w:kern w:val="0"/>
                <w:sz w:val="21"/>
                <w:szCs w:val="21"/>
                <w:highlight w:val="none"/>
              </w:rPr>
              <w:t>3、提供病毒爆发防护能力：</w:t>
            </w:r>
            <w:r>
              <w:rPr>
                <w:rFonts w:hint="eastAsia" w:ascii="宋体" w:hAnsi="宋体" w:eastAsia="宋体" w:cs="Times New Roman"/>
                <w:kern w:val="0"/>
                <w:sz w:val="21"/>
                <w:szCs w:val="21"/>
                <w:highlight w:val="none"/>
              </w:rPr>
              <w:t>当最新病毒爆发时</w:t>
            </w:r>
            <w:r>
              <w:rPr>
                <w:rFonts w:ascii="宋体" w:hAnsi="宋体" w:eastAsia="宋体" w:cs="Times New Roman"/>
                <w:kern w:val="0"/>
                <w:sz w:val="21"/>
                <w:szCs w:val="21"/>
                <w:highlight w:val="none"/>
              </w:rPr>
              <w:t>,</w:t>
            </w:r>
            <w:r>
              <w:rPr>
                <w:rFonts w:hint="eastAsia" w:ascii="宋体" w:hAnsi="宋体" w:eastAsia="宋体" w:cs="Times New Roman"/>
                <w:kern w:val="0"/>
                <w:sz w:val="21"/>
                <w:szCs w:val="21"/>
                <w:highlight w:val="none"/>
              </w:rPr>
              <w:t>可在病毒代码未完成之前自动对单位网络中的病毒传播端口、共享等进行关闭</w:t>
            </w:r>
            <w:r>
              <w:rPr>
                <w:rFonts w:ascii="宋体" w:hAnsi="宋体" w:eastAsia="宋体" w:cs="Times New Roman"/>
                <w:kern w:val="0"/>
                <w:sz w:val="21"/>
                <w:szCs w:val="21"/>
                <w:highlight w:val="none"/>
              </w:rPr>
              <w:t>,</w:t>
            </w:r>
            <w:r>
              <w:rPr>
                <w:rFonts w:hint="eastAsia" w:ascii="宋体" w:hAnsi="宋体" w:eastAsia="宋体" w:cs="Times New Roman"/>
                <w:kern w:val="0"/>
                <w:sz w:val="21"/>
                <w:szCs w:val="21"/>
                <w:highlight w:val="none"/>
              </w:rPr>
              <w:t>切断病毒传播途径</w:t>
            </w:r>
            <w:r>
              <w:rPr>
                <w:rFonts w:ascii="宋体" w:hAnsi="宋体" w:eastAsia="宋体" w:cs="Times New Roman"/>
                <w:kern w:val="0"/>
                <w:sz w:val="21"/>
                <w:szCs w:val="21"/>
                <w:highlight w:val="none"/>
              </w:rPr>
              <w:t>,</w:t>
            </w:r>
            <w:r>
              <w:rPr>
                <w:rFonts w:hint="eastAsia" w:ascii="宋体" w:hAnsi="宋体" w:eastAsia="宋体" w:cs="Times New Roman"/>
                <w:kern w:val="0"/>
                <w:sz w:val="21"/>
                <w:szCs w:val="21"/>
                <w:highlight w:val="none"/>
              </w:rPr>
              <w:t>预防最新病毒的攻击；</w:t>
            </w:r>
          </w:p>
          <w:p>
            <w:pPr>
              <w:autoSpaceDE w:val="0"/>
              <w:autoSpaceDN w:val="0"/>
              <w:adjustRightInd w:val="0"/>
              <w:rPr>
                <w:rFonts w:ascii="宋体" w:hAnsi="宋体" w:eastAsia="宋体" w:cs="等线"/>
                <w:kern w:val="0"/>
                <w:sz w:val="21"/>
                <w:szCs w:val="21"/>
                <w:highlight w:val="none"/>
              </w:rPr>
            </w:pPr>
            <w:r>
              <w:rPr>
                <w:rFonts w:hint="eastAsia" w:ascii="宋体" w:hAnsi="宋体" w:eastAsia="宋体" w:cs="Times New Roman"/>
                <w:b/>
                <w:bCs/>
                <w:kern w:val="0"/>
                <w:sz w:val="21"/>
                <w:szCs w:val="21"/>
                <w:highlight w:val="none"/>
              </w:rPr>
              <w:t>4、提供勒索软件专防能力：</w:t>
            </w:r>
            <w:r>
              <w:rPr>
                <w:rFonts w:hint="eastAsia" w:ascii="宋体" w:hAnsi="宋体" w:eastAsia="宋体" w:cs="Times New Roman"/>
                <w:kern w:val="0"/>
                <w:sz w:val="21"/>
                <w:szCs w:val="21"/>
                <w:highlight w:val="none"/>
              </w:rPr>
              <w:t>支持阻止勒索软件关联的进程，具备检测到勒索行为前自动备份和恢复文档的能力，</w:t>
            </w:r>
            <w:r>
              <w:rPr>
                <w:rFonts w:hint="eastAsia" w:ascii="宋体" w:hAnsi="宋体" w:eastAsia="宋体" w:cs="等线"/>
                <w:kern w:val="0"/>
                <w:sz w:val="21"/>
                <w:szCs w:val="21"/>
                <w:highlight w:val="none"/>
              </w:rPr>
              <w:t>须提供动态演示界面；</w:t>
            </w:r>
          </w:p>
        </w:tc>
      </w:tr>
    </w:tbl>
    <w:p>
      <w:pPr>
        <w:jc w:val="both"/>
        <w:rPr>
          <w:rFonts w:hint="eastAsia" w:ascii="仿宋_GB2312" w:hAnsi="仿宋_GB2312" w:eastAsia="仿宋_GB2312" w:cs="仿宋_GB2312"/>
          <w:highlight w:val="none"/>
        </w:rPr>
      </w:pPr>
    </w:p>
    <w:p>
      <w:pPr>
        <w:jc w:val="both"/>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采购包1（</w:t>
      </w:r>
      <w:r>
        <w:rPr>
          <w:rFonts w:hint="eastAsia" w:ascii="仿宋_GB2312" w:hAnsi="仿宋_GB2312" w:eastAsia="仿宋_GB2312" w:cs="仿宋_GB2312"/>
          <w:highlight w:val="none"/>
          <w:lang w:eastAsia="zh-CN"/>
        </w:rPr>
        <w:t>万江街道办事处网络安全设备采购项目</w:t>
      </w:r>
      <w:r>
        <w:rPr>
          <w:rFonts w:hint="eastAsia" w:ascii="仿宋_GB2312" w:hAnsi="仿宋_GB2312" w:eastAsia="仿宋_GB2312" w:cs="仿宋_GB2312"/>
          <w:highlight w:val="none"/>
        </w:rPr>
        <w:t>）：</w:t>
      </w:r>
    </w:p>
    <w:p>
      <w:pP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rPr>
        <w:t>1.主要商务要求</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80" w:hRule="atLeast"/>
        </w:trPr>
        <w:tc>
          <w:tcPr>
            <w:tcW w:w="4153"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标的提供的时间</w:t>
            </w:r>
          </w:p>
        </w:tc>
        <w:tc>
          <w:tcPr>
            <w:tcW w:w="4153"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供应商必须承诺为采购人提供</w:t>
            </w:r>
            <w:r>
              <w:rPr>
                <w:rFonts w:hint="eastAsia" w:ascii="仿宋_GB2312" w:hAnsi="仿宋_GB2312" w:eastAsia="仿宋_GB2312" w:cs="仿宋_GB2312"/>
                <w:highlight w:val="none"/>
                <w:lang w:eastAsia="zh-CN"/>
              </w:rPr>
              <w:t>三</w:t>
            </w:r>
            <w:r>
              <w:rPr>
                <w:rFonts w:hint="eastAsia" w:ascii="仿宋_GB2312" w:hAnsi="仿宋_GB2312" w:eastAsia="仿宋_GB2312" w:cs="仿宋_GB2312"/>
                <w:highlight w:val="none"/>
              </w:rPr>
              <w:t>年（验收合格之日起计算）免费的技术支持、设备维护及设备硬件损坏（非人为）的无偿更换。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4" w:hRule="atLeast"/>
        </w:trPr>
        <w:tc>
          <w:tcPr>
            <w:tcW w:w="4153"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标的提供的地点</w:t>
            </w:r>
          </w:p>
        </w:tc>
        <w:tc>
          <w:tcPr>
            <w:tcW w:w="4153" w:type="dxa"/>
          </w:tcPr>
          <w:p>
            <w:pPr>
              <w:jc w:val="left"/>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采购人指定的地点。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响应有效期</w:t>
            </w:r>
          </w:p>
        </w:tc>
        <w:tc>
          <w:tcPr>
            <w:tcW w:w="4153" w:type="dxa"/>
          </w:tcPr>
          <w:p>
            <w:pPr>
              <w:jc w:val="left"/>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从提交投标（响应）文件的截止之日起90日历天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付款方式</w:t>
            </w:r>
          </w:p>
        </w:tc>
        <w:tc>
          <w:tcPr>
            <w:tcW w:w="4153"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所有设备到货并验收合格后，</w:t>
            </w:r>
            <w:r>
              <w:rPr>
                <w:rFonts w:hint="eastAsia" w:ascii="仿宋_GB2312" w:hAnsi="仿宋_GB2312" w:eastAsia="仿宋_GB2312" w:cs="仿宋_GB2312"/>
                <w:highlight w:val="none"/>
              </w:rPr>
              <w:t>供应商向</w:t>
            </w:r>
            <w:r>
              <w:rPr>
                <w:rFonts w:hint="eastAsia" w:ascii="仿宋_GB2312" w:hAnsi="仿宋_GB2312" w:eastAsia="仿宋_GB2312" w:cs="仿宋_GB2312"/>
                <w:highlight w:val="none"/>
                <w:lang w:eastAsia="zh-CN"/>
              </w:rPr>
              <w:t>采购人</w:t>
            </w:r>
            <w:r>
              <w:rPr>
                <w:rFonts w:hint="eastAsia" w:ascii="仿宋_GB2312" w:hAnsi="仿宋_GB2312" w:eastAsia="仿宋_GB2312" w:cs="仿宋_GB2312"/>
                <w:highlight w:val="none"/>
              </w:rPr>
              <w:t>申请支付合同总额的</w:t>
            </w:r>
            <w:r>
              <w:rPr>
                <w:rFonts w:hint="eastAsia" w:ascii="仿宋_GB2312" w:hAnsi="仿宋_GB2312" w:eastAsia="仿宋_GB2312" w:cs="仿宋_GB2312"/>
                <w:highlight w:val="none"/>
                <w:lang w:val="en-US" w:eastAsia="zh-CN"/>
              </w:rPr>
              <w:t>80</w:t>
            </w: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eastAsia="zh-CN"/>
              </w:rPr>
              <w:t>。设备验收合格并运行</w:t>
            </w:r>
            <w:r>
              <w:rPr>
                <w:rFonts w:hint="eastAsia" w:ascii="仿宋_GB2312" w:hAnsi="仿宋_GB2312" w:eastAsia="仿宋_GB2312" w:cs="仿宋_GB2312"/>
                <w:highlight w:val="none"/>
                <w:lang w:val="en-US" w:eastAsia="zh-CN"/>
              </w:rPr>
              <w:t>1个月后未出现不合格情况，供应商向采购人申请支付合同总额的20%。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验收要求</w:t>
            </w:r>
          </w:p>
        </w:tc>
        <w:tc>
          <w:tcPr>
            <w:tcW w:w="4153" w:type="dxa"/>
          </w:tcPr>
          <w:p>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供应商须承诺，在成交通知书发布之日起1天内，须提供所投大数据智能安全平台、终端安全管理系统到采购人指定场所，按“功能演示要求”与采购人共同进行测试，测试功能点须完全满足功能演示要求，如测试未满足功能演示要求的，采购人有权取消成交供应商方成交资格。（供应商须在响应文件中提供单独书面承诺函并加盖</w:t>
            </w:r>
            <w:r>
              <w:rPr>
                <w:rFonts w:hint="eastAsia" w:ascii="仿宋_GB2312" w:hAnsi="仿宋_GB2312" w:eastAsia="仿宋_GB2312" w:cs="仿宋_GB2312"/>
                <w:highlight w:val="none"/>
                <w:lang w:eastAsia="zh-CN"/>
              </w:rPr>
              <w:t>供应商</w:t>
            </w:r>
            <w:r>
              <w:rPr>
                <w:rFonts w:hint="eastAsia" w:ascii="仿宋_GB2312" w:hAnsi="仿宋_GB2312" w:eastAsia="仿宋_GB2312" w:cs="仿宋_GB2312"/>
                <w:highlight w:val="none"/>
                <w:lang w:val="en-US" w:eastAsia="zh-CN"/>
              </w:rPr>
              <w:t>公章）</w:t>
            </w:r>
          </w:p>
          <w:p>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2.合同签订之日起7个日历日内完成所有货物的交货、安装、调试运行并经采购人验收合格，否则采购人有权取消合同（供应商须在响应文件中提供单独书面承诺函并加盖</w:t>
            </w:r>
            <w:r>
              <w:rPr>
                <w:rFonts w:hint="eastAsia" w:ascii="仿宋_GB2312" w:hAnsi="仿宋_GB2312" w:eastAsia="仿宋_GB2312" w:cs="仿宋_GB2312"/>
                <w:highlight w:val="none"/>
                <w:lang w:eastAsia="zh-CN"/>
              </w:rPr>
              <w:t>供应商</w:t>
            </w:r>
            <w:r>
              <w:rPr>
                <w:rFonts w:hint="eastAsia" w:ascii="仿宋_GB2312" w:hAnsi="仿宋_GB2312" w:eastAsia="仿宋_GB2312" w:cs="仿宋_GB2312"/>
                <w:highlight w:val="none"/>
                <w:lang w:val="en-US" w:eastAsia="zh-CN"/>
              </w:rPr>
              <w:t>公章）。</w:t>
            </w:r>
          </w:p>
          <w:p>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本项目所有设备用于万江街道办事处主楼3楼机房，所提供的货物必须与机房内所有服务器、交换机等设备兼容并且所有功能运行正常。供应商签订合同后，完成所有货物供货、调试后2天内，把功能自检报告以书面形式通知采购人，采购人收到自检报告后，组织验收小组对货物进行测试验收，货物保证能够满足主要技术参数与要求。若测试不合格，中标人须在1天内完成对货物的二次调试并再次组织验收小组进行验收，若仍然测试不合格，采购人有权终止合同并不再支付本项目剩余的款项且要求供应商退还采购人已支付的款项，同时，供应商须承担成交金额30%的违约金及其造成的一切损失。（供应商须在响应文件中提供单独书面承诺函并加盖</w:t>
            </w:r>
            <w:r>
              <w:rPr>
                <w:rFonts w:hint="eastAsia" w:ascii="仿宋_GB2312" w:hAnsi="仿宋_GB2312" w:eastAsia="仿宋_GB2312" w:cs="仿宋_GB2312"/>
                <w:highlight w:val="none"/>
                <w:lang w:eastAsia="zh-CN"/>
              </w:rPr>
              <w:t>供应商</w:t>
            </w:r>
            <w:r>
              <w:rPr>
                <w:rFonts w:hint="eastAsia" w:ascii="仿宋_GB2312" w:hAnsi="仿宋_GB2312" w:eastAsia="仿宋_GB2312" w:cs="仿宋_GB2312"/>
                <w:highlight w:val="none"/>
                <w:lang w:val="en-US" w:eastAsia="zh-CN"/>
              </w:rPr>
              <w:t>公章）</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rPr>
              <w:t xml:space="preserve">要求本项目的设备，除了要符合本采购项目内容所要求的技术规格参数外，还要符合中华人民共和 国国家标准或行业标准，这些标准必须是有关机构发布的最新版本的标准；如采购项目内容中所描述的 技术参数标准与国家标准或行业标准有冲突，则以国家标准或行业标准为准。 </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验收细则</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 1）全部货物运抵现场后至最终验收前。都要求进行依国家有关标准、行业标准、合同及有关附件要求进行检测。 </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2）货物到货阶段、开箱检验和基本测试货物到货验收将分成两步进行：第一步是产品外包装验收，第二步是产品开箱验收。外包装验收主要是检查外包装在运输途中的破损情况；开箱验收，主要是检查有无短缺和到货即损，包括对硬件产品的通电检验，并将货物的序列号进行登记和核对，即严格按照合同对货物进行检查，以便及早发现到货即损的货物，并采取相应措施，按照保修程序返回厂家更换。货物到货验阶段需填写货物验收表等，采购人对生产厂家的产品进行验收。 </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3）要求对全部的货物、产品、型号、规格、数量、外型、外观、包装及资料、文件（如进货单、装箱单、保修证明、保修单、随箱介质等）的仔细检查。拆箱后，对其全部产品、零件、配件、用户许 可证书、资料、介质造册登记，并与装箱单对比，如有出入应立即书面记录，由供货商解决，如影响安装则按合同有关条款处理。货物通电测试应单台进行，所有货物通电自检正常后，才能相互联。货物全部安装完成且连接完毕进行系统测试，按询价文件技术要求逐条检测，供货时不以任何理由作变更，采购人一律不接受功能有负偏差的变更，只接受功能优于且包含采购需求所列功能的产品，若供货后发现功能不满足响应文件的，采购人一律不予通过验收，所带来的损失采购人一概不负责且及有权要求供应商赔偿。</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4）货物安装调试完成后，在不影响正常使用的情况下也不得出现异响、漏电、过热等异常情况。如3天内无法解决上述异常，视为该货物验收不合格，采购人有权要求供应商赔偿。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7" w:hRule="atLeast"/>
        </w:trPr>
        <w:tc>
          <w:tcPr>
            <w:tcW w:w="4153"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履约保证金</w:t>
            </w:r>
          </w:p>
        </w:tc>
        <w:tc>
          <w:tcPr>
            <w:tcW w:w="4153" w:type="dxa"/>
          </w:tcPr>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其他</w:t>
            </w:r>
          </w:p>
        </w:tc>
        <w:tc>
          <w:tcPr>
            <w:tcW w:w="4153" w:type="dxa"/>
          </w:tcPr>
          <w:p>
            <w:pPr>
              <w:numPr>
                <w:ilvl w:val="0"/>
                <w:numId w:val="0"/>
              </w:numPr>
              <w:rPr>
                <w:rFonts w:hint="eastAsia" w:ascii="仿宋_GB2312" w:hAnsi="仿宋_GB2312" w:eastAsia="仿宋_GB2312" w:cs="仿宋_GB2312"/>
                <w:highlight w:val="none"/>
              </w:rPr>
            </w:pPr>
            <w:r>
              <w:rPr>
                <w:rFonts w:hint="eastAsia" w:ascii="仿宋_GB2312" w:hAnsi="仿宋_GB2312" w:eastAsia="仿宋_GB2312" w:cs="仿宋_GB2312"/>
                <w:highlight w:val="none"/>
              </w:rPr>
              <w:t>报价要求:（1）本项目以人民币为结算单位，实行合同总价包干方式，供应商须对项目的单价进行报价； （2）供应商须对完成本项目的全部内容进行报价。报价应包含但不限于以下费用：货物及配件的制造或购置费（包括辅材、损耗材料等）、交通运输费、装卸搬运费、雇员费、安装调试费、</w:t>
            </w:r>
            <w:r>
              <w:rPr>
                <w:rFonts w:hint="eastAsia" w:ascii="仿宋_GB2312" w:hAnsi="仿宋_GB2312" w:eastAsia="仿宋_GB2312" w:cs="仿宋_GB2312"/>
                <w:highlight w:val="none"/>
                <w:lang w:eastAsia="zh-CN"/>
              </w:rPr>
              <w:t>运行维护费</w:t>
            </w:r>
            <w:r>
              <w:rPr>
                <w:rFonts w:hint="eastAsia" w:ascii="仿宋_GB2312" w:hAnsi="仿宋_GB2312" w:eastAsia="仿宋_GB2312" w:cs="仿宋_GB2312"/>
                <w:highlight w:val="none"/>
              </w:rPr>
              <w:t>、售后服务费、各种税费、各种保险费、对专利权和版权、设计或其他知识产权需要向其他方支付的版税等合同实施过程中应预见和不可预见的费用。成交后，成交供应商不得以任何理由追加设备费、材料费、辅材费或其他费用。</w:t>
            </w:r>
          </w:p>
        </w:tc>
      </w:tr>
    </w:tbl>
    <w:p>
      <w:pP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rPr>
        <w:t>2.技术标准与要求</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21"/>
        <w:gridCol w:w="1266"/>
        <w:gridCol w:w="1928"/>
        <w:gridCol w:w="521"/>
        <w:gridCol w:w="842"/>
        <w:gridCol w:w="1046"/>
        <w:gridCol w:w="1046"/>
        <w:gridCol w:w="1021"/>
        <w:gridCol w:w="3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96" w:hRule="atLeast"/>
        </w:trPr>
        <w:tc>
          <w:tcPr>
            <w:tcW w:w="521"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序号</w:t>
            </w:r>
          </w:p>
        </w:tc>
        <w:tc>
          <w:tcPr>
            <w:tcW w:w="1266"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核心产品（“△”）</w:t>
            </w:r>
          </w:p>
        </w:tc>
        <w:tc>
          <w:tcPr>
            <w:tcW w:w="192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标的名称</w:t>
            </w:r>
          </w:p>
        </w:tc>
        <w:tc>
          <w:tcPr>
            <w:tcW w:w="521"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单位</w:t>
            </w:r>
          </w:p>
        </w:tc>
        <w:tc>
          <w:tcPr>
            <w:tcW w:w="84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数量</w:t>
            </w:r>
          </w:p>
        </w:tc>
        <w:tc>
          <w:tcPr>
            <w:tcW w:w="1046"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分项预算单价（元）</w:t>
            </w:r>
          </w:p>
        </w:tc>
        <w:tc>
          <w:tcPr>
            <w:tcW w:w="1046"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分项预算总价（元）</w:t>
            </w:r>
          </w:p>
        </w:tc>
        <w:tc>
          <w:tcPr>
            <w:tcW w:w="1021"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所属行业</w:t>
            </w:r>
          </w:p>
        </w:tc>
        <w:tc>
          <w:tcPr>
            <w:tcW w:w="34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49" w:hRule="atLeast"/>
        </w:trPr>
        <w:tc>
          <w:tcPr>
            <w:tcW w:w="521"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1</w:t>
            </w:r>
          </w:p>
        </w:tc>
        <w:tc>
          <w:tcPr>
            <w:tcW w:w="1266"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p>
        </w:tc>
        <w:tc>
          <w:tcPr>
            <w:tcW w:w="192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大数据智能安全平台</w:t>
            </w:r>
          </w:p>
        </w:tc>
        <w:tc>
          <w:tcPr>
            <w:tcW w:w="521" w:type="dxa"/>
          </w:tcPr>
          <w:p>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套</w:t>
            </w:r>
          </w:p>
        </w:tc>
        <w:tc>
          <w:tcPr>
            <w:tcW w:w="842" w:type="dxa"/>
          </w:tcPr>
          <w:p>
            <w:pPr>
              <w:jc w:val="righ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w:t>
            </w:r>
          </w:p>
        </w:tc>
        <w:tc>
          <w:tcPr>
            <w:tcW w:w="1046" w:type="dxa"/>
          </w:tcPr>
          <w:p>
            <w:pPr>
              <w:jc w:val="righ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654550</w:t>
            </w:r>
          </w:p>
        </w:tc>
        <w:tc>
          <w:tcPr>
            <w:tcW w:w="1046" w:type="dxa"/>
          </w:tcPr>
          <w:p>
            <w:pPr>
              <w:jc w:val="right"/>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654550</w:t>
            </w:r>
          </w:p>
        </w:tc>
        <w:tc>
          <w:tcPr>
            <w:tcW w:w="1021" w:type="dxa"/>
          </w:tcPr>
          <w:p>
            <w:pPr>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软件和信息技术服务业</w:t>
            </w:r>
          </w:p>
        </w:tc>
        <w:tc>
          <w:tcPr>
            <w:tcW w:w="342" w:type="dxa"/>
          </w:tcPr>
          <w:p>
            <w:pPr>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详见</w:t>
            </w:r>
            <w:r>
              <w:rPr>
                <w:rFonts w:hint="eastAsia" w:ascii="仿宋_GB2312" w:hAnsi="仿宋_GB2312" w:eastAsia="仿宋_GB2312" w:cs="仿宋_GB2312"/>
                <w:highlight w:val="none"/>
                <w:lang w:eastAsia="zh-CN"/>
              </w:rPr>
              <w:t>用户需求</w:t>
            </w:r>
          </w:p>
        </w:tc>
      </w:tr>
    </w:tbl>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注：若存在多项核心产品，当不同供应商提供的任意一项核心产品的品牌相同，则视同其是所响应核心产品品牌相同供应商。</w:t>
      </w: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rPr>
        <w:t>附表一：</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26"/>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参数性质</w:t>
            </w:r>
          </w:p>
        </w:tc>
        <w:tc>
          <w:tcPr>
            <w:tcW w:w="426"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序号</w:t>
            </w:r>
          </w:p>
        </w:tc>
        <w:tc>
          <w:tcPr>
            <w:tcW w:w="5814"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31" w:hRule="atLeast"/>
        </w:trPr>
        <w:tc>
          <w:tcPr>
            <w:tcW w:w="2076"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p>
        </w:tc>
        <w:tc>
          <w:tcPr>
            <w:tcW w:w="426" w:type="dxa"/>
          </w:tcPr>
          <w:p>
            <w:pPr>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1</w:t>
            </w:r>
          </w:p>
        </w:tc>
        <w:tc>
          <w:tcPr>
            <w:tcW w:w="5814" w:type="dxa"/>
          </w:tcPr>
          <w:p>
            <w:pPr>
              <w:numPr>
                <w:ilvl w:val="0"/>
                <w:numId w:val="0"/>
              </w:numPr>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eastAsia="zh-CN"/>
              </w:rPr>
              <w:t>供应商</w:t>
            </w:r>
            <w:r>
              <w:rPr>
                <w:rFonts w:hint="eastAsia" w:ascii="仿宋_GB2312" w:hAnsi="仿宋_GB2312" w:eastAsia="仿宋_GB2312" w:cs="仿宋_GB2312"/>
                <w:highlight w:val="none"/>
              </w:rPr>
              <w:t>须承诺，在成交通知书发布之日起1天内，须提供所投大数据智能安全平台、终端安全管理系统到采购人指定场所，按“功能演示要求”与采购人共同进行测试，测试功能点须完全满足功能演示要求，如测试未满足功能演示要求的，招标方有权取消成交供应商成交资格。（供应商须在响应文件中提供单独书面承诺函并加盖</w:t>
            </w:r>
            <w:r>
              <w:rPr>
                <w:rFonts w:hint="eastAsia" w:ascii="仿宋_GB2312" w:hAnsi="仿宋_GB2312" w:eastAsia="仿宋_GB2312" w:cs="仿宋_GB2312"/>
                <w:highlight w:val="none"/>
                <w:lang w:eastAsia="zh-CN"/>
              </w:rPr>
              <w:t>供应商</w:t>
            </w:r>
            <w:r>
              <w:rPr>
                <w:rFonts w:hint="eastAsia" w:ascii="仿宋_GB2312" w:hAnsi="仿宋_GB2312" w:eastAsia="仿宋_GB2312" w:cs="仿宋_GB2312"/>
                <w:highlight w:val="none"/>
              </w:rPr>
              <w:t>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70" w:hRule="atLeast"/>
        </w:trPr>
        <w:tc>
          <w:tcPr>
            <w:tcW w:w="2076"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p>
        </w:tc>
        <w:tc>
          <w:tcPr>
            <w:tcW w:w="426" w:type="dxa"/>
          </w:tcPr>
          <w:p>
            <w:pP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w:t>
            </w:r>
          </w:p>
        </w:tc>
        <w:tc>
          <w:tcPr>
            <w:tcW w:w="5814" w:type="dxa"/>
          </w:tcPr>
          <w:p>
            <w:pPr>
              <w:numPr>
                <w:ilvl w:val="0"/>
                <w:numId w:val="0"/>
              </w:numPr>
              <w:rPr>
                <w:rFonts w:hint="eastAsia" w:ascii="仿宋_GB2312" w:hAnsi="仿宋_GB2312" w:eastAsia="仿宋_GB2312" w:cs="仿宋_GB2312"/>
                <w:highlight w:val="none"/>
              </w:rPr>
            </w:pPr>
            <w:r>
              <w:rPr>
                <w:rFonts w:hint="eastAsia" w:ascii="仿宋_GB2312" w:hAnsi="仿宋_GB2312" w:eastAsia="仿宋_GB2312" w:cs="仿宋_GB2312"/>
                <w:highlight w:val="none"/>
              </w:rPr>
              <w:t>★合同签订之日起7个日历日内完成所有货物的交货、安装、调试运行并经采购人验收合格，否则采购人有权取消合同（供应商须在响应文件中提供单独书面承诺函并加盖</w:t>
            </w:r>
            <w:r>
              <w:rPr>
                <w:rFonts w:hint="eastAsia" w:ascii="仿宋_GB2312" w:hAnsi="仿宋_GB2312" w:eastAsia="仿宋_GB2312" w:cs="仿宋_GB2312"/>
                <w:highlight w:val="none"/>
                <w:lang w:eastAsia="zh-CN"/>
              </w:rPr>
              <w:t>供应商</w:t>
            </w:r>
            <w:r>
              <w:rPr>
                <w:rFonts w:hint="eastAsia" w:ascii="仿宋_GB2312" w:hAnsi="仿宋_GB2312" w:eastAsia="仿宋_GB2312" w:cs="仿宋_GB2312"/>
                <w:highlight w:val="none"/>
              </w:rPr>
              <w:t>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4" w:hRule="atLeast"/>
        </w:trPr>
        <w:tc>
          <w:tcPr>
            <w:tcW w:w="2076"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p>
        </w:tc>
        <w:tc>
          <w:tcPr>
            <w:tcW w:w="426" w:type="dxa"/>
          </w:tcPr>
          <w:p>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w:t>
            </w:r>
          </w:p>
        </w:tc>
        <w:tc>
          <w:tcPr>
            <w:tcW w:w="5814"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★本项目所有设备用于万江街道办事处主楼3楼机房，所提供的货物必须与机房内所有服务器、交换机等设备兼容并且所有功能运行正常。</w:t>
            </w:r>
            <w:r>
              <w:rPr>
                <w:rFonts w:hint="eastAsia" w:ascii="仿宋_GB2312" w:hAnsi="仿宋_GB2312" w:eastAsia="仿宋_GB2312" w:cs="仿宋_GB2312"/>
                <w:highlight w:val="none"/>
                <w:lang w:eastAsia="zh-CN"/>
              </w:rPr>
              <w:t>供应商</w:t>
            </w:r>
            <w:r>
              <w:rPr>
                <w:rFonts w:hint="eastAsia" w:ascii="仿宋_GB2312" w:hAnsi="仿宋_GB2312" w:eastAsia="仿宋_GB2312" w:cs="仿宋_GB2312"/>
                <w:highlight w:val="none"/>
              </w:rPr>
              <w:t>签订合同后，完成所有货物供货、调试后2天内，把功能自检报告以书面形式通知采购人，采购人收到自检报告后，组织验收小组对货物进行测试验收，货物保证能够满足主要技术参数与要求。若测试不合格，</w:t>
            </w:r>
            <w:r>
              <w:rPr>
                <w:rFonts w:hint="eastAsia" w:ascii="仿宋_GB2312" w:hAnsi="仿宋_GB2312" w:eastAsia="仿宋_GB2312" w:cs="仿宋_GB2312"/>
                <w:highlight w:val="none"/>
                <w:lang w:eastAsia="zh-CN"/>
              </w:rPr>
              <w:t>供应商</w:t>
            </w:r>
            <w:r>
              <w:rPr>
                <w:rFonts w:hint="eastAsia" w:ascii="仿宋_GB2312" w:hAnsi="仿宋_GB2312" w:eastAsia="仿宋_GB2312" w:cs="仿宋_GB2312"/>
                <w:highlight w:val="none"/>
              </w:rPr>
              <w:t>须在1天内完成对货物的二次调试并再次组织验收小组进行验收，若仍然测试不合格，采购人有权终止合同并不再支付本项目剩余的款项且要求</w:t>
            </w:r>
            <w:r>
              <w:rPr>
                <w:rFonts w:hint="eastAsia" w:ascii="仿宋_GB2312" w:hAnsi="仿宋_GB2312" w:eastAsia="仿宋_GB2312" w:cs="仿宋_GB2312"/>
                <w:highlight w:val="none"/>
                <w:lang w:eastAsia="zh-CN"/>
              </w:rPr>
              <w:t>供应商</w:t>
            </w:r>
            <w:r>
              <w:rPr>
                <w:rFonts w:hint="eastAsia" w:ascii="仿宋_GB2312" w:hAnsi="仿宋_GB2312" w:eastAsia="仿宋_GB2312" w:cs="仿宋_GB2312"/>
                <w:highlight w:val="none"/>
              </w:rPr>
              <w:t>退还采购人已支付的款项，同时，</w:t>
            </w:r>
            <w:r>
              <w:rPr>
                <w:rFonts w:hint="eastAsia" w:ascii="仿宋_GB2312" w:hAnsi="仿宋_GB2312" w:eastAsia="仿宋_GB2312" w:cs="仿宋_GB2312"/>
                <w:highlight w:val="none"/>
                <w:lang w:eastAsia="zh-CN"/>
              </w:rPr>
              <w:t>供应商</w:t>
            </w:r>
            <w:r>
              <w:rPr>
                <w:rFonts w:hint="eastAsia" w:ascii="仿宋_GB2312" w:hAnsi="仿宋_GB2312" w:eastAsia="仿宋_GB2312" w:cs="仿宋_GB2312"/>
                <w:highlight w:val="none"/>
              </w:rPr>
              <w:t>须承担</w:t>
            </w:r>
            <w:r>
              <w:rPr>
                <w:rFonts w:hint="eastAsia" w:ascii="仿宋_GB2312" w:hAnsi="仿宋_GB2312" w:eastAsia="仿宋_GB2312" w:cs="仿宋_GB2312"/>
                <w:highlight w:val="none"/>
                <w:lang w:eastAsia="zh-CN"/>
              </w:rPr>
              <w:t>成交</w:t>
            </w:r>
            <w:r>
              <w:rPr>
                <w:rFonts w:hint="eastAsia" w:ascii="仿宋_GB2312" w:hAnsi="仿宋_GB2312" w:eastAsia="仿宋_GB2312" w:cs="仿宋_GB2312"/>
                <w:highlight w:val="none"/>
              </w:rPr>
              <w:t>金额30%的违约金及其造成的一切损失。（供应商须在响应文件中提供单独书面承诺函并加盖</w:t>
            </w:r>
            <w:r>
              <w:rPr>
                <w:rFonts w:hint="eastAsia" w:ascii="仿宋_GB2312" w:hAnsi="仿宋_GB2312" w:eastAsia="仿宋_GB2312" w:cs="仿宋_GB2312"/>
                <w:highlight w:val="none"/>
                <w:lang w:eastAsia="zh-CN"/>
              </w:rPr>
              <w:t>供应商</w:t>
            </w:r>
            <w:r>
              <w:rPr>
                <w:rFonts w:hint="eastAsia" w:ascii="仿宋_GB2312" w:hAnsi="仿宋_GB2312" w:eastAsia="仿宋_GB2312" w:cs="仿宋_GB2312"/>
                <w:highlight w:val="none"/>
              </w:rPr>
              <w:t>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79" w:hRule="atLeast"/>
        </w:trPr>
        <w:tc>
          <w:tcPr>
            <w:tcW w:w="2076"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p>
        </w:tc>
        <w:tc>
          <w:tcPr>
            <w:tcW w:w="426" w:type="dxa"/>
          </w:tcPr>
          <w:p>
            <w:pP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w:t>
            </w:r>
          </w:p>
        </w:tc>
        <w:tc>
          <w:tcPr>
            <w:tcW w:w="5814"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设备验收合格并启用之日起6个月内，供应商必须派至少2人驻点采购人现场，对设备进行运行维护，工作时间与采购人同步，并服从采购人日常管理和其他工作安排，驻点人员一切费用由供应商承担。(提供单独书面承诺函并加盖供应商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说明</w:t>
            </w:r>
          </w:p>
        </w:tc>
        <w:tc>
          <w:tcPr>
            <w:tcW w:w="6240" w:type="dxa"/>
            <w:gridSpan w:val="2"/>
          </w:tcPr>
          <w:p>
            <w:pPr>
              <w:jc w:val="left"/>
              <w:rPr>
                <w:rFonts w:hint="eastAsia" w:ascii="仿宋_GB2312" w:hAnsi="仿宋_GB2312" w:eastAsia="仿宋_GB2312" w:cs="仿宋_GB2312"/>
                <w:highlight w:val="none"/>
              </w:rPr>
            </w:pPr>
            <w:r>
              <w:rPr>
                <w:rFonts w:hint="eastAsia" w:ascii="仿宋_GB2312" w:hAnsi="仿宋_GB2312" w:eastAsia="仿宋_GB2312" w:cs="仿宋_GB2312"/>
                <w:highlight w:val="none"/>
              </w:rPr>
              <w:t>打“★”号条款为实质性条款，若有任何一条负偏离或不满足则导致投标（响应）无效。</w:t>
            </w:r>
            <w:r>
              <w:rPr>
                <w:rFonts w:hint="eastAsia" w:ascii="仿宋_GB2312" w:hAnsi="仿宋_GB2312" w:eastAsia="仿宋_GB2312" w:cs="仿宋_GB2312"/>
                <w:highlight w:val="none"/>
              </w:rPr>
              <w:br w:type="textWrapping"/>
            </w:r>
            <w:r>
              <w:rPr>
                <w:rFonts w:hint="eastAsia" w:ascii="仿宋_GB2312" w:hAnsi="仿宋_GB2312" w:eastAsia="仿宋_GB2312" w:cs="仿宋_GB2312"/>
                <w:highlight w:val="none"/>
              </w:rPr>
              <w:t>打“▲”号条款为重要技术参数（如有），若有部分“▲”条款未响应或不满足，将根据评审要求影响其得分，但不作为无效投标（响应）条款。</w:t>
            </w:r>
          </w:p>
        </w:tc>
      </w:tr>
    </w:tbl>
    <w:p>
      <w:pPr>
        <w:rPr>
          <w:rFonts w:hint="eastAsia" w:ascii="仿宋_GB2312" w:hAnsi="仿宋_GB2312" w:eastAsia="仿宋_GB2312" w:cs="仿宋_GB2312"/>
          <w:highlight w:val="none"/>
        </w:rPr>
      </w:pPr>
    </w:p>
    <w:p>
      <w:pPr>
        <w:ind w:firstLine="480"/>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 </w:t>
      </w:r>
    </w:p>
    <w:p>
      <w:pPr>
        <w:rPr>
          <w:rFonts w:hint="eastAsia" w:ascii="仿宋_GB2312" w:hAnsi="仿宋_GB2312" w:eastAsia="仿宋_GB2312" w:cs="仿宋_GB2312"/>
          <w:highlight w:val="none"/>
        </w:rPr>
      </w:pPr>
    </w:p>
    <w:p>
      <w:pPr>
        <w:jc w:val="center"/>
        <w:rPr>
          <w:rFonts w:hint="eastAsia" w:ascii="仿宋_GB2312" w:hAnsi="仿宋_GB2312" w:eastAsia="仿宋_GB2312" w:cs="仿宋_GB2312"/>
          <w:highlight w:val="none"/>
        </w:rPr>
      </w:pPr>
      <w:r>
        <w:rPr>
          <w:rFonts w:hint="eastAsia" w:ascii="仿宋_GB2312" w:hAnsi="仿宋_GB2312" w:eastAsia="仿宋_GB2312" w:cs="仿宋_GB2312"/>
          <w:b/>
          <w:sz w:val="36"/>
          <w:highlight w:val="none"/>
        </w:rPr>
        <w:t>第三章 供应商须知</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供应商必须认真阅读询价通知书中所有的事项、格式、条款和采购需求等。供应商没有按照询价通知书要求提交全部资料，或者响应文件没有对询价通知书在各方面都做出实质性响应的可能导致其响应无效或被拒绝。</w:t>
      </w:r>
      <w:bookmarkStart w:id="260" w:name="_GoBack"/>
      <w:bookmarkEnd w:id="260"/>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请注意：供应商需在响应文件截止时间前，将</w:t>
      </w:r>
      <w:r>
        <w:rPr>
          <w:rFonts w:hint="eastAsia" w:ascii="仿宋_GB2312" w:hAnsi="仿宋_GB2312" w:eastAsia="仿宋_GB2312" w:cs="仿宋_GB2312"/>
          <w:highlight w:val="none"/>
          <w:lang w:eastAsia="zh-CN"/>
        </w:rPr>
        <w:t>响应文件递交至</w:t>
      </w:r>
      <w:r>
        <w:rPr>
          <w:rFonts w:hint="eastAsia" w:ascii="仿宋_GB2312" w:hAnsi="仿宋_GB2312" w:eastAsia="仿宋_GB2312" w:cs="仿宋_GB2312"/>
          <w:highlight w:val="none"/>
        </w:rPr>
        <w:t>开标现场，逾期投递送达将导致</w:t>
      </w:r>
      <w:r>
        <w:rPr>
          <w:rFonts w:hint="eastAsia" w:ascii="仿宋_GB2312" w:hAnsi="仿宋_GB2312" w:eastAsia="仿宋_GB2312" w:cs="仿宋_GB2312"/>
          <w:highlight w:val="none"/>
          <w:lang w:eastAsia="zh-CN"/>
        </w:rPr>
        <w:t>响应</w:t>
      </w:r>
      <w:r>
        <w:rPr>
          <w:rFonts w:hint="eastAsia" w:ascii="仿宋_GB2312" w:hAnsi="仿宋_GB2312" w:eastAsia="仿宋_GB2312" w:cs="仿宋_GB2312"/>
          <w:highlight w:val="none"/>
        </w:rPr>
        <w:t>无效。</w:t>
      </w:r>
    </w:p>
    <w:p>
      <w:pPr>
        <w:jc w:val="center"/>
        <w:rPr>
          <w:rFonts w:hint="eastAsia" w:ascii="仿宋_GB2312" w:hAnsi="仿宋_GB2312" w:eastAsia="仿宋_GB2312" w:cs="仿宋_GB2312"/>
          <w:highlight w:val="none"/>
        </w:rPr>
      </w:pPr>
      <w:r>
        <w:rPr>
          <w:rFonts w:hint="eastAsia" w:ascii="仿宋_GB2312" w:hAnsi="仿宋_GB2312" w:eastAsia="仿宋_GB2312" w:cs="仿宋_GB2312"/>
          <w:b/>
          <w:sz w:val="28"/>
          <w:highlight w:val="none"/>
        </w:rPr>
        <w:t>须知前附表</w:t>
      </w:r>
    </w:p>
    <w:tbl>
      <w:tblPr>
        <w:tblStyle w:val="9"/>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0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7" w:type="dxa"/>
            <w:gridSpan w:val="3"/>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本表与询价通知书对应章节的内容若不一致，以本表为准。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1"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序号</w:t>
            </w:r>
          </w:p>
        </w:tc>
        <w:tc>
          <w:tcPr>
            <w:tcW w:w="225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条款名称</w:t>
            </w:r>
          </w:p>
        </w:tc>
        <w:tc>
          <w:tcPr>
            <w:tcW w:w="5004"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1" w:type="dxa"/>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w:t>
            </w:r>
          </w:p>
        </w:tc>
        <w:tc>
          <w:tcPr>
            <w:tcW w:w="225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采购包情况</w:t>
            </w:r>
          </w:p>
        </w:tc>
        <w:tc>
          <w:tcPr>
            <w:tcW w:w="5004"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本项目共1个采购包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1" w:type="dxa"/>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2</w:t>
            </w:r>
          </w:p>
        </w:tc>
        <w:tc>
          <w:tcPr>
            <w:tcW w:w="225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开启方式</w:t>
            </w:r>
          </w:p>
        </w:tc>
        <w:tc>
          <w:tcPr>
            <w:tcW w:w="5004"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现场</w:t>
            </w:r>
            <w:r>
              <w:rPr>
                <w:rFonts w:hint="eastAsia" w:ascii="仿宋_GB2312" w:hAnsi="仿宋_GB2312" w:eastAsia="仿宋_GB2312" w:cs="仿宋_GB2312"/>
                <w:highlight w:val="none"/>
                <w:lang w:eastAsia="zh-CN"/>
              </w:rPr>
              <w:t>纸质</w:t>
            </w:r>
            <w:r>
              <w:rPr>
                <w:rFonts w:hint="eastAsia" w:ascii="仿宋_GB2312" w:hAnsi="仿宋_GB2312" w:eastAsia="仿宋_GB2312" w:cs="仿宋_GB2312"/>
                <w:highlight w:val="none"/>
              </w:rPr>
              <w:t>开标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1" w:type="dxa"/>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3</w:t>
            </w:r>
          </w:p>
        </w:tc>
        <w:tc>
          <w:tcPr>
            <w:tcW w:w="225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评审方式</w:t>
            </w:r>
          </w:p>
        </w:tc>
        <w:tc>
          <w:tcPr>
            <w:tcW w:w="5004"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现场</w:t>
            </w:r>
            <w:r>
              <w:rPr>
                <w:rFonts w:hint="eastAsia" w:ascii="仿宋_GB2312" w:hAnsi="仿宋_GB2312" w:eastAsia="仿宋_GB2312" w:cs="仿宋_GB2312"/>
                <w:highlight w:val="none"/>
                <w:lang w:eastAsia="zh-CN"/>
              </w:rPr>
              <w:t>纸质</w:t>
            </w:r>
            <w:r>
              <w:rPr>
                <w:rFonts w:hint="eastAsia" w:ascii="仿宋_GB2312" w:hAnsi="仿宋_GB2312" w:eastAsia="仿宋_GB2312" w:cs="仿宋_GB2312"/>
                <w:highlight w:val="none"/>
              </w:rPr>
              <w:t>评标（供应商应当审慎标记各评审项的应答部分，标记内容清晰且完整，否则将自行承担不利后果）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1" w:type="dxa"/>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4</w:t>
            </w:r>
          </w:p>
        </w:tc>
        <w:tc>
          <w:tcPr>
            <w:tcW w:w="225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评审办法</w:t>
            </w:r>
          </w:p>
        </w:tc>
        <w:tc>
          <w:tcPr>
            <w:tcW w:w="5004"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采购包1：最低评标价法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1" w:type="dxa"/>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5</w:t>
            </w:r>
          </w:p>
        </w:tc>
        <w:tc>
          <w:tcPr>
            <w:tcW w:w="225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报价形式</w:t>
            </w:r>
          </w:p>
        </w:tc>
        <w:tc>
          <w:tcPr>
            <w:tcW w:w="5004" w:type="dxa"/>
          </w:tcPr>
          <w:p>
            <w:pPr>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采购包1：</w:t>
            </w:r>
            <w:r>
              <w:rPr>
                <w:rFonts w:hint="eastAsia" w:ascii="仿宋_GB2312" w:hAnsi="仿宋_GB2312" w:eastAsia="仿宋_GB2312" w:cs="仿宋_GB2312"/>
                <w:highlight w:val="none"/>
                <w:lang w:eastAsia="zh-CN"/>
              </w:rP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1" w:type="dxa"/>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6</w:t>
            </w:r>
          </w:p>
        </w:tc>
        <w:tc>
          <w:tcPr>
            <w:tcW w:w="225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报价要求</w:t>
            </w:r>
          </w:p>
        </w:tc>
        <w:tc>
          <w:tcPr>
            <w:tcW w:w="5004"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各采购包报价不超过预算总价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1" w:type="dxa"/>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7</w:t>
            </w:r>
          </w:p>
        </w:tc>
        <w:tc>
          <w:tcPr>
            <w:tcW w:w="225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现场踏勘</w:t>
            </w:r>
          </w:p>
        </w:tc>
        <w:tc>
          <w:tcPr>
            <w:tcW w:w="5004"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1" w:type="dxa"/>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8</w:t>
            </w:r>
          </w:p>
        </w:tc>
        <w:tc>
          <w:tcPr>
            <w:tcW w:w="225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响应有效期</w:t>
            </w:r>
          </w:p>
        </w:tc>
        <w:tc>
          <w:tcPr>
            <w:tcW w:w="5004"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从提交响应文件的截止之日起90日历天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1" w:type="dxa"/>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9</w:t>
            </w:r>
          </w:p>
        </w:tc>
        <w:tc>
          <w:tcPr>
            <w:tcW w:w="225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响应保证金</w:t>
            </w:r>
          </w:p>
        </w:tc>
        <w:tc>
          <w:tcPr>
            <w:tcW w:w="5004" w:type="dxa"/>
          </w:tcPr>
          <w:p>
            <w:pPr>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1" w:type="dxa"/>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10</w:t>
            </w:r>
          </w:p>
        </w:tc>
        <w:tc>
          <w:tcPr>
            <w:tcW w:w="225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成交候选供应商推荐家数</w:t>
            </w:r>
          </w:p>
        </w:tc>
        <w:tc>
          <w:tcPr>
            <w:tcW w:w="5004"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采购包1：3家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1" w:type="dxa"/>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11</w:t>
            </w:r>
          </w:p>
        </w:tc>
        <w:tc>
          <w:tcPr>
            <w:tcW w:w="225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成交供应商数量</w:t>
            </w:r>
          </w:p>
        </w:tc>
        <w:tc>
          <w:tcPr>
            <w:tcW w:w="5004"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采购包1：</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1" w:type="dxa"/>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12</w:t>
            </w:r>
          </w:p>
        </w:tc>
        <w:tc>
          <w:tcPr>
            <w:tcW w:w="225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有效供应商家数</w:t>
            </w:r>
          </w:p>
        </w:tc>
        <w:tc>
          <w:tcPr>
            <w:tcW w:w="5004"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采购包1：3家</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此人数约定了开启响应文件与询价过程中最低有效供应商家数，当家数不足时项目将不得开启、不得询价或直接终止采购。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1" w:type="dxa"/>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13</w:t>
            </w:r>
          </w:p>
        </w:tc>
        <w:tc>
          <w:tcPr>
            <w:tcW w:w="225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成交供应商确定方式</w:t>
            </w:r>
          </w:p>
        </w:tc>
        <w:tc>
          <w:tcPr>
            <w:tcW w:w="5004"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1" w:type="dxa"/>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14</w:t>
            </w:r>
          </w:p>
        </w:tc>
        <w:tc>
          <w:tcPr>
            <w:tcW w:w="225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项目兼投兼中</w:t>
            </w:r>
          </w:p>
        </w:tc>
        <w:tc>
          <w:tcPr>
            <w:tcW w:w="5004"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兼投兼中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1" w:type="dxa"/>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15</w:t>
            </w:r>
          </w:p>
        </w:tc>
        <w:tc>
          <w:tcPr>
            <w:tcW w:w="225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代理服务费</w:t>
            </w:r>
          </w:p>
        </w:tc>
        <w:tc>
          <w:tcPr>
            <w:tcW w:w="5004"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1" w:type="dxa"/>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16</w:t>
            </w:r>
          </w:p>
        </w:tc>
        <w:tc>
          <w:tcPr>
            <w:tcW w:w="225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代理服务费收取方式</w:t>
            </w:r>
          </w:p>
        </w:tc>
        <w:tc>
          <w:tcPr>
            <w:tcW w:w="5004"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1" w:type="dxa"/>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17</w:t>
            </w:r>
          </w:p>
        </w:tc>
        <w:tc>
          <w:tcPr>
            <w:tcW w:w="225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响应文件要求</w:t>
            </w:r>
          </w:p>
        </w:tc>
        <w:tc>
          <w:tcPr>
            <w:tcW w:w="5004" w:type="dxa"/>
          </w:tcPr>
          <w:p>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rPr>
              <w:t>纸质响应文件正本1份，纸质响应文件副本</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份。</w:t>
            </w:r>
            <w:r>
              <w:rPr>
                <w:rFonts w:hint="eastAsia" w:ascii="仿宋_GB2312" w:hAnsi="仿宋_GB2312" w:eastAsia="仿宋_GB2312" w:cs="仿宋_GB2312"/>
                <w:highlight w:val="none"/>
                <w:lang w:eastAsia="zh-CN"/>
              </w:rPr>
              <w:t>唱标信封一份。</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请保证正本</w:t>
            </w:r>
            <w:r>
              <w:rPr>
                <w:rFonts w:hint="eastAsia" w:ascii="仿宋_GB2312" w:hAnsi="仿宋_GB2312" w:eastAsia="仿宋_GB2312" w:cs="仿宋_GB2312"/>
                <w:highlight w:val="none"/>
                <w:lang w:eastAsia="zh-CN"/>
              </w:rPr>
              <w:t>响应</w:t>
            </w:r>
            <w:r>
              <w:rPr>
                <w:rFonts w:hint="eastAsia" w:ascii="仿宋_GB2312" w:hAnsi="仿宋_GB2312" w:eastAsia="仿宋_GB2312" w:cs="仿宋_GB2312"/>
                <w:highlight w:val="none"/>
              </w:rPr>
              <w:t>文件应与副本</w:t>
            </w:r>
            <w:r>
              <w:rPr>
                <w:rFonts w:hint="eastAsia" w:ascii="仿宋_GB2312" w:hAnsi="仿宋_GB2312" w:eastAsia="仿宋_GB2312" w:cs="仿宋_GB2312"/>
                <w:highlight w:val="none"/>
                <w:lang w:eastAsia="zh-CN"/>
              </w:rPr>
              <w:t>响应</w:t>
            </w:r>
            <w:r>
              <w:rPr>
                <w:rFonts w:hint="eastAsia" w:ascii="仿宋_GB2312" w:hAnsi="仿宋_GB2312" w:eastAsia="仿宋_GB2312" w:cs="仿宋_GB2312"/>
                <w:highlight w:val="none"/>
              </w:rPr>
              <w:t>文件一致，如不一致时以正本</w:t>
            </w:r>
            <w:r>
              <w:rPr>
                <w:rFonts w:hint="eastAsia" w:ascii="仿宋_GB2312" w:hAnsi="仿宋_GB2312" w:eastAsia="仿宋_GB2312" w:cs="仿宋_GB2312"/>
                <w:highlight w:val="none"/>
                <w:lang w:eastAsia="zh-CN"/>
              </w:rPr>
              <w:t>响应</w:t>
            </w:r>
            <w:r>
              <w:rPr>
                <w:rFonts w:hint="eastAsia" w:ascii="仿宋_GB2312" w:hAnsi="仿宋_GB2312" w:eastAsia="仿宋_GB2312" w:cs="仿宋_GB2312"/>
                <w:highlight w:val="none"/>
              </w:rPr>
              <w:t>文件为准。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1" w:type="dxa"/>
          </w:tcPr>
          <w:p>
            <w:pPr>
              <w:jc w:val="cente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18</w:t>
            </w:r>
          </w:p>
        </w:tc>
        <w:tc>
          <w:tcPr>
            <w:tcW w:w="225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专门面向中小企业采购</w:t>
            </w:r>
          </w:p>
        </w:tc>
        <w:tc>
          <w:tcPr>
            <w:tcW w:w="5004" w:type="dxa"/>
          </w:tcPr>
          <w:p>
            <w:pPr>
              <w:jc w:val="left"/>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采购包1：</w:t>
            </w:r>
            <w:r>
              <w:rPr>
                <w:rFonts w:hint="eastAsia" w:ascii="仿宋_GB2312" w:hAnsi="仿宋_GB2312" w:eastAsia="仿宋_GB2312" w:cs="仿宋_GB2312"/>
                <w:highlight w:val="none"/>
                <w:lang w:eastAsia="zh-CN"/>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1" w:type="dxa"/>
            <w:vAlign w:val="top"/>
          </w:tcPr>
          <w:p>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19</w:t>
            </w:r>
          </w:p>
        </w:tc>
        <w:tc>
          <w:tcPr>
            <w:tcW w:w="2252" w:type="dxa"/>
            <w:vAlign w:val="top"/>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本项目采购标的中小业划分标准所属行业</w:t>
            </w:r>
          </w:p>
        </w:tc>
        <w:tc>
          <w:tcPr>
            <w:tcW w:w="5004" w:type="dxa"/>
            <w:vAlign w:val="top"/>
          </w:tcPr>
          <w:p>
            <w:pPr>
              <w:jc w:val="left"/>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本项目采购标的中小业划分标准所属行业：</w:t>
            </w:r>
            <w:r>
              <w:rPr>
                <w:rFonts w:hint="eastAsia" w:ascii="仿宋_GB2312" w:hAnsi="仿宋_GB2312" w:eastAsia="仿宋_GB2312" w:cs="仿宋_GB2312"/>
                <w:b/>
                <w:highlight w:val="none"/>
                <w:u w:val="single"/>
                <w:lang w:eastAsia="zh-CN"/>
              </w:rPr>
              <w:t>软件和信息技术服务业</w:t>
            </w:r>
          </w:p>
        </w:tc>
      </w:tr>
    </w:tbl>
    <w:p>
      <w:pPr>
        <w:rPr>
          <w:rFonts w:hint="eastAsia" w:ascii="仿宋_GB2312" w:hAnsi="仿宋_GB2312" w:eastAsia="仿宋_GB2312" w:cs="仿宋_GB2312"/>
          <w:highlight w:val="none"/>
        </w:rPr>
      </w:pPr>
      <w:r>
        <w:rPr>
          <w:rFonts w:hint="eastAsia" w:ascii="仿宋_GB2312" w:hAnsi="仿宋_GB2312" w:eastAsia="仿宋_GB2312" w:cs="仿宋_GB2312"/>
          <w:b/>
          <w:sz w:val="28"/>
          <w:highlight w:val="none"/>
        </w:rPr>
        <w:t>说明</w:t>
      </w:r>
    </w:p>
    <w:p>
      <w:pPr>
        <w:pStyle w:val="13"/>
        <w:pageBreakBefore w:val="0"/>
        <w:widowControl w:val="0"/>
        <w:kinsoku/>
        <w:wordWrap/>
        <w:overflowPunct/>
        <w:topLinePunct w:val="0"/>
        <w:autoSpaceDE/>
        <w:autoSpaceDN/>
        <w:bidi w:val="0"/>
        <w:spacing w:line="480" w:lineRule="exact"/>
        <w:ind w:firstLine="0" w:firstLineChars="0"/>
        <w:jc w:val="both"/>
        <w:textAlignment w:val="auto"/>
        <w:rPr>
          <w:rFonts w:hint="eastAsia" w:ascii="仿宋_GB2312" w:hAnsi="仿宋_GB2312" w:eastAsia="仿宋_GB2312" w:cs="仿宋_GB2312"/>
          <w:color w:val="000000"/>
          <w:highlight w:val="none"/>
        </w:rPr>
      </w:pPr>
      <w:bookmarkStart w:id="10" w:name="_Toc22035"/>
      <w:bookmarkStart w:id="11" w:name="_Toc416858501"/>
      <w:bookmarkStart w:id="12" w:name="_Toc411519060"/>
      <w:r>
        <w:rPr>
          <w:rFonts w:hint="eastAsia" w:ascii="仿宋_GB2312" w:hAnsi="仿宋_GB2312" w:eastAsia="仿宋_GB2312" w:cs="仿宋_GB2312"/>
          <w:color w:val="000000"/>
          <w:highlight w:val="none"/>
        </w:rPr>
        <w:t>1．资金来源</w:t>
      </w:r>
      <w:bookmarkEnd w:id="10"/>
      <w:bookmarkEnd w:id="11"/>
      <w:bookmarkEnd w:id="12"/>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1.资金来源：财政资金</w:t>
      </w:r>
      <w:r>
        <w:rPr>
          <w:rFonts w:hint="eastAsia" w:ascii="仿宋_GB2312" w:hAnsi="仿宋_GB2312" w:eastAsia="仿宋_GB2312" w:cs="仿宋_GB2312"/>
          <w:color w:val="000000"/>
          <w:sz w:val="28"/>
          <w:highlight w:val="none"/>
          <w:lang w:eastAsia="zh-CN"/>
        </w:rPr>
        <w:t>；</w:t>
      </w:r>
      <w:r>
        <w:rPr>
          <w:rFonts w:hint="eastAsia" w:ascii="仿宋_GB2312" w:hAnsi="仿宋_GB2312" w:eastAsia="仿宋_GB2312" w:cs="仿宋_GB2312"/>
          <w:color w:val="000000"/>
          <w:sz w:val="28"/>
          <w:highlight w:val="none"/>
        </w:rPr>
        <w:t>采购总预算：</w:t>
      </w:r>
      <w:r>
        <w:rPr>
          <w:rFonts w:hint="eastAsia" w:ascii="仿宋_GB2312" w:hAnsi="仿宋_GB2312" w:eastAsia="仿宋_GB2312" w:cs="仿宋_GB2312"/>
          <w:color w:val="000000"/>
          <w:sz w:val="28"/>
          <w:highlight w:val="none"/>
          <w:u w:val="single"/>
        </w:rPr>
        <w:t>￥</w:t>
      </w:r>
      <w:r>
        <w:rPr>
          <w:rFonts w:hint="eastAsia" w:ascii="仿宋_GB2312" w:hAnsi="仿宋_GB2312" w:eastAsia="仿宋_GB2312" w:cs="仿宋_GB2312"/>
          <w:color w:val="000000"/>
          <w:sz w:val="28"/>
          <w:highlight w:val="none"/>
          <w:u w:val="single"/>
          <w:lang w:val="en-US" w:eastAsia="zh-CN"/>
        </w:rPr>
        <w:t>902262.5</w:t>
      </w:r>
      <w:r>
        <w:rPr>
          <w:rFonts w:hint="eastAsia" w:ascii="仿宋_GB2312" w:hAnsi="仿宋_GB2312" w:eastAsia="仿宋_GB2312" w:cs="仿宋_GB2312"/>
          <w:color w:val="000000"/>
          <w:sz w:val="28"/>
          <w:highlight w:val="none"/>
          <w:u w:val="single"/>
        </w:rPr>
        <w:t>元</w:t>
      </w:r>
      <w:r>
        <w:rPr>
          <w:rFonts w:hint="eastAsia" w:ascii="仿宋_GB2312" w:hAnsi="仿宋_GB2312" w:eastAsia="仿宋_GB2312" w:cs="仿宋_GB2312"/>
          <w:color w:val="000000"/>
          <w:sz w:val="28"/>
          <w:highlight w:val="none"/>
        </w:rPr>
        <w:t>。</w:t>
      </w:r>
    </w:p>
    <w:p>
      <w:pPr>
        <w:pStyle w:val="13"/>
        <w:pageBreakBefore w:val="0"/>
        <w:widowControl w:val="0"/>
        <w:kinsoku/>
        <w:wordWrap/>
        <w:overflowPunct/>
        <w:topLinePunct w:val="0"/>
        <w:autoSpaceDE/>
        <w:autoSpaceDN/>
        <w:bidi w:val="0"/>
        <w:spacing w:line="480" w:lineRule="exact"/>
        <w:ind w:firstLine="0" w:firstLineChars="0"/>
        <w:jc w:val="both"/>
        <w:textAlignment w:val="auto"/>
        <w:rPr>
          <w:rFonts w:hint="eastAsia" w:ascii="仿宋_GB2312" w:hAnsi="仿宋_GB2312" w:eastAsia="仿宋_GB2312" w:cs="仿宋_GB2312"/>
          <w:color w:val="000000"/>
          <w:highlight w:val="none"/>
        </w:rPr>
      </w:pPr>
      <w:bookmarkStart w:id="13" w:name="_Toc416858502"/>
      <w:bookmarkStart w:id="14" w:name="_Toc411519061"/>
      <w:bookmarkStart w:id="15" w:name="_Toc1879"/>
      <w:r>
        <w:rPr>
          <w:rFonts w:hint="eastAsia" w:ascii="仿宋_GB2312" w:hAnsi="仿宋_GB2312" w:eastAsia="仿宋_GB2312" w:cs="仿宋_GB2312"/>
          <w:color w:val="000000"/>
          <w:highlight w:val="none"/>
        </w:rPr>
        <w:t>2．定义</w:t>
      </w:r>
      <w:bookmarkEnd w:id="13"/>
      <w:bookmarkEnd w:id="14"/>
      <w:bookmarkEnd w:id="15"/>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2.1采购人：</w:t>
      </w:r>
      <w:r>
        <w:rPr>
          <w:rFonts w:hint="eastAsia" w:ascii="仿宋_GB2312" w:hAnsi="仿宋_GB2312" w:eastAsia="仿宋_GB2312" w:cs="仿宋_GB2312"/>
          <w:color w:val="000000"/>
          <w:sz w:val="28"/>
          <w:highlight w:val="none"/>
          <w:u w:val="single"/>
          <w:lang w:eastAsia="zh-CN"/>
        </w:rPr>
        <w:t>东莞市万江街道办事处</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2.2供应商：指向采购人提供货物或者服务的法人、其他组织或者自然人。</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2.3 询价小组：询价小组是依据《中华人民共和国政府采购法》及其实施条例、《政府采购非</w:t>
      </w:r>
      <w:r>
        <w:rPr>
          <w:rFonts w:hint="eastAsia" w:ascii="仿宋_GB2312" w:hAnsi="仿宋_GB2312" w:eastAsia="仿宋_GB2312" w:cs="仿宋_GB2312"/>
          <w:color w:val="000000"/>
          <w:sz w:val="28"/>
          <w:highlight w:val="none"/>
          <w:lang w:eastAsia="zh-CN"/>
        </w:rPr>
        <w:t>招标</w:t>
      </w:r>
      <w:r>
        <w:rPr>
          <w:rFonts w:hint="eastAsia" w:ascii="仿宋_GB2312" w:hAnsi="仿宋_GB2312" w:eastAsia="仿宋_GB2312" w:cs="仿宋_GB2312"/>
          <w:color w:val="000000"/>
          <w:sz w:val="28"/>
          <w:highlight w:val="none"/>
        </w:rPr>
        <w:t>采购方式管理办法》等组建的专门负责本次采购其评审工作的临时性机构。</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2.4日期：指公历日。</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2.5时间: 指北京时间。</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2.6合同</w:t>
      </w:r>
      <w:r>
        <w:rPr>
          <w:rFonts w:hint="eastAsia" w:ascii="仿宋_GB2312" w:hAnsi="仿宋_GB2312" w:eastAsia="仿宋_GB2312" w:cs="仿宋_GB2312"/>
          <w:color w:val="000000"/>
          <w:sz w:val="28"/>
          <w:highlight w:val="none"/>
          <w:lang w:eastAsia="zh-CN"/>
        </w:rPr>
        <w:t>：</w:t>
      </w:r>
      <w:r>
        <w:rPr>
          <w:rFonts w:hint="eastAsia" w:ascii="仿宋_GB2312" w:hAnsi="仿宋_GB2312" w:eastAsia="仿宋_GB2312" w:cs="仿宋_GB2312"/>
          <w:color w:val="000000"/>
          <w:sz w:val="28"/>
          <w:highlight w:val="none"/>
        </w:rPr>
        <w:t>指由本次报价所产生的合同或合约文件。</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2.7询价通知书中所规定“书面形式”，是指任何手写的、打印的或印刷的通讯，包括传真发送。</w:t>
      </w:r>
    </w:p>
    <w:p>
      <w:pPr>
        <w:pStyle w:val="13"/>
        <w:pageBreakBefore w:val="0"/>
        <w:widowControl w:val="0"/>
        <w:numPr>
          <w:ilvl w:val="0"/>
          <w:numId w:val="0"/>
        </w:numPr>
        <w:kinsoku/>
        <w:wordWrap/>
        <w:overflowPunct/>
        <w:topLinePunct w:val="0"/>
        <w:autoSpaceDE/>
        <w:autoSpaceDN/>
        <w:bidi w:val="0"/>
        <w:spacing w:line="480" w:lineRule="exact"/>
        <w:ind w:leftChars="0"/>
        <w:jc w:val="both"/>
        <w:textAlignment w:val="auto"/>
        <w:rPr>
          <w:rFonts w:hint="eastAsia" w:ascii="仿宋_GB2312" w:hAnsi="仿宋_GB2312" w:eastAsia="仿宋_GB2312" w:cs="仿宋_GB2312"/>
          <w:color w:val="000000"/>
          <w:highlight w:val="none"/>
        </w:rPr>
      </w:pPr>
      <w:bookmarkStart w:id="16" w:name="_Toc416858503"/>
      <w:bookmarkStart w:id="17" w:name="_Toc10593"/>
      <w:r>
        <w:rPr>
          <w:rFonts w:hint="eastAsia" w:ascii="仿宋_GB2312" w:hAnsi="仿宋_GB2312" w:eastAsia="仿宋_GB2312" w:cs="仿宋_GB2312"/>
          <w:color w:val="000000"/>
          <w:highlight w:val="none"/>
          <w:lang w:val="en-US" w:eastAsia="zh-CN"/>
        </w:rPr>
        <w:t>3.</w:t>
      </w:r>
      <w:r>
        <w:rPr>
          <w:rFonts w:hint="eastAsia" w:ascii="仿宋_GB2312" w:hAnsi="仿宋_GB2312" w:eastAsia="仿宋_GB2312" w:cs="仿宋_GB2312"/>
          <w:color w:val="000000"/>
          <w:highlight w:val="none"/>
        </w:rPr>
        <w:t>供应商的资格条件</w:t>
      </w:r>
      <w:bookmarkEnd w:id="16"/>
      <w:bookmarkEnd w:id="17"/>
    </w:p>
    <w:p>
      <w:pPr>
        <w:pStyle w:val="13"/>
        <w:pageBreakBefore w:val="0"/>
        <w:widowControl w:val="0"/>
        <w:kinsoku/>
        <w:wordWrap/>
        <w:overflowPunct/>
        <w:topLinePunct w:val="0"/>
        <w:autoSpaceDE/>
        <w:autoSpaceDN/>
        <w:bidi w:val="0"/>
        <w:spacing w:line="480" w:lineRule="exact"/>
        <w:ind w:firstLine="0" w:firstLineChars="0"/>
        <w:jc w:val="both"/>
        <w:textAlignment w:val="auto"/>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详见申请人的资格要求</w:t>
      </w:r>
    </w:p>
    <w:p>
      <w:pPr>
        <w:pStyle w:val="13"/>
        <w:pageBreakBefore w:val="0"/>
        <w:widowControl w:val="0"/>
        <w:kinsoku/>
        <w:wordWrap/>
        <w:overflowPunct/>
        <w:topLinePunct w:val="0"/>
        <w:autoSpaceDE/>
        <w:autoSpaceDN/>
        <w:bidi w:val="0"/>
        <w:spacing w:line="480" w:lineRule="exact"/>
        <w:ind w:firstLine="0" w:firstLineChars="0"/>
        <w:jc w:val="both"/>
        <w:textAlignment w:val="auto"/>
        <w:rPr>
          <w:rFonts w:hint="eastAsia" w:ascii="仿宋_GB2312" w:hAnsi="仿宋_GB2312" w:eastAsia="仿宋_GB2312" w:cs="仿宋_GB2312"/>
          <w:b/>
          <w:bCs/>
          <w:color w:val="000000"/>
          <w:highlight w:val="none"/>
          <w:lang w:val="en-US" w:eastAsia="zh-CN"/>
        </w:rPr>
      </w:pPr>
      <w:r>
        <w:rPr>
          <w:rFonts w:hint="eastAsia" w:ascii="仿宋_GB2312" w:hAnsi="仿宋_GB2312" w:eastAsia="仿宋_GB2312" w:cs="仿宋_GB2312"/>
          <w:b/>
          <w:bCs/>
          <w:color w:val="000000"/>
          <w:highlight w:val="none"/>
          <w:lang w:val="en-US" w:eastAsia="zh-CN"/>
        </w:rPr>
        <w:t>4.合格的货物和服务</w:t>
      </w:r>
    </w:p>
    <w:p>
      <w:pPr>
        <w:pageBreakBefore w:val="0"/>
        <w:widowControl w:val="0"/>
        <w:kinsoku/>
        <w:wordWrap/>
        <w:overflowPunct/>
        <w:topLinePunct w:val="0"/>
        <w:autoSpaceDE/>
        <w:autoSpaceDN/>
        <w:bidi w:val="0"/>
        <w:spacing w:line="480" w:lineRule="exact"/>
        <w:ind w:firstLine="630" w:firstLineChars="225"/>
        <w:textAlignment w:val="auto"/>
        <w:rPr>
          <w:rFonts w:hint="eastAsia" w:ascii="仿宋_GB2312" w:hAnsi="仿宋_GB2312" w:eastAsia="仿宋_GB2312" w:cs="仿宋_GB2312"/>
          <w:color w:val="000000"/>
          <w:sz w:val="28"/>
          <w:highlight w:val="none"/>
        </w:rPr>
      </w:pPr>
      <w:bookmarkStart w:id="18" w:name="_Toc411519064"/>
      <w:r>
        <w:rPr>
          <w:rFonts w:hint="eastAsia" w:ascii="仿宋_GB2312" w:hAnsi="仿宋_GB2312" w:eastAsia="仿宋_GB2312" w:cs="仿宋_GB2312"/>
          <w:color w:val="000000"/>
          <w:sz w:val="28"/>
          <w:highlight w:val="none"/>
        </w:rPr>
        <w:t>4.1货物是指供应商制造或组织符合询价通知书要求的货物等。采购的货物必须是其合法生产的符合国家有关标准要求的货物，并满足询价通知书规定的规格、参数、质量、价格、有效期、售后服务等要求。询价通知书中没有提及采购货物来源地的，根据《中华人民共和国政府采购法》及其实施条例的相关规定应当是本国货物。</w:t>
      </w:r>
    </w:p>
    <w:p>
      <w:pPr>
        <w:pageBreakBefore w:val="0"/>
        <w:widowControl w:val="0"/>
        <w:kinsoku/>
        <w:wordWrap/>
        <w:overflowPunct/>
        <w:topLinePunct w:val="0"/>
        <w:autoSpaceDE/>
        <w:autoSpaceDN/>
        <w:bidi w:val="0"/>
        <w:spacing w:line="480" w:lineRule="exact"/>
        <w:ind w:firstLine="630" w:firstLineChars="225"/>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4.2服务是指除货物和工程以外的其他政府采购对象，其中包括供应商须承担的运输、安装、技术支持、培训及询价通知书规定的其它服务。</w:t>
      </w:r>
    </w:p>
    <w:p>
      <w:pPr>
        <w:pageBreakBefore w:val="0"/>
        <w:widowControl w:val="0"/>
        <w:kinsoku/>
        <w:wordWrap/>
        <w:overflowPunct/>
        <w:topLinePunct w:val="0"/>
        <w:autoSpaceDE/>
        <w:autoSpaceDN/>
        <w:bidi w:val="0"/>
        <w:spacing w:line="480" w:lineRule="exact"/>
        <w:ind w:firstLine="630" w:firstLineChars="225"/>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4.3属于政府采购强制采购节能产品，供应商提供所投产品应已列入最新一期《节能产品政府采购清单》（注：该清单可查询中国政府采购网，请供应商打印产品所在清单页，并对相关内容作圈记）。</w:t>
      </w:r>
    </w:p>
    <w:p>
      <w:pPr>
        <w:pageBreakBefore w:val="0"/>
        <w:widowControl w:val="0"/>
        <w:kinsoku/>
        <w:wordWrap/>
        <w:overflowPunct/>
        <w:topLinePunct w:val="0"/>
        <w:autoSpaceDE/>
        <w:autoSpaceDN/>
        <w:bidi w:val="0"/>
        <w:spacing w:line="480" w:lineRule="exact"/>
        <w:ind w:firstLine="630" w:firstLineChars="225"/>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4.4供应商应保证,采购人在中华人民共和国使用货物或服务的任何一部分时</w:t>
      </w:r>
      <w:r>
        <w:rPr>
          <w:rFonts w:hint="eastAsia" w:ascii="仿宋_GB2312" w:hAnsi="仿宋_GB2312" w:eastAsia="仿宋_GB2312" w:cs="仿宋_GB2312"/>
          <w:color w:val="000000"/>
          <w:sz w:val="28"/>
          <w:highlight w:val="none"/>
          <w:lang w:eastAsia="zh-CN"/>
        </w:rPr>
        <w:t>，</w:t>
      </w:r>
      <w:r>
        <w:rPr>
          <w:rFonts w:hint="eastAsia" w:ascii="仿宋_GB2312" w:hAnsi="仿宋_GB2312" w:eastAsia="仿宋_GB2312" w:cs="仿宋_GB2312"/>
          <w:color w:val="000000"/>
          <w:sz w:val="28"/>
          <w:highlight w:val="none"/>
        </w:rPr>
        <w:t>采购人免受第三方提出侵犯其专利权、商标权或其它知识产权的起诉。</w:t>
      </w:r>
    </w:p>
    <w:p>
      <w:pPr>
        <w:pageBreakBefore w:val="0"/>
        <w:widowControl w:val="0"/>
        <w:kinsoku/>
        <w:wordWrap/>
        <w:overflowPunct/>
        <w:topLinePunct w:val="0"/>
        <w:autoSpaceDE/>
        <w:autoSpaceDN/>
        <w:bidi w:val="0"/>
        <w:spacing w:line="480" w:lineRule="exact"/>
        <w:ind w:left="63" w:leftChars="30" w:firstLine="509" w:firstLineChars="182"/>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4.5验收。</w:t>
      </w:r>
    </w:p>
    <w:p>
      <w:pPr>
        <w:pageBreakBefore w:val="0"/>
        <w:widowControl w:val="0"/>
        <w:kinsoku/>
        <w:wordWrap/>
        <w:overflowPunct/>
        <w:topLinePunct w:val="0"/>
        <w:autoSpaceDE/>
        <w:autoSpaceDN/>
        <w:bidi w:val="0"/>
        <w:spacing w:line="480" w:lineRule="exact"/>
        <w:ind w:left="63" w:leftChars="30" w:firstLine="509" w:firstLineChars="182"/>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4.5.1验收工作由采购人（或采购人指定的单位）与供应商共同进行。</w:t>
      </w:r>
    </w:p>
    <w:p>
      <w:pPr>
        <w:pageBreakBefore w:val="0"/>
        <w:widowControl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4.5.2在验收时，供应商应向采购人提供货物或服务的相关资料，按采购人提出的方式验收。</w:t>
      </w:r>
    </w:p>
    <w:p>
      <w:pPr>
        <w:pageBreakBefore w:val="0"/>
        <w:widowControl w:val="0"/>
        <w:kinsoku/>
        <w:wordWrap/>
        <w:overflowPunct/>
        <w:topLinePunct w:val="0"/>
        <w:autoSpaceDE/>
        <w:autoSpaceDN/>
        <w:bidi w:val="0"/>
        <w:spacing w:line="480" w:lineRule="exact"/>
        <w:ind w:left="29" w:leftChars="14" w:firstLine="560" w:firstLineChars="200"/>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4.5.3由采购人对货物或服务的质量、规格和数量及其他进行检验。如发现质量、规格和数量等任何一项与采购要求规定不符，采购人有权拒绝接受。</w:t>
      </w:r>
    </w:p>
    <w:p>
      <w:pPr>
        <w:pStyle w:val="13"/>
        <w:pageBreakBefore w:val="0"/>
        <w:widowControl w:val="0"/>
        <w:kinsoku/>
        <w:wordWrap/>
        <w:overflowPunct/>
        <w:topLinePunct w:val="0"/>
        <w:autoSpaceDE/>
        <w:autoSpaceDN/>
        <w:bidi w:val="0"/>
        <w:spacing w:line="480" w:lineRule="exact"/>
        <w:ind w:firstLine="0" w:firstLineChars="0"/>
        <w:jc w:val="both"/>
        <w:textAlignment w:val="auto"/>
        <w:rPr>
          <w:rFonts w:hint="eastAsia" w:ascii="仿宋_GB2312" w:hAnsi="仿宋_GB2312" w:eastAsia="仿宋_GB2312" w:cs="仿宋_GB2312"/>
          <w:color w:val="000000"/>
          <w:highlight w:val="none"/>
        </w:rPr>
      </w:pPr>
      <w:bookmarkStart w:id="19" w:name="_Toc11668"/>
      <w:bookmarkStart w:id="20" w:name="_Toc416858505"/>
      <w:r>
        <w:rPr>
          <w:rFonts w:hint="eastAsia" w:ascii="仿宋_GB2312" w:hAnsi="仿宋_GB2312" w:eastAsia="仿宋_GB2312" w:cs="仿宋_GB2312"/>
          <w:color w:val="000000"/>
          <w:highlight w:val="none"/>
        </w:rPr>
        <w:t>5．报价费用</w:t>
      </w:r>
      <w:bookmarkEnd w:id="18"/>
      <w:bookmarkEnd w:id="19"/>
      <w:bookmarkEnd w:id="20"/>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5.1供应商应承担一切与准备和提交响应文件有关的费用。</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5.2不论报价的结果如何，招投标服务所、采购人均无义务和责任承担这些费用。</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5.3招投标服务所不收取成交服务费。</w:t>
      </w:r>
    </w:p>
    <w:p>
      <w:pPr>
        <w:pStyle w:val="13"/>
        <w:pageBreakBefore w:val="0"/>
        <w:widowControl w:val="0"/>
        <w:kinsoku/>
        <w:wordWrap/>
        <w:overflowPunct/>
        <w:topLinePunct w:val="0"/>
        <w:autoSpaceDE/>
        <w:autoSpaceDN/>
        <w:bidi w:val="0"/>
        <w:spacing w:line="480" w:lineRule="exact"/>
        <w:ind w:firstLine="0" w:firstLineChars="0"/>
        <w:jc w:val="both"/>
        <w:textAlignment w:val="auto"/>
        <w:rPr>
          <w:rFonts w:hint="eastAsia" w:ascii="仿宋_GB2312" w:hAnsi="仿宋_GB2312" w:eastAsia="仿宋_GB2312" w:cs="仿宋_GB2312"/>
          <w:color w:val="000000"/>
          <w:highlight w:val="none"/>
        </w:rPr>
      </w:pPr>
      <w:bookmarkStart w:id="21" w:name="_Toc28375"/>
      <w:bookmarkStart w:id="22" w:name="_Toc416858506"/>
      <w:r>
        <w:rPr>
          <w:rFonts w:hint="eastAsia" w:ascii="仿宋_GB2312" w:hAnsi="仿宋_GB2312" w:eastAsia="仿宋_GB2312" w:cs="仿宋_GB2312"/>
          <w:color w:val="000000"/>
          <w:highlight w:val="none"/>
        </w:rPr>
        <w:t>6. 联合体报价</w:t>
      </w:r>
      <w:bookmarkEnd w:id="21"/>
      <w:bookmarkEnd w:id="22"/>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6.1联合体报价的供应商应当满足下列条件：</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6.1.1以联合体形式进行政府采购的，参加联合体的供应商均应当具备《中华人民共和国政府采购法》第二十二条规定的条件，联合体各方之间应当签订联合体协议，明确约定联合体各方承担的工作和义务，并将共同联合体协议连同响应文件一并提交。</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6.1.2以联合体形式参加政府采购活动的，联合体各方不得再单独参加或者与其他供应商另外组成联合体参加同一合同项下的政府采购活动。</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6.1.3联合体中有同类资质的供应商按照联合体分工承担相同工作的，按照资质等级较低的供应商确定资质等级。</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6.1.4联合体各方应当共同与采购人签订采购合同，就采购合同约定的事项对采购人承担连带责任。</w:t>
      </w:r>
    </w:p>
    <w:p>
      <w:pPr>
        <w:pStyle w:val="3"/>
        <w:pageBreakBefore w:val="0"/>
        <w:widowControl w:val="0"/>
        <w:kinsoku/>
        <w:wordWrap/>
        <w:overflowPunct/>
        <w:topLinePunct w:val="0"/>
        <w:autoSpaceDE/>
        <w:autoSpaceDN/>
        <w:bidi w:val="0"/>
        <w:spacing w:before="0" w:after="0" w:line="480" w:lineRule="exact"/>
        <w:textAlignment w:val="auto"/>
        <w:rPr>
          <w:rFonts w:hint="eastAsia" w:ascii="仿宋_GB2312" w:hAnsi="仿宋_GB2312" w:eastAsia="仿宋_GB2312" w:cs="仿宋_GB2312"/>
          <w:bCs w:val="0"/>
          <w:color w:val="000000"/>
          <w:sz w:val="28"/>
          <w:szCs w:val="28"/>
          <w:highlight w:val="none"/>
        </w:rPr>
      </w:pPr>
      <w:bookmarkStart w:id="23" w:name="_Toc416858507"/>
      <w:bookmarkStart w:id="24" w:name="_Toc411519065"/>
      <w:bookmarkStart w:id="25" w:name="_Toc29213"/>
      <w:r>
        <w:rPr>
          <w:rFonts w:hint="eastAsia" w:ascii="仿宋_GB2312" w:hAnsi="仿宋_GB2312" w:eastAsia="仿宋_GB2312" w:cs="仿宋_GB2312"/>
          <w:bCs w:val="0"/>
          <w:color w:val="000000"/>
          <w:sz w:val="28"/>
          <w:szCs w:val="28"/>
          <w:highlight w:val="none"/>
        </w:rPr>
        <w:t>二、询价通知书</w:t>
      </w:r>
      <w:bookmarkEnd w:id="23"/>
      <w:bookmarkEnd w:id="24"/>
      <w:bookmarkEnd w:id="25"/>
    </w:p>
    <w:p>
      <w:pPr>
        <w:pStyle w:val="13"/>
        <w:pageBreakBefore w:val="0"/>
        <w:widowControl w:val="0"/>
        <w:kinsoku/>
        <w:wordWrap/>
        <w:overflowPunct/>
        <w:topLinePunct w:val="0"/>
        <w:autoSpaceDE/>
        <w:autoSpaceDN/>
        <w:bidi w:val="0"/>
        <w:spacing w:line="480" w:lineRule="exact"/>
        <w:ind w:firstLine="0" w:firstLineChars="0"/>
        <w:jc w:val="both"/>
        <w:textAlignment w:val="auto"/>
        <w:rPr>
          <w:rFonts w:hint="eastAsia" w:ascii="仿宋_GB2312" w:hAnsi="仿宋_GB2312" w:eastAsia="仿宋_GB2312" w:cs="仿宋_GB2312"/>
          <w:color w:val="000000"/>
          <w:highlight w:val="none"/>
        </w:rPr>
      </w:pPr>
      <w:bookmarkStart w:id="26" w:name="_Toc416858508"/>
      <w:bookmarkStart w:id="27" w:name="_Toc411519066"/>
      <w:bookmarkStart w:id="28" w:name="_Toc9228"/>
      <w:r>
        <w:rPr>
          <w:rFonts w:hint="eastAsia" w:ascii="仿宋_GB2312" w:hAnsi="仿宋_GB2312" w:eastAsia="仿宋_GB2312" w:cs="仿宋_GB2312"/>
          <w:color w:val="000000"/>
          <w:highlight w:val="none"/>
        </w:rPr>
        <w:t>7．询价通知书的组成</w:t>
      </w:r>
      <w:bookmarkEnd w:id="26"/>
      <w:bookmarkEnd w:id="27"/>
      <w:bookmarkEnd w:id="28"/>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7.1询价通知书包括：</w:t>
      </w:r>
    </w:p>
    <w:p>
      <w:pPr>
        <w:pStyle w:val="15"/>
        <w:pageBreakBefore w:val="0"/>
        <w:widowControl w:val="0"/>
        <w:kinsoku/>
        <w:wordWrap/>
        <w:overflowPunct/>
        <w:topLinePunct w:val="0"/>
        <w:autoSpaceDE/>
        <w:autoSpaceDN/>
        <w:bidi w:val="0"/>
        <w:spacing w:line="480" w:lineRule="exact"/>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7.1.1 报价邀请；</w:t>
      </w:r>
    </w:p>
    <w:p>
      <w:pPr>
        <w:pStyle w:val="15"/>
        <w:pageBreakBefore w:val="0"/>
        <w:widowControl w:val="0"/>
        <w:kinsoku/>
        <w:wordWrap/>
        <w:overflowPunct/>
        <w:topLinePunct w:val="0"/>
        <w:autoSpaceDE/>
        <w:autoSpaceDN/>
        <w:bidi w:val="0"/>
        <w:spacing w:line="480" w:lineRule="exact"/>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7.1.2 报价人须知；</w:t>
      </w:r>
    </w:p>
    <w:p>
      <w:pPr>
        <w:pStyle w:val="15"/>
        <w:pageBreakBefore w:val="0"/>
        <w:widowControl w:val="0"/>
        <w:kinsoku/>
        <w:wordWrap/>
        <w:overflowPunct/>
        <w:topLinePunct w:val="0"/>
        <w:autoSpaceDE/>
        <w:autoSpaceDN/>
        <w:bidi w:val="0"/>
        <w:spacing w:line="480" w:lineRule="exact"/>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7.1.3 合同书格式；</w:t>
      </w:r>
    </w:p>
    <w:p>
      <w:pPr>
        <w:pStyle w:val="15"/>
        <w:pageBreakBefore w:val="0"/>
        <w:widowControl w:val="0"/>
        <w:kinsoku/>
        <w:wordWrap/>
        <w:overflowPunct/>
        <w:topLinePunct w:val="0"/>
        <w:autoSpaceDE/>
        <w:autoSpaceDN/>
        <w:bidi w:val="0"/>
        <w:spacing w:line="480" w:lineRule="exact"/>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7.1.4 用户需求书；</w:t>
      </w:r>
    </w:p>
    <w:p>
      <w:pPr>
        <w:pStyle w:val="15"/>
        <w:pageBreakBefore w:val="0"/>
        <w:widowControl w:val="0"/>
        <w:kinsoku/>
        <w:wordWrap/>
        <w:overflowPunct/>
        <w:topLinePunct w:val="0"/>
        <w:autoSpaceDE/>
        <w:autoSpaceDN/>
        <w:bidi w:val="0"/>
        <w:spacing w:line="480" w:lineRule="exact"/>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7.1.5 响应文件格式。</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7.2 供应商应认真阅读询价通知书中所有的事项、格式、条款和规范等要求。供应商没有按照询价通知书要求提交全部资料或者响应文件没有对询价通知书在各方面都作出实质性响应是供应商的风险，</w:t>
      </w:r>
      <w:bookmarkStart w:id="29" w:name="_Toc408133353"/>
      <w:bookmarkStart w:id="30" w:name="_Toc411519067"/>
      <w:r>
        <w:rPr>
          <w:rFonts w:hint="eastAsia" w:ascii="仿宋_GB2312" w:hAnsi="仿宋_GB2312" w:eastAsia="仿宋_GB2312" w:cs="仿宋_GB2312"/>
          <w:color w:val="000000"/>
          <w:sz w:val="28"/>
          <w:highlight w:val="none"/>
        </w:rPr>
        <w:t>有可能导致其报价被拒绝，或被认定为无效响应文件。</w:t>
      </w:r>
    </w:p>
    <w:bookmarkEnd w:id="29"/>
    <w:bookmarkEnd w:id="30"/>
    <w:p>
      <w:pPr>
        <w:pStyle w:val="13"/>
        <w:pageBreakBefore w:val="0"/>
        <w:widowControl w:val="0"/>
        <w:kinsoku/>
        <w:wordWrap/>
        <w:overflowPunct/>
        <w:topLinePunct w:val="0"/>
        <w:autoSpaceDE/>
        <w:autoSpaceDN/>
        <w:bidi w:val="0"/>
        <w:spacing w:line="480" w:lineRule="exact"/>
        <w:ind w:firstLine="0" w:firstLineChars="0"/>
        <w:jc w:val="both"/>
        <w:textAlignment w:val="auto"/>
        <w:rPr>
          <w:rFonts w:hint="eastAsia" w:ascii="仿宋_GB2312" w:hAnsi="仿宋_GB2312" w:eastAsia="仿宋_GB2312" w:cs="仿宋_GB2312"/>
          <w:color w:val="000000"/>
          <w:highlight w:val="none"/>
        </w:rPr>
      </w:pPr>
      <w:bookmarkStart w:id="31" w:name="_Toc39071044"/>
      <w:bookmarkStart w:id="32" w:name="_Toc36971219"/>
      <w:bookmarkStart w:id="33" w:name="_Toc26665"/>
      <w:bookmarkStart w:id="34" w:name="_Toc416858509"/>
      <w:bookmarkStart w:id="35" w:name="_Toc408133354"/>
      <w:bookmarkStart w:id="36" w:name="_Toc411519068"/>
      <w:r>
        <w:rPr>
          <w:rFonts w:hint="eastAsia" w:ascii="仿宋_GB2312" w:hAnsi="仿宋_GB2312" w:eastAsia="仿宋_GB2312" w:cs="仿宋_GB2312"/>
          <w:color w:val="000000"/>
          <w:highlight w:val="none"/>
        </w:rPr>
        <w:t>8．询价通知书的</w:t>
      </w:r>
      <w:bookmarkEnd w:id="31"/>
      <w:bookmarkEnd w:id="32"/>
      <w:r>
        <w:rPr>
          <w:rFonts w:hint="eastAsia" w:ascii="仿宋_GB2312" w:hAnsi="仿宋_GB2312" w:eastAsia="仿宋_GB2312" w:cs="仿宋_GB2312"/>
          <w:color w:val="000000"/>
          <w:highlight w:val="none"/>
        </w:rPr>
        <w:t>澄清或修改</w:t>
      </w:r>
      <w:bookmarkEnd w:id="33"/>
      <w:bookmarkEnd w:id="34"/>
      <w:bookmarkEnd w:id="35"/>
      <w:bookmarkEnd w:id="36"/>
    </w:p>
    <w:p>
      <w:pPr>
        <w:pageBreakBefore w:val="0"/>
        <w:widowControl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sz w:val="28"/>
          <w:highlight w:val="none"/>
        </w:rPr>
        <w:t>8.1 为了保证对询价通知书的澄清和修改满足法律的时限要求，任何要求对询价通知书进行澄清的供应商，均应在报价截止期3日前，以书面形式将澄清要求通知采购人或招投标所。</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8.2采购人或招投标所对已发出的询价通知书进行必要的澄清或者修改的，澄清或者修改的内容可能影响响应文件编制的，招投标所将在报价截止时间至少3日前，以书面形式通知所有报名的潜在</w:t>
      </w:r>
      <w:r>
        <w:rPr>
          <w:rFonts w:hint="eastAsia" w:ascii="仿宋_GB2312" w:hAnsi="仿宋_GB2312" w:eastAsia="仿宋_GB2312" w:cs="仿宋_GB2312"/>
          <w:color w:val="000000"/>
          <w:sz w:val="28"/>
          <w:highlight w:val="none"/>
          <w:lang w:eastAsia="zh-CN"/>
        </w:rPr>
        <w:t>供应商</w:t>
      </w:r>
      <w:r>
        <w:rPr>
          <w:rFonts w:hint="eastAsia" w:ascii="仿宋_GB2312" w:hAnsi="仿宋_GB2312" w:eastAsia="仿宋_GB2312" w:cs="仿宋_GB2312"/>
          <w:color w:val="000000"/>
          <w:sz w:val="28"/>
          <w:highlight w:val="none"/>
        </w:rPr>
        <w:t>；不足3日的，招投标所将顺延提交响应文件的截止时间。同时在财政部门指定的政府采购信息发布媒体上发布变更公告。</w:t>
      </w:r>
    </w:p>
    <w:p>
      <w:pPr>
        <w:pageBreakBefore w:val="0"/>
        <w:widowControl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8.3询价通知书发布期间，供应商有义务上网查看，</w:t>
      </w:r>
      <w:r>
        <w:rPr>
          <w:rFonts w:hint="eastAsia" w:ascii="仿宋_GB2312" w:hAnsi="仿宋_GB2312" w:eastAsia="仿宋_GB2312" w:cs="仿宋_GB2312"/>
          <w:color w:val="000000"/>
          <w:sz w:val="28"/>
          <w:szCs w:val="18"/>
          <w:highlight w:val="none"/>
        </w:rPr>
        <w:t>澄清</w:t>
      </w:r>
      <w:r>
        <w:rPr>
          <w:rFonts w:hint="eastAsia" w:ascii="仿宋_GB2312" w:hAnsi="仿宋_GB2312" w:eastAsia="仿宋_GB2312" w:cs="仿宋_GB2312"/>
          <w:color w:val="000000"/>
          <w:sz w:val="28"/>
          <w:highlight w:val="none"/>
        </w:rPr>
        <w:t>公告一经上网发布，即视为送达。因供应商未及时上网查看而造成的所有后果，由供应商自行承担。</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8.2询价通知书的澄清或者修改内容作为询价通知书的组成部分，并对供应商具有约束力。当询价通知书、询价通知书的澄清或修改在同一内容的表述上不一致时，以最后发出的文件内容为准。</w:t>
      </w:r>
    </w:p>
    <w:p>
      <w:pPr>
        <w:pStyle w:val="3"/>
        <w:keepNext/>
        <w:keepLines/>
        <w:pageBreakBefore w:val="0"/>
        <w:widowControl w:val="0"/>
        <w:kinsoku/>
        <w:wordWrap/>
        <w:overflowPunct/>
        <w:topLinePunct w:val="0"/>
        <w:autoSpaceDE/>
        <w:autoSpaceDN/>
        <w:bidi w:val="0"/>
        <w:adjustRightInd/>
        <w:snapToGrid/>
        <w:spacing w:before="0" w:after="0" w:line="480" w:lineRule="exact"/>
        <w:textAlignment w:val="auto"/>
        <w:rPr>
          <w:rFonts w:hint="eastAsia" w:ascii="仿宋_GB2312" w:hAnsi="仿宋_GB2312" w:eastAsia="仿宋_GB2312" w:cs="仿宋_GB2312"/>
          <w:bCs w:val="0"/>
          <w:color w:val="000000"/>
          <w:sz w:val="28"/>
          <w:szCs w:val="28"/>
          <w:highlight w:val="none"/>
        </w:rPr>
      </w:pPr>
      <w:bookmarkStart w:id="37" w:name="_Toc39071045"/>
      <w:bookmarkStart w:id="38" w:name="_Toc411519069"/>
      <w:bookmarkStart w:id="39" w:name="_Toc9856"/>
      <w:bookmarkStart w:id="40" w:name="_Toc230773997"/>
      <w:bookmarkStart w:id="41" w:name="_Toc36971221"/>
      <w:bookmarkStart w:id="42" w:name="_Toc416858510"/>
      <w:bookmarkStart w:id="43" w:name="_Toc39368836"/>
      <w:bookmarkStart w:id="44" w:name="_Toc232561404"/>
      <w:r>
        <w:rPr>
          <w:rFonts w:hint="eastAsia" w:ascii="仿宋_GB2312" w:hAnsi="仿宋_GB2312" w:eastAsia="仿宋_GB2312" w:cs="仿宋_GB2312"/>
          <w:bCs w:val="0"/>
          <w:color w:val="000000"/>
          <w:sz w:val="28"/>
          <w:szCs w:val="28"/>
          <w:highlight w:val="none"/>
        </w:rPr>
        <w:t>三、响应文件的编制</w:t>
      </w:r>
      <w:bookmarkEnd w:id="37"/>
      <w:bookmarkEnd w:id="38"/>
      <w:bookmarkEnd w:id="39"/>
      <w:bookmarkEnd w:id="40"/>
      <w:bookmarkEnd w:id="41"/>
      <w:bookmarkEnd w:id="42"/>
      <w:bookmarkEnd w:id="43"/>
      <w:bookmarkEnd w:id="44"/>
    </w:p>
    <w:p>
      <w:pPr>
        <w:pStyle w:val="13"/>
        <w:keepNext/>
        <w:keepLines/>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_GB2312" w:hAnsi="仿宋_GB2312" w:eastAsia="仿宋_GB2312" w:cs="仿宋_GB2312"/>
          <w:color w:val="000000"/>
          <w:highlight w:val="none"/>
        </w:rPr>
      </w:pPr>
      <w:bookmarkStart w:id="45" w:name="_Toc416858511"/>
      <w:bookmarkStart w:id="46" w:name="_Toc16930"/>
      <w:bookmarkStart w:id="47" w:name="_Toc411519070"/>
      <w:bookmarkStart w:id="48" w:name="_Toc230773998"/>
      <w:bookmarkStart w:id="49" w:name="_Toc232561405"/>
      <w:r>
        <w:rPr>
          <w:rFonts w:hint="eastAsia" w:ascii="仿宋_GB2312" w:hAnsi="仿宋_GB2312" w:eastAsia="仿宋_GB2312" w:cs="仿宋_GB2312"/>
          <w:color w:val="000000"/>
          <w:highlight w:val="none"/>
        </w:rPr>
        <w:t>9．响应文件的语言及度量衡单位</w:t>
      </w:r>
      <w:bookmarkEnd w:id="45"/>
      <w:bookmarkEnd w:id="46"/>
      <w:bookmarkEnd w:id="47"/>
      <w:bookmarkEnd w:id="48"/>
      <w:bookmarkEnd w:id="49"/>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bookmarkStart w:id="50" w:name="_Toc232561406"/>
      <w:bookmarkStart w:id="51" w:name="_Toc230773999"/>
      <w:bookmarkStart w:id="52" w:name="_Toc411519071"/>
      <w:r>
        <w:rPr>
          <w:rFonts w:hint="eastAsia" w:ascii="仿宋_GB2312" w:hAnsi="仿宋_GB2312" w:eastAsia="仿宋_GB2312" w:cs="仿宋_GB2312"/>
          <w:color w:val="000000"/>
          <w:sz w:val="28"/>
          <w:highlight w:val="none"/>
        </w:rPr>
        <w:t>9.1 供应商提交响应文件以及供应商与招投标服务所就有关报价的所有来往函件均应使用简体中文书写。供应商提交的支持资料和已印刷的文献可以用另一种语言，但相应内容应附有中文翻译本，在解释响应文件的修改内容时以中文翻译本为准。对中文翻译有异议的，以权威机构的译本为准。</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9.2 除非询价通知书在技术规格中另有规定，供应商在响应文件中及其与招投标服务所和采购人所有往来文件中的所有计量单位均应采用中华人民共和国法定计量单位。</w:t>
      </w:r>
    </w:p>
    <w:bookmarkEnd w:id="50"/>
    <w:bookmarkEnd w:id="51"/>
    <w:bookmarkEnd w:id="52"/>
    <w:p>
      <w:pPr>
        <w:pStyle w:val="13"/>
        <w:pageBreakBefore w:val="0"/>
        <w:widowControl w:val="0"/>
        <w:kinsoku/>
        <w:wordWrap/>
        <w:overflowPunct/>
        <w:topLinePunct w:val="0"/>
        <w:autoSpaceDE/>
        <w:autoSpaceDN/>
        <w:bidi w:val="0"/>
        <w:spacing w:line="480" w:lineRule="exact"/>
        <w:ind w:firstLine="0" w:firstLineChars="0"/>
        <w:jc w:val="both"/>
        <w:textAlignment w:val="auto"/>
        <w:rPr>
          <w:rFonts w:hint="eastAsia" w:ascii="仿宋_GB2312" w:hAnsi="仿宋_GB2312" w:eastAsia="仿宋_GB2312" w:cs="仿宋_GB2312"/>
          <w:color w:val="000000"/>
          <w:highlight w:val="none"/>
        </w:rPr>
      </w:pPr>
      <w:bookmarkStart w:id="53" w:name="_Toc416858512"/>
      <w:bookmarkStart w:id="54" w:name="_Toc18233"/>
      <w:bookmarkStart w:id="55" w:name="_Toc232387417"/>
      <w:bookmarkStart w:id="56" w:name="_Toc230774001"/>
      <w:bookmarkStart w:id="57" w:name="_Toc411519073"/>
      <w:r>
        <w:rPr>
          <w:rFonts w:hint="eastAsia" w:ascii="仿宋_GB2312" w:hAnsi="仿宋_GB2312" w:eastAsia="仿宋_GB2312" w:cs="仿宋_GB2312"/>
          <w:color w:val="000000"/>
          <w:highlight w:val="none"/>
        </w:rPr>
        <w:t>10．响应文件的组成</w:t>
      </w:r>
      <w:bookmarkEnd w:id="53"/>
      <w:bookmarkEnd w:id="54"/>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10.1 供应商编写的响应文件应包括价格文件、商务文件、技术文件和唱标信封。</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 xml:space="preserve">10.2响应文件的构成应符合法律、法规及询价通知书的要求。 </w:t>
      </w:r>
    </w:p>
    <w:p>
      <w:pPr>
        <w:pStyle w:val="13"/>
        <w:pageBreakBefore w:val="0"/>
        <w:widowControl w:val="0"/>
        <w:kinsoku/>
        <w:wordWrap/>
        <w:overflowPunct/>
        <w:topLinePunct w:val="0"/>
        <w:autoSpaceDE/>
        <w:autoSpaceDN/>
        <w:bidi w:val="0"/>
        <w:spacing w:line="480" w:lineRule="exact"/>
        <w:ind w:firstLine="0" w:firstLineChars="0"/>
        <w:jc w:val="both"/>
        <w:textAlignment w:val="auto"/>
        <w:rPr>
          <w:rFonts w:hint="eastAsia" w:ascii="仿宋_GB2312" w:hAnsi="仿宋_GB2312" w:eastAsia="仿宋_GB2312" w:cs="仿宋_GB2312"/>
          <w:color w:val="000000"/>
          <w:highlight w:val="none"/>
        </w:rPr>
      </w:pPr>
      <w:bookmarkStart w:id="58" w:name="_Toc416858513"/>
      <w:bookmarkStart w:id="59" w:name="_Toc23598"/>
      <w:r>
        <w:rPr>
          <w:rFonts w:hint="eastAsia" w:ascii="仿宋_GB2312" w:hAnsi="仿宋_GB2312" w:eastAsia="仿宋_GB2312" w:cs="仿宋_GB2312"/>
          <w:color w:val="000000"/>
          <w:highlight w:val="none"/>
        </w:rPr>
        <w:t>11．响应文件格式</w:t>
      </w:r>
      <w:bookmarkEnd w:id="58"/>
      <w:bookmarkEnd w:id="59"/>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供应商提交的响应文件应当按照询价通知书的响应文件格式（表格可以按同样格式扩展）进行编制。</w:t>
      </w:r>
    </w:p>
    <w:p>
      <w:pPr>
        <w:pStyle w:val="13"/>
        <w:pageBreakBefore w:val="0"/>
        <w:widowControl w:val="0"/>
        <w:kinsoku/>
        <w:wordWrap/>
        <w:overflowPunct/>
        <w:topLinePunct w:val="0"/>
        <w:autoSpaceDE/>
        <w:autoSpaceDN/>
        <w:bidi w:val="0"/>
        <w:spacing w:line="480" w:lineRule="exact"/>
        <w:ind w:firstLine="0" w:firstLineChars="0"/>
        <w:jc w:val="both"/>
        <w:textAlignment w:val="auto"/>
        <w:rPr>
          <w:rFonts w:hint="eastAsia" w:ascii="仿宋_GB2312" w:hAnsi="仿宋_GB2312" w:eastAsia="仿宋_GB2312" w:cs="仿宋_GB2312"/>
          <w:color w:val="000000"/>
          <w:highlight w:val="none"/>
        </w:rPr>
      </w:pPr>
      <w:bookmarkStart w:id="60" w:name="_Toc27669"/>
      <w:bookmarkStart w:id="61" w:name="_Toc416858514"/>
      <w:r>
        <w:rPr>
          <w:rFonts w:hint="eastAsia" w:ascii="仿宋_GB2312" w:hAnsi="仿宋_GB2312" w:eastAsia="仿宋_GB2312" w:cs="仿宋_GB2312"/>
          <w:color w:val="000000"/>
          <w:highlight w:val="none"/>
        </w:rPr>
        <w:t>12．响应文件的编制、数量和签署</w:t>
      </w:r>
      <w:bookmarkEnd w:id="60"/>
      <w:bookmarkEnd w:id="61"/>
    </w:p>
    <w:p>
      <w:pPr>
        <w:pStyle w:val="14"/>
        <w:pageBreakBefore w:val="0"/>
        <w:widowControl w:val="0"/>
        <w:kinsoku/>
        <w:wordWrap/>
        <w:overflowPunct/>
        <w:topLinePunct w:val="0"/>
        <w:autoSpaceDE/>
        <w:autoSpaceDN/>
        <w:bidi w:val="0"/>
        <w:spacing w:line="480" w:lineRule="exact"/>
        <w:ind w:firstLine="579"/>
        <w:textAlignment w:val="auto"/>
        <w:rPr>
          <w:rFonts w:hint="eastAsia" w:ascii="仿宋_GB2312" w:hAnsi="仿宋_GB2312" w:eastAsia="仿宋_GB2312" w:cs="仿宋_GB2312"/>
          <w:b/>
          <w:color w:val="000000"/>
          <w:sz w:val="28"/>
          <w:highlight w:val="none"/>
        </w:rPr>
      </w:pPr>
      <w:r>
        <w:rPr>
          <w:rFonts w:hint="eastAsia" w:ascii="仿宋_GB2312" w:hAnsi="仿宋_GB2312" w:eastAsia="仿宋_GB2312" w:cs="仿宋_GB2312"/>
          <w:b/>
          <w:color w:val="000000"/>
          <w:sz w:val="28"/>
          <w:highlight w:val="none"/>
        </w:rPr>
        <w:t>12.1供应商应提交一套正本（包括价格文件、商务文件和技术文件）、三套副本（包括价格文件、商务文件和技术文件）、一份唱标信封的响应文件。</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12.2响应文件正本均需打印或用不褪色墨水书写，并由法定代表人或经其正式授权代表签字或盖章。响应文件的副本可采用正本的响应文件复印件，每套响应文件应当标明“正本”、“副本”的字样。若正本与副本不符，以正本为准。</w:t>
      </w:r>
    </w:p>
    <w:p>
      <w:pPr>
        <w:pageBreakBefore w:val="0"/>
        <w:widowControl w:val="0"/>
        <w:tabs>
          <w:tab w:val="left" w:pos="1440"/>
        </w:tabs>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12.3如供应商对询价通知书多个包组进行报价的，其响应文件可按每个包组的要求编制和提交；或者将所投包组的内容在同一套响应文件编制和提交，并在响应文件中明确各包组的报价内容。</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12.4 响应文件中的任何重要的插字、涂改和增删，必须由法定代表人或其正式授权代表在旁边签字或盖章才有效。</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12.5供应商必须对响应文件所提供的全部资料的真实性承担法律责任，并接受招投标服务所、采购人及政府采购监督管理部门等对其中任何资料进行核实的要求。</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12.6传真或电传的响应文件将拒绝接收。</w:t>
      </w:r>
    </w:p>
    <w:p>
      <w:pPr>
        <w:pStyle w:val="13"/>
        <w:pageBreakBefore w:val="0"/>
        <w:widowControl w:val="0"/>
        <w:kinsoku/>
        <w:wordWrap/>
        <w:overflowPunct/>
        <w:topLinePunct w:val="0"/>
        <w:autoSpaceDE/>
        <w:autoSpaceDN/>
        <w:bidi w:val="0"/>
        <w:spacing w:line="480" w:lineRule="exact"/>
        <w:ind w:firstLine="0" w:firstLineChars="0"/>
        <w:jc w:val="both"/>
        <w:textAlignment w:val="auto"/>
        <w:rPr>
          <w:rFonts w:hint="eastAsia" w:ascii="仿宋_GB2312" w:hAnsi="仿宋_GB2312" w:eastAsia="仿宋_GB2312" w:cs="仿宋_GB2312"/>
          <w:color w:val="000000"/>
          <w:highlight w:val="none"/>
        </w:rPr>
      </w:pPr>
      <w:bookmarkStart w:id="62" w:name="_Toc416858515"/>
      <w:bookmarkStart w:id="63" w:name="_Toc23995"/>
      <w:r>
        <w:rPr>
          <w:rFonts w:hint="eastAsia" w:ascii="仿宋_GB2312" w:hAnsi="仿宋_GB2312" w:eastAsia="仿宋_GB2312" w:cs="仿宋_GB2312"/>
          <w:color w:val="000000"/>
          <w:highlight w:val="none"/>
        </w:rPr>
        <w:t>13．报价</w:t>
      </w:r>
      <w:bookmarkEnd w:id="55"/>
      <w:bookmarkEnd w:id="56"/>
      <w:bookmarkEnd w:id="57"/>
      <w:bookmarkEnd w:id="62"/>
      <w:r>
        <w:rPr>
          <w:rFonts w:hint="eastAsia" w:ascii="仿宋_GB2312" w:hAnsi="仿宋_GB2312" w:eastAsia="仿宋_GB2312" w:cs="仿宋_GB2312"/>
          <w:color w:val="000000"/>
          <w:highlight w:val="none"/>
        </w:rPr>
        <w:t>说明</w:t>
      </w:r>
      <w:bookmarkEnd w:id="63"/>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13.1本次采购，供应商必须就所有内容进行报价，少报无效。</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13.2报价应包含完成本次采购所有服务内容的费用，包含各种税务费及合同实施过程中的不可预见费用等全部费用（含询价通知书所要求的必要的辅助材料费用)和售后服务费等。</w:t>
      </w:r>
    </w:p>
    <w:p>
      <w:pPr>
        <w:pageBreakBefore w:val="0"/>
        <w:widowControl w:val="0"/>
        <w:kinsoku/>
        <w:wordWrap/>
        <w:overflowPunct/>
        <w:topLinePunct w:val="0"/>
        <w:autoSpaceDE/>
        <w:autoSpaceDN/>
        <w:bidi w:val="0"/>
        <w:spacing w:line="480" w:lineRule="exact"/>
        <w:ind w:left="63" w:leftChars="30" w:firstLine="509" w:firstLineChars="182"/>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13.3报价应包括所提供货物或服务所需的专利权和版权、设计或其他知识产权而需要向其他方支付的版税。</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bookmarkStart w:id="64" w:name="_Toc411519074"/>
      <w:bookmarkStart w:id="65" w:name="_Toc232387418"/>
      <w:bookmarkStart w:id="66" w:name="_Toc230774002"/>
      <w:r>
        <w:rPr>
          <w:rFonts w:hint="eastAsia" w:ascii="仿宋_GB2312" w:hAnsi="仿宋_GB2312" w:eastAsia="仿宋_GB2312" w:cs="仿宋_GB2312"/>
          <w:color w:val="000000"/>
          <w:sz w:val="28"/>
          <w:highlight w:val="none"/>
        </w:rPr>
        <w:t>13.4供应商的报价在合同执行期间是固定不变的，不得以任何理由予以变更。</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13.5成交后开出的所有发票必须与成交供应商的名称一致。</w:t>
      </w:r>
    </w:p>
    <w:p>
      <w:pPr>
        <w:pStyle w:val="13"/>
        <w:pageBreakBefore w:val="0"/>
        <w:widowControl w:val="0"/>
        <w:kinsoku/>
        <w:wordWrap/>
        <w:overflowPunct/>
        <w:topLinePunct w:val="0"/>
        <w:autoSpaceDE/>
        <w:autoSpaceDN/>
        <w:bidi w:val="0"/>
        <w:spacing w:line="480" w:lineRule="exact"/>
        <w:ind w:firstLine="0" w:firstLineChars="0"/>
        <w:jc w:val="both"/>
        <w:textAlignment w:val="auto"/>
        <w:rPr>
          <w:rFonts w:hint="eastAsia" w:ascii="仿宋_GB2312" w:hAnsi="仿宋_GB2312" w:eastAsia="仿宋_GB2312" w:cs="仿宋_GB2312"/>
          <w:color w:val="000000"/>
          <w:highlight w:val="none"/>
        </w:rPr>
      </w:pPr>
      <w:bookmarkStart w:id="67" w:name="_Toc416858516"/>
      <w:bookmarkStart w:id="68" w:name="_Toc15277"/>
      <w:r>
        <w:rPr>
          <w:rFonts w:hint="eastAsia" w:ascii="仿宋_GB2312" w:hAnsi="仿宋_GB2312" w:eastAsia="仿宋_GB2312" w:cs="仿宋_GB2312"/>
          <w:color w:val="000000"/>
          <w:highlight w:val="none"/>
        </w:rPr>
        <w:t>14．报价货币</w:t>
      </w:r>
      <w:bookmarkEnd w:id="64"/>
      <w:bookmarkEnd w:id="65"/>
      <w:bookmarkEnd w:id="66"/>
      <w:bookmarkEnd w:id="67"/>
      <w:bookmarkEnd w:id="68"/>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bookmarkStart w:id="69" w:name="_Toc230774003"/>
      <w:bookmarkStart w:id="70" w:name="_Toc232387419"/>
      <w:bookmarkStart w:id="71" w:name="_Toc411519075"/>
      <w:r>
        <w:rPr>
          <w:rFonts w:hint="eastAsia" w:ascii="仿宋_GB2312" w:hAnsi="仿宋_GB2312" w:eastAsia="仿宋_GB2312" w:cs="仿宋_GB2312"/>
          <w:color w:val="000000"/>
          <w:sz w:val="28"/>
          <w:highlight w:val="none"/>
        </w:rPr>
        <w:t>供应商所提供的货物或服务均以人民币报价。</w:t>
      </w:r>
    </w:p>
    <w:p>
      <w:pPr>
        <w:pStyle w:val="13"/>
        <w:pageBreakBefore w:val="0"/>
        <w:widowControl w:val="0"/>
        <w:kinsoku/>
        <w:wordWrap/>
        <w:overflowPunct/>
        <w:topLinePunct w:val="0"/>
        <w:autoSpaceDE/>
        <w:autoSpaceDN/>
        <w:bidi w:val="0"/>
        <w:spacing w:line="480" w:lineRule="exact"/>
        <w:ind w:firstLine="0" w:firstLineChars="0"/>
        <w:jc w:val="both"/>
        <w:textAlignment w:val="auto"/>
        <w:rPr>
          <w:rFonts w:hint="eastAsia" w:ascii="仿宋_GB2312" w:hAnsi="仿宋_GB2312" w:eastAsia="仿宋_GB2312" w:cs="仿宋_GB2312"/>
          <w:color w:val="000000"/>
          <w:highlight w:val="none"/>
        </w:rPr>
      </w:pPr>
      <w:bookmarkStart w:id="72" w:name="_Toc416858517"/>
      <w:bookmarkStart w:id="73" w:name="_Toc1113"/>
      <w:r>
        <w:rPr>
          <w:rFonts w:hint="eastAsia" w:ascii="仿宋_GB2312" w:hAnsi="仿宋_GB2312" w:eastAsia="仿宋_GB2312" w:cs="仿宋_GB2312"/>
          <w:color w:val="000000"/>
          <w:highlight w:val="none"/>
        </w:rPr>
        <w:t>15．报价有效期</w:t>
      </w:r>
      <w:bookmarkEnd w:id="69"/>
      <w:bookmarkEnd w:id="70"/>
      <w:bookmarkEnd w:id="71"/>
      <w:bookmarkEnd w:id="72"/>
      <w:bookmarkEnd w:id="73"/>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15.1 响应文件应根据供应商须知的规定在提交响应文件截止日后的90天内保持有效。</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15.2 特殊情况下，在原有响应文件提交截止时间之前，采购人可要求供应商同意延长报价有效期。这种要求与答复均应以书面形式（须加盖采购人公章）递交。供应商可拒绝采购人的这种要求，接受报价有效期延长的供应商将不会被要求和允许修正其响应文件。</w:t>
      </w:r>
    </w:p>
    <w:p>
      <w:pPr>
        <w:pStyle w:val="3"/>
        <w:pageBreakBefore w:val="0"/>
        <w:widowControl w:val="0"/>
        <w:kinsoku/>
        <w:wordWrap/>
        <w:overflowPunct/>
        <w:topLinePunct w:val="0"/>
        <w:autoSpaceDE/>
        <w:autoSpaceDN/>
        <w:bidi w:val="0"/>
        <w:spacing w:before="0" w:after="0" w:line="480" w:lineRule="exact"/>
        <w:textAlignment w:val="auto"/>
        <w:rPr>
          <w:rFonts w:hint="eastAsia" w:ascii="仿宋_GB2312" w:hAnsi="仿宋_GB2312" w:eastAsia="仿宋_GB2312" w:cs="仿宋_GB2312"/>
          <w:bCs w:val="0"/>
          <w:color w:val="000000"/>
          <w:sz w:val="28"/>
          <w:szCs w:val="28"/>
          <w:highlight w:val="none"/>
        </w:rPr>
      </w:pPr>
      <w:bookmarkStart w:id="74" w:name="_Toc230774006"/>
      <w:bookmarkStart w:id="75" w:name="_Toc232387422"/>
      <w:bookmarkStart w:id="76" w:name="_Toc416858518"/>
      <w:bookmarkStart w:id="77" w:name="_Toc20802"/>
      <w:bookmarkStart w:id="78" w:name="_Toc411519077"/>
      <w:r>
        <w:rPr>
          <w:rFonts w:hint="eastAsia" w:ascii="仿宋_GB2312" w:hAnsi="仿宋_GB2312" w:eastAsia="仿宋_GB2312" w:cs="仿宋_GB2312"/>
          <w:bCs w:val="0"/>
          <w:color w:val="000000"/>
          <w:sz w:val="28"/>
          <w:szCs w:val="28"/>
          <w:highlight w:val="none"/>
        </w:rPr>
        <w:t>四、响应文件的提交</w:t>
      </w:r>
      <w:bookmarkEnd w:id="74"/>
      <w:bookmarkEnd w:id="75"/>
      <w:bookmarkEnd w:id="76"/>
      <w:bookmarkEnd w:id="77"/>
      <w:bookmarkEnd w:id="78"/>
    </w:p>
    <w:p>
      <w:pPr>
        <w:pStyle w:val="13"/>
        <w:pageBreakBefore w:val="0"/>
        <w:widowControl w:val="0"/>
        <w:kinsoku/>
        <w:wordWrap/>
        <w:overflowPunct/>
        <w:topLinePunct w:val="0"/>
        <w:autoSpaceDE/>
        <w:autoSpaceDN/>
        <w:bidi w:val="0"/>
        <w:spacing w:line="480" w:lineRule="exact"/>
        <w:ind w:firstLine="0" w:firstLineChars="0"/>
        <w:jc w:val="both"/>
        <w:textAlignment w:val="auto"/>
        <w:rPr>
          <w:rFonts w:hint="eastAsia" w:ascii="仿宋_GB2312" w:hAnsi="仿宋_GB2312" w:eastAsia="仿宋_GB2312" w:cs="仿宋_GB2312"/>
          <w:color w:val="000000"/>
          <w:highlight w:val="none"/>
        </w:rPr>
      </w:pPr>
      <w:bookmarkStart w:id="79" w:name="_Toc416858519"/>
      <w:bookmarkStart w:id="80" w:name="_Toc411519078"/>
      <w:bookmarkStart w:id="81" w:name="_Toc19054"/>
      <w:bookmarkStart w:id="82" w:name="_Toc230774007"/>
      <w:bookmarkStart w:id="83" w:name="_Toc232387423"/>
      <w:r>
        <w:rPr>
          <w:rFonts w:hint="eastAsia" w:ascii="仿宋_GB2312" w:hAnsi="仿宋_GB2312" w:eastAsia="仿宋_GB2312" w:cs="仿宋_GB2312"/>
          <w:color w:val="000000"/>
          <w:highlight w:val="none"/>
        </w:rPr>
        <w:t>16．响应文件的装订、密封和标记</w:t>
      </w:r>
      <w:bookmarkEnd w:id="79"/>
      <w:bookmarkEnd w:id="80"/>
      <w:bookmarkEnd w:id="81"/>
      <w:bookmarkEnd w:id="82"/>
      <w:bookmarkEnd w:id="83"/>
    </w:p>
    <w:p>
      <w:pPr>
        <w:pStyle w:val="14"/>
        <w:pageBreakBefore w:val="0"/>
        <w:widowControl w:val="0"/>
        <w:kinsoku/>
        <w:wordWrap/>
        <w:overflowPunct/>
        <w:topLinePunct w:val="0"/>
        <w:autoSpaceDE/>
        <w:autoSpaceDN/>
        <w:bidi w:val="0"/>
        <w:spacing w:line="480" w:lineRule="exact"/>
        <w:ind w:firstLineChars="0"/>
        <w:textAlignment w:val="auto"/>
        <w:rPr>
          <w:rFonts w:hint="eastAsia" w:ascii="仿宋_GB2312" w:hAnsi="仿宋_GB2312" w:eastAsia="仿宋_GB2312" w:cs="仿宋_GB2312"/>
          <w:color w:val="000000"/>
          <w:sz w:val="28"/>
          <w:highlight w:val="none"/>
        </w:rPr>
      </w:pPr>
      <w:bookmarkStart w:id="84" w:name="_Toc39071059"/>
      <w:bookmarkStart w:id="85" w:name="_Toc36971235"/>
      <w:r>
        <w:rPr>
          <w:rFonts w:hint="eastAsia" w:ascii="仿宋_GB2312" w:hAnsi="仿宋_GB2312" w:eastAsia="仿宋_GB2312" w:cs="仿宋_GB2312"/>
          <w:color w:val="000000"/>
          <w:sz w:val="28"/>
          <w:highlight w:val="none"/>
        </w:rPr>
        <w:t>16.1供应商应将响应文件的正本、副本、唱标信封分开单独密封包装。在密封袋上标明“正本”、“副本”、“唱标信封”的字样，并在密封袋的封口处加盖供应商公章或者授权代表签名。</w:t>
      </w:r>
    </w:p>
    <w:p>
      <w:pPr>
        <w:pStyle w:val="14"/>
        <w:pageBreakBefore w:val="0"/>
        <w:widowControl w:val="0"/>
        <w:kinsoku/>
        <w:wordWrap/>
        <w:overflowPunct/>
        <w:topLinePunct w:val="0"/>
        <w:autoSpaceDE/>
        <w:autoSpaceDN/>
        <w:bidi w:val="0"/>
        <w:spacing w:line="480" w:lineRule="exact"/>
        <w:ind w:firstLineChars="0"/>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16.2在响应文件密封袋上均应标明以下内容：</w:t>
      </w:r>
    </w:p>
    <w:p>
      <w:pPr>
        <w:pStyle w:val="16"/>
        <w:pageBreakBefore w:val="0"/>
        <w:widowControl w:val="0"/>
        <w:kinsoku/>
        <w:wordWrap/>
        <w:overflowPunct/>
        <w:topLinePunct w:val="0"/>
        <w:autoSpaceDE/>
        <w:autoSpaceDN/>
        <w:bidi w:val="0"/>
        <w:spacing w:line="480" w:lineRule="exact"/>
        <w:ind w:left="0" w:leftChars="0" w:firstLine="1540" w:firstLineChars="55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(1)采购编号：</w:t>
      </w: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highlight w:val="none"/>
        </w:rPr>
        <w:t>；</w:t>
      </w:r>
    </w:p>
    <w:p>
      <w:pPr>
        <w:pStyle w:val="16"/>
        <w:pageBreakBefore w:val="0"/>
        <w:widowControl w:val="0"/>
        <w:kinsoku/>
        <w:wordWrap/>
        <w:overflowPunct/>
        <w:topLinePunct w:val="0"/>
        <w:autoSpaceDE/>
        <w:autoSpaceDN/>
        <w:bidi w:val="0"/>
        <w:spacing w:line="480" w:lineRule="exact"/>
        <w:ind w:left="0" w:leftChars="0" w:firstLine="1540" w:firstLineChars="55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(2)项目名称：</w:t>
      </w: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highlight w:val="none"/>
        </w:rPr>
        <w:t>；</w:t>
      </w:r>
    </w:p>
    <w:p>
      <w:pPr>
        <w:pStyle w:val="16"/>
        <w:pageBreakBefore w:val="0"/>
        <w:widowControl w:val="0"/>
        <w:kinsoku/>
        <w:wordWrap/>
        <w:overflowPunct/>
        <w:topLinePunct w:val="0"/>
        <w:autoSpaceDE/>
        <w:autoSpaceDN/>
        <w:bidi w:val="0"/>
        <w:spacing w:line="480" w:lineRule="exact"/>
        <w:ind w:left="0" w:leftChars="0" w:firstLine="1540" w:firstLineChars="55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 xml:space="preserve">(3)供应商名称: </w:t>
      </w: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highlight w:val="none"/>
        </w:rPr>
        <w:t>；</w:t>
      </w:r>
    </w:p>
    <w:p>
      <w:pPr>
        <w:pStyle w:val="14"/>
        <w:pageBreakBefore w:val="0"/>
        <w:widowControl w:val="0"/>
        <w:kinsoku/>
        <w:wordWrap/>
        <w:overflowPunct/>
        <w:topLinePunct w:val="0"/>
        <w:autoSpaceDE/>
        <w:autoSpaceDN/>
        <w:bidi w:val="0"/>
        <w:spacing w:line="480" w:lineRule="exact"/>
        <w:ind w:right="31"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16.3如供应商的响应文件未按照询价通知书规定标记和密封的，招投标服务所将不承担响应文件提前开封的责任。</w:t>
      </w:r>
    </w:p>
    <w:bookmarkEnd w:id="84"/>
    <w:bookmarkEnd w:id="85"/>
    <w:p>
      <w:pPr>
        <w:pStyle w:val="13"/>
        <w:pageBreakBefore w:val="0"/>
        <w:widowControl w:val="0"/>
        <w:kinsoku/>
        <w:wordWrap/>
        <w:overflowPunct/>
        <w:topLinePunct w:val="0"/>
        <w:autoSpaceDE/>
        <w:autoSpaceDN/>
        <w:bidi w:val="0"/>
        <w:spacing w:line="480" w:lineRule="exact"/>
        <w:ind w:firstLine="0" w:firstLineChars="0"/>
        <w:jc w:val="both"/>
        <w:textAlignment w:val="auto"/>
        <w:rPr>
          <w:rFonts w:hint="eastAsia" w:ascii="仿宋_GB2312" w:hAnsi="仿宋_GB2312" w:eastAsia="仿宋_GB2312" w:cs="仿宋_GB2312"/>
          <w:color w:val="000000"/>
          <w:highlight w:val="none"/>
        </w:rPr>
      </w:pPr>
      <w:bookmarkStart w:id="86" w:name="_Toc232387424"/>
      <w:bookmarkStart w:id="87" w:name="_Toc230774008"/>
      <w:bookmarkStart w:id="88" w:name="_Toc416858520"/>
      <w:bookmarkStart w:id="89" w:name="_Toc289"/>
      <w:bookmarkStart w:id="90" w:name="_Toc411518661"/>
      <w:bookmarkStart w:id="91" w:name="_Toc411519079"/>
      <w:bookmarkStart w:id="92" w:name="_Toc232387425"/>
      <w:bookmarkStart w:id="93" w:name="_Toc230774009"/>
      <w:r>
        <w:rPr>
          <w:rFonts w:hint="eastAsia" w:ascii="仿宋_GB2312" w:hAnsi="仿宋_GB2312" w:eastAsia="仿宋_GB2312" w:cs="仿宋_GB2312"/>
          <w:color w:val="000000"/>
          <w:highlight w:val="none"/>
        </w:rPr>
        <w:t>17．提交响应文件截止</w:t>
      </w:r>
      <w:bookmarkEnd w:id="86"/>
      <w:bookmarkEnd w:id="87"/>
      <w:r>
        <w:rPr>
          <w:rFonts w:hint="eastAsia" w:ascii="仿宋_GB2312" w:hAnsi="仿宋_GB2312" w:eastAsia="仿宋_GB2312" w:cs="仿宋_GB2312"/>
          <w:color w:val="000000"/>
          <w:highlight w:val="none"/>
        </w:rPr>
        <w:t>时间</w:t>
      </w:r>
      <w:bookmarkEnd w:id="88"/>
      <w:bookmarkEnd w:id="89"/>
      <w:bookmarkEnd w:id="90"/>
      <w:bookmarkEnd w:id="91"/>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17.1供应商应在询价通知书规定的截止日期和时间前，将响应文件送达到指定地点。</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17.2招投标服务所可按照询价通知书规定以澄清或修改通知的方式，酌情延长提交响应文件的截止时间。在此情况下，供应商的所有权利和义务以及供应商受制约的截止时间，均以延长后新的提交响应文件截止时间为准。</w:t>
      </w:r>
    </w:p>
    <w:p>
      <w:pPr>
        <w:pStyle w:val="13"/>
        <w:pageBreakBefore w:val="0"/>
        <w:widowControl w:val="0"/>
        <w:kinsoku/>
        <w:wordWrap/>
        <w:overflowPunct/>
        <w:topLinePunct w:val="0"/>
        <w:autoSpaceDE/>
        <w:autoSpaceDN/>
        <w:bidi w:val="0"/>
        <w:spacing w:line="480" w:lineRule="exact"/>
        <w:ind w:firstLine="0" w:firstLineChars="0"/>
        <w:jc w:val="both"/>
        <w:textAlignment w:val="auto"/>
        <w:rPr>
          <w:rFonts w:hint="eastAsia" w:ascii="仿宋_GB2312" w:hAnsi="仿宋_GB2312" w:eastAsia="仿宋_GB2312" w:cs="仿宋_GB2312"/>
          <w:color w:val="000000"/>
          <w:highlight w:val="none"/>
        </w:rPr>
      </w:pPr>
      <w:bookmarkStart w:id="94" w:name="_Toc28815"/>
      <w:bookmarkStart w:id="95" w:name="_Toc411519080"/>
      <w:bookmarkStart w:id="96" w:name="_Toc416858521"/>
      <w:r>
        <w:rPr>
          <w:rFonts w:hint="eastAsia" w:ascii="仿宋_GB2312" w:hAnsi="仿宋_GB2312" w:eastAsia="仿宋_GB2312" w:cs="仿宋_GB2312"/>
          <w:color w:val="000000"/>
          <w:highlight w:val="none"/>
        </w:rPr>
        <w:t>18．迟交的响应文件</w:t>
      </w:r>
      <w:bookmarkEnd w:id="92"/>
      <w:bookmarkEnd w:id="93"/>
      <w:bookmarkEnd w:id="94"/>
      <w:bookmarkEnd w:id="95"/>
      <w:bookmarkEnd w:id="96"/>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bookmarkStart w:id="97" w:name="_Toc411519081"/>
      <w:bookmarkStart w:id="98" w:name="_Toc230774010"/>
      <w:bookmarkStart w:id="99" w:name="_Toc232387426"/>
      <w:r>
        <w:rPr>
          <w:rFonts w:hint="eastAsia" w:ascii="仿宋_GB2312" w:hAnsi="仿宋_GB2312" w:eastAsia="仿宋_GB2312" w:cs="仿宋_GB2312"/>
          <w:color w:val="000000"/>
          <w:sz w:val="28"/>
          <w:highlight w:val="none"/>
        </w:rPr>
        <w:t>供应商在提交响应截止时间之后提交的响应文件，招投标服务所将拒绝接收。</w:t>
      </w:r>
    </w:p>
    <w:p>
      <w:pPr>
        <w:pStyle w:val="13"/>
        <w:pageBreakBefore w:val="0"/>
        <w:widowControl w:val="0"/>
        <w:kinsoku/>
        <w:wordWrap/>
        <w:overflowPunct/>
        <w:topLinePunct w:val="0"/>
        <w:autoSpaceDE/>
        <w:autoSpaceDN/>
        <w:bidi w:val="0"/>
        <w:spacing w:line="480" w:lineRule="exact"/>
        <w:ind w:firstLine="0" w:firstLineChars="0"/>
        <w:jc w:val="both"/>
        <w:textAlignment w:val="auto"/>
        <w:rPr>
          <w:rFonts w:hint="eastAsia" w:ascii="仿宋_GB2312" w:hAnsi="仿宋_GB2312" w:eastAsia="仿宋_GB2312" w:cs="仿宋_GB2312"/>
          <w:color w:val="000000"/>
          <w:highlight w:val="none"/>
        </w:rPr>
      </w:pPr>
      <w:bookmarkStart w:id="100" w:name="_Toc416858522"/>
      <w:bookmarkStart w:id="101" w:name="_Toc14628"/>
      <w:r>
        <w:rPr>
          <w:rFonts w:hint="eastAsia" w:ascii="仿宋_GB2312" w:hAnsi="仿宋_GB2312" w:eastAsia="仿宋_GB2312" w:cs="仿宋_GB2312"/>
          <w:color w:val="000000"/>
          <w:highlight w:val="none"/>
        </w:rPr>
        <w:t>19．响应文件的补充、修改与撤回</w:t>
      </w:r>
      <w:bookmarkEnd w:id="97"/>
      <w:bookmarkEnd w:id="98"/>
      <w:bookmarkEnd w:id="99"/>
      <w:bookmarkEnd w:id="100"/>
      <w:bookmarkEnd w:id="101"/>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19.1 供应商在提交响应文件截止时间前，可以对所提交的响应文件进行补充、修改或撤回，并以书面形式通知招投标服务所。在提交响应文件截止时间之后，供应商不得对其响应文件作出任何的补充和修改。</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19.2 供应商对响应文件的补充、修改的内容应当按询价通知书要求的签署、盖章，作为响应文件的组成部分。并按照询价通知书规定密封和标记的要求提交，并在响应文件密封袋上标明“补充、修改”或“撤回”字样。</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19.3在提交响应文件截止时间至报价有效期满之前，供应商不得撤回其响应文件。</w:t>
      </w:r>
    </w:p>
    <w:p>
      <w:pPr>
        <w:pStyle w:val="3"/>
        <w:pageBreakBefore w:val="0"/>
        <w:widowControl w:val="0"/>
        <w:kinsoku/>
        <w:wordWrap/>
        <w:overflowPunct/>
        <w:topLinePunct w:val="0"/>
        <w:autoSpaceDE/>
        <w:autoSpaceDN/>
        <w:bidi w:val="0"/>
        <w:spacing w:before="0" w:after="0" w:line="480" w:lineRule="exact"/>
        <w:textAlignment w:val="auto"/>
        <w:rPr>
          <w:rFonts w:hint="eastAsia" w:ascii="仿宋_GB2312" w:hAnsi="仿宋_GB2312" w:eastAsia="仿宋_GB2312" w:cs="仿宋_GB2312"/>
          <w:color w:val="000000"/>
          <w:sz w:val="28"/>
          <w:szCs w:val="28"/>
          <w:highlight w:val="none"/>
        </w:rPr>
      </w:pPr>
      <w:bookmarkStart w:id="102" w:name="_Toc10082"/>
      <w:bookmarkStart w:id="103" w:name="_Toc416858529"/>
      <w:bookmarkStart w:id="104" w:name="_Toc230774016"/>
      <w:bookmarkStart w:id="105" w:name="_Toc411519087"/>
      <w:bookmarkStart w:id="106" w:name="_Toc232387432"/>
      <w:r>
        <w:rPr>
          <w:rFonts w:hint="eastAsia" w:ascii="仿宋_GB2312" w:hAnsi="仿宋_GB2312" w:eastAsia="仿宋_GB2312" w:cs="仿宋_GB2312"/>
          <w:color w:val="000000"/>
          <w:sz w:val="28"/>
          <w:szCs w:val="28"/>
          <w:highlight w:val="none"/>
        </w:rPr>
        <w:t>六、合同的授予</w:t>
      </w:r>
      <w:bookmarkEnd w:id="102"/>
      <w:bookmarkEnd w:id="103"/>
      <w:bookmarkEnd w:id="104"/>
      <w:bookmarkEnd w:id="105"/>
      <w:bookmarkEnd w:id="106"/>
    </w:p>
    <w:p>
      <w:pPr>
        <w:pStyle w:val="13"/>
        <w:pageBreakBefore w:val="0"/>
        <w:widowControl w:val="0"/>
        <w:kinsoku/>
        <w:wordWrap/>
        <w:overflowPunct/>
        <w:topLinePunct w:val="0"/>
        <w:autoSpaceDE/>
        <w:autoSpaceDN/>
        <w:bidi w:val="0"/>
        <w:spacing w:line="480" w:lineRule="exact"/>
        <w:ind w:firstLine="0" w:firstLineChars="0"/>
        <w:jc w:val="both"/>
        <w:textAlignment w:val="auto"/>
        <w:rPr>
          <w:rFonts w:hint="eastAsia" w:ascii="仿宋_GB2312" w:hAnsi="仿宋_GB2312" w:eastAsia="仿宋_GB2312" w:cs="仿宋_GB2312"/>
          <w:color w:val="000000"/>
          <w:highlight w:val="none"/>
        </w:rPr>
      </w:pPr>
      <w:bookmarkStart w:id="107" w:name="_Toc411519088"/>
      <w:bookmarkStart w:id="108" w:name="_Toc230774017"/>
      <w:bookmarkStart w:id="109" w:name="_Toc416858530"/>
      <w:bookmarkStart w:id="110" w:name="_Toc232387433"/>
      <w:bookmarkStart w:id="111" w:name="_Toc23168"/>
      <w:r>
        <w:rPr>
          <w:rFonts w:hint="eastAsia" w:ascii="仿宋_GB2312" w:hAnsi="仿宋_GB2312" w:eastAsia="仿宋_GB2312" w:cs="仿宋_GB2312"/>
          <w:color w:val="000000"/>
          <w:highlight w:val="none"/>
        </w:rPr>
        <w:t>25．合同授予标准</w:t>
      </w:r>
      <w:bookmarkEnd w:id="107"/>
      <w:bookmarkEnd w:id="108"/>
      <w:bookmarkEnd w:id="109"/>
      <w:bookmarkEnd w:id="110"/>
      <w:bookmarkEnd w:id="111"/>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采购人将按询价小组推荐的结果确定成交供应商，并将合同授予之。</w:t>
      </w:r>
    </w:p>
    <w:p>
      <w:pPr>
        <w:pStyle w:val="13"/>
        <w:pageBreakBefore w:val="0"/>
        <w:widowControl w:val="0"/>
        <w:kinsoku/>
        <w:wordWrap/>
        <w:overflowPunct/>
        <w:topLinePunct w:val="0"/>
        <w:autoSpaceDE/>
        <w:autoSpaceDN/>
        <w:bidi w:val="0"/>
        <w:spacing w:line="480" w:lineRule="exact"/>
        <w:ind w:firstLine="0" w:firstLineChars="0"/>
        <w:jc w:val="both"/>
        <w:textAlignment w:val="auto"/>
        <w:rPr>
          <w:rFonts w:hint="eastAsia" w:ascii="仿宋_GB2312" w:hAnsi="仿宋_GB2312" w:eastAsia="仿宋_GB2312" w:cs="仿宋_GB2312"/>
          <w:color w:val="000000"/>
          <w:highlight w:val="none"/>
        </w:rPr>
      </w:pPr>
      <w:bookmarkStart w:id="112" w:name="_Toc20322"/>
      <w:bookmarkStart w:id="113" w:name="_Toc232387434"/>
      <w:bookmarkStart w:id="114" w:name="_Toc230774018"/>
      <w:bookmarkStart w:id="115" w:name="_Toc411519089"/>
      <w:bookmarkStart w:id="116" w:name="_Toc416858531"/>
      <w:r>
        <w:rPr>
          <w:rFonts w:hint="eastAsia" w:ascii="仿宋_GB2312" w:hAnsi="仿宋_GB2312" w:eastAsia="仿宋_GB2312" w:cs="仿宋_GB2312"/>
          <w:color w:val="000000"/>
          <w:highlight w:val="none"/>
        </w:rPr>
        <w:t>26．接受和拒绝任何报价的权利</w:t>
      </w:r>
      <w:bookmarkEnd w:id="112"/>
      <w:bookmarkEnd w:id="113"/>
      <w:bookmarkEnd w:id="114"/>
      <w:bookmarkEnd w:id="115"/>
      <w:bookmarkEnd w:id="116"/>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招投标服务所和采购人保留在成交之前任何时候接受或拒绝任何报价，以及宣布报价无效或拒绝所有报价的权力，对受影响的供应商不承担任何责任。</w:t>
      </w:r>
    </w:p>
    <w:p>
      <w:pPr>
        <w:pStyle w:val="13"/>
        <w:pageBreakBefore w:val="0"/>
        <w:widowControl w:val="0"/>
        <w:kinsoku/>
        <w:wordWrap/>
        <w:overflowPunct/>
        <w:topLinePunct w:val="0"/>
        <w:autoSpaceDE/>
        <w:autoSpaceDN/>
        <w:bidi w:val="0"/>
        <w:spacing w:line="480" w:lineRule="exact"/>
        <w:ind w:firstLine="0" w:firstLineChars="0"/>
        <w:jc w:val="both"/>
        <w:textAlignment w:val="auto"/>
        <w:rPr>
          <w:rFonts w:hint="eastAsia" w:ascii="仿宋_GB2312" w:hAnsi="仿宋_GB2312" w:eastAsia="仿宋_GB2312" w:cs="仿宋_GB2312"/>
          <w:color w:val="000000"/>
          <w:highlight w:val="none"/>
        </w:rPr>
      </w:pPr>
      <w:bookmarkStart w:id="117" w:name="_Toc375221267"/>
      <w:bookmarkStart w:id="118" w:name="_Toc10488"/>
      <w:bookmarkStart w:id="119" w:name="_Toc411519090"/>
      <w:bookmarkStart w:id="120" w:name="_Toc416858532"/>
      <w:r>
        <w:rPr>
          <w:rFonts w:hint="eastAsia" w:ascii="仿宋_GB2312" w:hAnsi="仿宋_GB2312" w:eastAsia="仿宋_GB2312" w:cs="仿宋_GB2312"/>
          <w:color w:val="000000"/>
          <w:highlight w:val="none"/>
        </w:rPr>
        <w:t>27．</w:t>
      </w:r>
      <w:bookmarkEnd w:id="117"/>
      <w:r>
        <w:rPr>
          <w:rFonts w:hint="eastAsia" w:ascii="仿宋_GB2312" w:hAnsi="仿宋_GB2312" w:eastAsia="仿宋_GB2312" w:cs="仿宋_GB2312"/>
          <w:color w:val="000000"/>
          <w:highlight w:val="none"/>
        </w:rPr>
        <w:t>发布成交结果公告</w:t>
      </w:r>
      <w:bookmarkEnd w:id="118"/>
      <w:bookmarkEnd w:id="119"/>
      <w:bookmarkEnd w:id="120"/>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27.1招投标服务所自</w:t>
      </w:r>
      <w:r>
        <w:rPr>
          <w:rFonts w:hint="eastAsia" w:ascii="仿宋_GB2312" w:hAnsi="仿宋_GB2312" w:eastAsia="仿宋_GB2312" w:cs="仿宋_GB2312"/>
          <w:color w:val="000000"/>
          <w:sz w:val="28"/>
          <w:szCs w:val="18"/>
          <w:highlight w:val="none"/>
        </w:rPr>
        <w:t>成交供应商确定之日起2个工作日内，发出成交通知书，并在财政部门指定的政府采购信息媒体上公告成交结果及询价通知书。</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27.2</w:t>
      </w:r>
      <w:bookmarkStart w:id="121" w:name="_Toc375221269"/>
      <w:bookmarkStart w:id="122" w:name="_Toc411519091"/>
      <w:r>
        <w:rPr>
          <w:rFonts w:hint="eastAsia" w:ascii="仿宋_GB2312" w:hAnsi="仿宋_GB2312" w:eastAsia="仿宋_GB2312" w:cs="仿宋_GB2312"/>
          <w:color w:val="000000"/>
          <w:sz w:val="28"/>
          <w:highlight w:val="none"/>
        </w:rPr>
        <w:t>《成交通知书》是合同的一个组成部分，</w:t>
      </w:r>
      <w:r>
        <w:rPr>
          <w:rFonts w:hint="eastAsia" w:ascii="仿宋_GB2312" w:hAnsi="仿宋_GB2312" w:eastAsia="仿宋_GB2312" w:cs="仿宋_GB2312"/>
          <w:color w:val="000000"/>
          <w:sz w:val="28"/>
          <w:szCs w:val="18"/>
          <w:highlight w:val="none"/>
        </w:rPr>
        <w:t>《成交通知书》对采购人和成交供应商均具有同等法律效力；</w:t>
      </w:r>
      <w:r>
        <w:rPr>
          <w:rFonts w:hint="eastAsia" w:ascii="仿宋_GB2312" w:hAnsi="仿宋_GB2312" w:eastAsia="仿宋_GB2312" w:cs="仿宋_GB2312"/>
          <w:color w:val="000000"/>
          <w:sz w:val="28"/>
          <w:highlight w:val="none"/>
        </w:rPr>
        <w:t>《成交通知书》发出后，采购人改变成交结果，或者成交供应商放弃成交，应当承担相应的法律责任。</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27.3成交供应商为残疾人福利性单位的，采购人或者其委托的采购代理机构应当随成交、成交结果同时公告其《残疾人福利性单位声明函》，接受社会监督。</w:t>
      </w:r>
      <w:bookmarkEnd w:id="121"/>
      <w:bookmarkEnd w:id="122"/>
      <w:bookmarkStart w:id="123" w:name="_Toc2737"/>
      <w:bookmarkStart w:id="124" w:name="_Toc416858533"/>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color w:val="000000"/>
          <w:sz w:val="28"/>
          <w:highlight w:val="none"/>
        </w:rPr>
        <w:t>27.</w:t>
      </w:r>
      <w:r>
        <w:rPr>
          <w:rFonts w:hint="eastAsia" w:ascii="仿宋_GB2312" w:hAnsi="仿宋_GB2312" w:eastAsia="仿宋_GB2312" w:cs="仿宋_GB2312"/>
          <w:color w:val="000000"/>
          <w:sz w:val="28"/>
          <w:highlight w:val="none"/>
          <w:lang w:val="en-US" w:eastAsia="zh-CN"/>
        </w:rPr>
        <w:t>4</w:t>
      </w:r>
      <w:r>
        <w:rPr>
          <w:rFonts w:hint="eastAsia" w:ascii="仿宋_GB2312" w:hAnsi="仿宋_GB2312" w:eastAsia="仿宋_GB2312" w:cs="仿宋_GB2312"/>
          <w:color w:val="000000"/>
          <w:sz w:val="28"/>
          <w:highlight w:val="none"/>
        </w:rPr>
        <w:t>成交供应商为</w:t>
      </w:r>
      <w:r>
        <w:rPr>
          <w:rFonts w:hint="eastAsia" w:ascii="仿宋_GB2312" w:hAnsi="仿宋_GB2312" w:eastAsia="仿宋_GB2312" w:cs="仿宋_GB2312"/>
          <w:color w:val="000000"/>
          <w:sz w:val="28"/>
          <w:highlight w:val="none"/>
          <w:lang w:eastAsia="zh-CN"/>
        </w:rPr>
        <w:t>中型、小型或微型</w:t>
      </w:r>
      <w:r>
        <w:rPr>
          <w:rFonts w:hint="eastAsia" w:ascii="仿宋_GB2312" w:hAnsi="仿宋_GB2312" w:eastAsia="仿宋_GB2312" w:cs="仿宋_GB2312"/>
          <w:color w:val="000000"/>
          <w:sz w:val="28"/>
          <w:highlight w:val="none"/>
        </w:rPr>
        <w:t>单位的，采购人或者其委托的采购代理机构应当随成交、成交结果同时公告其《</w:t>
      </w:r>
      <w:r>
        <w:rPr>
          <w:rFonts w:hint="eastAsia" w:ascii="仿宋_GB2312" w:hAnsi="仿宋_GB2312" w:eastAsia="仿宋_GB2312" w:cs="仿宋_GB2312"/>
          <w:color w:val="000000"/>
          <w:sz w:val="28"/>
          <w:highlight w:val="none"/>
          <w:lang w:eastAsia="zh-CN"/>
        </w:rPr>
        <w:t>中小企业</w:t>
      </w:r>
      <w:r>
        <w:rPr>
          <w:rFonts w:hint="eastAsia" w:ascii="仿宋_GB2312" w:hAnsi="仿宋_GB2312" w:eastAsia="仿宋_GB2312" w:cs="仿宋_GB2312"/>
          <w:color w:val="000000"/>
          <w:sz w:val="28"/>
          <w:highlight w:val="none"/>
        </w:rPr>
        <w:t>声明函》，接受社会监督。</w:t>
      </w:r>
    </w:p>
    <w:p>
      <w:pPr>
        <w:pStyle w:val="3"/>
        <w:pageBreakBefore w:val="0"/>
        <w:widowControl w:val="0"/>
        <w:kinsoku/>
        <w:wordWrap/>
        <w:overflowPunct/>
        <w:topLinePunct w:val="0"/>
        <w:autoSpaceDE/>
        <w:autoSpaceDN/>
        <w:bidi w:val="0"/>
        <w:spacing w:before="0" w:after="0" w:line="480" w:lineRule="exact"/>
        <w:textAlignment w:val="auto"/>
        <w:rPr>
          <w:rFonts w:hint="eastAsia" w:ascii="仿宋_GB2312" w:hAnsi="仿宋_GB2312" w:eastAsia="仿宋_GB2312" w:cs="仿宋_GB2312"/>
          <w:bCs w:val="0"/>
          <w:color w:val="000000"/>
          <w:sz w:val="28"/>
          <w:szCs w:val="28"/>
          <w:highlight w:val="none"/>
        </w:rPr>
      </w:pPr>
      <w:r>
        <w:rPr>
          <w:rFonts w:hint="eastAsia" w:ascii="仿宋_GB2312" w:hAnsi="仿宋_GB2312" w:eastAsia="仿宋_GB2312" w:cs="仿宋_GB2312"/>
          <w:bCs w:val="0"/>
          <w:color w:val="000000"/>
          <w:sz w:val="28"/>
          <w:szCs w:val="28"/>
          <w:highlight w:val="none"/>
        </w:rPr>
        <w:t>七、合同签订和履行</w:t>
      </w:r>
      <w:bookmarkEnd w:id="123"/>
      <w:bookmarkEnd w:id="124"/>
    </w:p>
    <w:p>
      <w:pPr>
        <w:pStyle w:val="13"/>
        <w:pageBreakBefore w:val="0"/>
        <w:widowControl w:val="0"/>
        <w:kinsoku/>
        <w:wordWrap/>
        <w:overflowPunct/>
        <w:topLinePunct w:val="0"/>
        <w:autoSpaceDE/>
        <w:autoSpaceDN/>
        <w:bidi w:val="0"/>
        <w:spacing w:line="480" w:lineRule="exact"/>
        <w:ind w:firstLine="0" w:firstLineChars="0"/>
        <w:jc w:val="both"/>
        <w:textAlignment w:val="auto"/>
        <w:rPr>
          <w:rFonts w:hint="eastAsia" w:ascii="仿宋_GB2312" w:hAnsi="仿宋_GB2312" w:eastAsia="仿宋_GB2312" w:cs="仿宋_GB2312"/>
          <w:color w:val="000000"/>
          <w:highlight w:val="none"/>
        </w:rPr>
      </w:pPr>
      <w:bookmarkStart w:id="125" w:name="_Toc5251"/>
      <w:bookmarkStart w:id="126" w:name="_Toc416858534"/>
      <w:r>
        <w:rPr>
          <w:rFonts w:hint="eastAsia" w:ascii="仿宋_GB2312" w:hAnsi="仿宋_GB2312" w:eastAsia="仿宋_GB2312" w:cs="仿宋_GB2312"/>
          <w:color w:val="000000"/>
          <w:highlight w:val="none"/>
        </w:rPr>
        <w:t>28．合同的签订</w:t>
      </w:r>
      <w:bookmarkEnd w:id="125"/>
      <w:bookmarkEnd w:id="126"/>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28.1 采购人与成交供应商自成交通知书发出之日起30日内，按照询价通知书和成交供应商的响应文件承诺签订政府采购合同，但不得超出询价通知书和成交供应商响应文件的范围、也不得再行订立背离合同实质性内容的其他协议。</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28.</w:t>
      </w:r>
      <w:r>
        <w:rPr>
          <w:rFonts w:hint="eastAsia" w:ascii="仿宋_GB2312" w:hAnsi="仿宋_GB2312" w:eastAsia="仿宋_GB2312" w:cs="仿宋_GB2312"/>
          <w:color w:val="000000"/>
          <w:sz w:val="28"/>
          <w:highlight w:val="none"/>
          <w:lang w:val="en-US" w:eastAsia="zh-CN"/>
        </w:rPr>
        <w:t>2</w:t>
      </w:r>
      <w:r>
        <w:rPr>
          <w:rFonts w:hint="eastAsia" w:ascii="仿宋_GB2312" w:hAnsi="仿宋_GB2312" w:eastAsia="仿宋_GB2312" w:cs="仿宋_GB2312"/>
          <w:color w:val="000000"/>
          <w:sz w:val="28"/>
          <w:highlight w:val="none"/>
        </w:rPr>
        <w:t>成交供应商不能把成交项目分包给其他单位实施。</w:t>
      </w:r>
    </w:p>
    <w:p>
      <w:pPr>
        <w:pStyle w:val="13"/>
        <w:pageBreakBefore w:val="0"/>
        <w:widowControl w:val="0"/>
        <w:kinsoku/>
        <w:wordWrap/>
        <w:overflowPunct/>
        <w:topLinePunct w:val="0"/>
        <w:autoSpaceDE/>
        <w:autoSpaceDN/>
        <w:bidi w:val="0"/>
        <w:spacing w:line="480" w:lineRule="exact"/>
        <w:ind w:firstLine="0" w:firstLineChars="0"/>
        <w:jc w:val="both"/>
        <w:textAlignment w:val="auto"/>
        <w:rPr>
          <w:rFonts w:hint="eastAsia" w:ascii="仿宋_GB2312" w:hAnsi="仿宋_GB2312" w:eastAsia="仿宋_GB2312" w:cs="仿宋_GB2312"/>
          <w:color w:val="000000"/>
          <w:highlight w:val="none"/>
          <w:lang w:val="en-US" w:eastAsia="zh-CN"/>
        </w:rPr>
      </w:pPr>
      <w:bookmarkStart w:id="127" w:name="_Toc15048"/>
      <w:bookmarkStart w:id="128" w:name="_Toc429647652"/>
      <w:bookmarkStart w:id="129" w:name="_Toc429645581"/>
      <w:bookmarkStart w:id="130" w:name="_Toc416858537"/>
      <w:r>
        <w:rPr>
          <w:rFonts w:hint="eastAsia" w:ascii="仿宋_GB2312" w:hAnsi="仿宋_GB2312" w:eastAsia="仿宋_GB2312" w:cs="仿宋_GB2312"/>
          <w:color w:val="000000"/>
          <w:highlight w:val="none"/>
        </w:rPr>
        <w:t>29．履约保证金</w:t>
      </w:r>
      <w:bookmarkEnd w:id="127"/>
      <w:bookmarkEnd w:id="128"/>
      <w:bookmarkEnd w:id="129"/>
    </w:p>
    <w:p>
      <w:pPr>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29.1成交供应商向采购人提交履约保证金，履约保证金可以采用银行转账或者以专业担保机构、金融机构出具的担保函的形式缴交。</w:t>
      </w:r>
    </w:p>
    <w:p>
      <w:pPr>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29.2履约保函应是合法经营的金融机构或担保机构出具的保函，非东莞市范围内担保机构出具的履约保函必须附上当地公证部门出具的公证文件。履约保函的内容，应符合询价通知书、响应文件和采购合同的要求。履约保函应在采购合同有效期满后28天内继续有效。</w:t>
      </w:r>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29.3若成交供应商不按规定提交履约保证金，采购人将有充分的理由解除合同，还应当予以赔偿。</w:t>
      </w:r>
    </w:p>
    <w:p>
      <w:pPr>
        <w:pStyle w:val="13"/>
        <w:pageBreakBefore w:val="0"/>
        <w:widowControl w:val="0"/>
        <w:kinsoku/>
        <w:wordWrap/>
        <w:overflowPunct/>
        <w:topLinePunct w:val="0"/>
        <w:autoSpaceDE/>
        <w:autoSpaceDN/>
        <w:bidi w:val="0"/>
        <w:spacing w:line="480" w:lineRule="exact"/>
        <w:ind w:firstLine="0" w:firstLineChars="0"/>
        <w:jc w:val="both"/>
        <w:textAlignment w:val="auto"/>
        <w:rPr>
          <w:rFonts w:hint="eastAsia" w:ascii="仿宋_GB2312" w:hAnsi="仿宋_GB2312" w:eastAsia="仿宋_GB2312" w:cs="仿宋_GB2312"/>
          <w:color w:val="000000"/>
          <w:highlight w:val="none"/>
        </w:rPr>
      </w:pPr>
      <w:bookmarkStart w:id="131" w:name="_Toc429645582"/>
      <w:bookmarkStart w:id="132" w:name="_Toc19129"/>
      <w:bookmarkStart w:id="133" w:name="_Toc429647653"/>
      <w:r>
        <w:rPr>
          <w:rFonts w:hint="eastAsia" w:ascii="仿宋_GB2312" w:hAnsi="仿宋_GB2312" w:eastAsia="仿宋_GB2312" w:cs="仿宋_GB2312"/>
          <w:color w:val="000000"/>
          <w:highlight w:val="none"/>
        </w:rPr>
        <w:t>30．融资</w:t>
      </w:r>
      <w:bookmarkEnd w:id="131"/>
      <w:bookmarkEnd w:id="132"/>
      <w:bookmarkEnd w:id="133"/>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color w:val="000000"/>
          <w:sz w:val="28"/>
          <w:highlight w:val="none"/>
        </w:rPr>
        <w:t>根据东莞市财政局《关于进一步推进政府采购信用担保工作的通知》（东财[2018]189号）规定，中标人可以选择是否采取信用担保融资的形式为政府采购项目履约进行融资。各投标人可自主决定是否使用信用担保方式，并选择担保机构提供的任何一种信用担保品种，财政部门、采购代理机构、采购人不得进行干预。</w:t>
      </w:r>
      <w:bookmarkStart w:id="134" w:name="_Toc26841"/>
    </w:p>
    <w:p>
      <w:pPr>
        <w:pStyle w:val="3"/>
        <w:pageBreakBefore w:val="0"/>
        <w:widowControl w:val="0"/>
        <w:kinsoku/>
        <w:wordWrap/>
        <w:overflowPunct/>
        <w:topLinePunct w:val="0"/>
        <w:autoSpaceDE/>
        <w:autoSpaceDN/>
        <w:bidi w:val="0"/>
        <w:spacing w:before="0" w:after="0" w:line="480" w:lineRule="exact"/>
        <w:textAlignment w:val="auto"/>
        <w:rPr>
          <w:rFonts w:hint="eastAsia" w:ascii="仿宋_GB2312" w:hAnsi="仿宋_GB2312" w:eastAsia="仿宋_GB2312" w:cs="仿宋_GB2312"/>
          <w:bCs w:val="0"/>
          <w:color w:val="000000"/>
          <w:sz w:val="28"/>
          <w:szCs w:val="28"/>
          <w:highlight w:val="none"/>
        </w:rPr>
      </w:pPr>
      <w:r>
        <w:rPr>
          <w:rFonts w:hint="eastAsia" w:ascii="仿宋_GB2312" w:hAnsi="仿宋_GB2312" w:eastAsia="仿宋_GB2312" w:cs="仿宋_GB2312"/>
          <w:bCs w:val="0"/>
          <w:color w:val="000000"/>
          <w:sz w:val="28"/>
          <w:szCs w:val="28"/>
          <w:highlight w:val="none"/>
        </w:rPr>
        <w:t>八、询问、质疑、投诉</w:t>
      </w:r>
      <w:bookmarkEnd w:id="130"/>
      <w:bookmarkEnd w:id="134"/>
    </w:p>
    <w:p>
      <w:pPr>
        <w:pStyle w:val="13"/>
        <w:pageBreakBefore w:val="0"/>
        <w:widowControl w:val="0"/>
        <w:kinsoku/>
        <w:wordWrap/>
        <w:overflowPunct/>
        <w:topLinePunct w:val="0"/>
        <w:autoSpaceDE/>
        <w:autoSpaceDN/>
        <w:bidi w:val="0"/>
        <w:spacing w:line="480" w:lineRule="exact"/>
        <w:ind w:firstLine="0" w:firstLineChars="0"/>
        <w:jc w:val="both"/>
        <w:textAlignment w:val="auto"/>
        <w:rPr>
          <w:rFonts w:hint="eastAsia" w:ascii="仿宋_GB2312" w:hAnsi="仿宋_GB2312" w:eastAsia="仿宋_GB2312" w:cs="仿宋_GB2312"/>
          <w:color w:val="000000"/>
          <w:highlight w:val="none"/>
        </w:rPr>
      </w:pPr>
      <w:bookmarkStart w:id="135" w:name="_Toc416858538"/>
      <w:bookmarkStart w:id="136" w:name="_Toc25111"/>
      <w:r>
        <w:rPr>
          <w:rFonts w:hint="eastAsia" w:ascii="仿宋_GB2312" w:hAnsi="仿宋_GB2312" w:eastAsia="仿宋_GB2312" w:cs="仿宋_GB2312"/>
          <w:color w:val="000000"/>
          <w:highlight w:val="none"/>
        </w:rPr>
        <w:t>31. 询问</w:t>
      </w:r>
      <w:bookmarkEnd w:id="135"/>
      <w:bookmarkEnd w:id="136"/>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供应商对政府采购活动事项（询价通知书、采购过程和成交结果）有疑问的，可以向采购人或招投标服务所提出询问，采购人或招投标服务所在3个工作日内对供应商依法提出的询问作出答复。</w:t>
      </w:r>
    </w:p>
    <w:p>
      <w:pPr>
        <w:pStyle w:val="13"/>
        <w:pageBreakBefore w:val="0"/>
        <w:widowControl w:val="0"/>
        <w:kinsoku/>
        <w:wordWrap/>
        <w:overflowPunct/>
        <w:topLinePunct w:val="0"/>
        <w:autoSpaceDE/>
        <w:autoSpaceDN/>
        <w:bidi w:val="0"/>
        <w:spacing w:line="480" w:lineRule="exact"/>
        <w:ind w:firstLine="0" w:firstLineChars="0"/>
        <w:jc w:val="both"/>
        <w:textAlignment w:val="auto"/>
        <w:rPr>
          <w:rFonts w:hint="eastAsia" w:ascii="仿宋_GB2312" w:hAnsi="仿宋_GB2312" w:eastAsia="仿宋_GB2312" w:cs="仿宋_GB2312"/>
          <w:color w:val="000000"/>
          <w:highlight w:val="none"/>
        </w:rPr>
      </w:pPr>
      <w:bookmarkStart w:id="137" w:name="_Toc416858539"/>
      <w:bookmarkStart w:id="138" w:name="_Toc818"/>
      <w:r>
        <w:rPr>
          <w:rFonts w:hint="eastAsia" w:ascii="仿宋_GB2312" w:hAnsi="仿宋_GB2312" w:eastAsia="仿宋_GB2312" w:cs="仿宋_GB2312"/>
          <w:color w:val="000000"/>
          <w:highlight w:val="none"/>
        </w:rPr>
        <w:t>32.</w:t>
      </w:r>
      <w:bookmarkEnd w:id="137"/>
      <w:bookmarkStart w:id="139" w:name="_Toc474748772"/>
      <w:r>
        <w:rPr>
          <w:rFonts w:hint="eastAsia" w:ascii="仿宋_GB2312" w:hAnsi="仿宋_GB2312" w:eastAsia="仿宋_GB2312" w:cs="仿宋_GB2312"/>
          <w:color w:val="000000"/>
          <w:highlight w:val="none"/>
        </w:rPr>
        <w:t xml:space="preserve"> 质疑</w:t>
      </w:r>
      <w:bookmarkEnd w:id="138"/>
      <w:bookmarkEnd w:id="139"/>
    </w:p>
    <w:p>
      <w:pPr>
        <w:pageBreakBefore w:val="0"/>
        <w:widowControl w:val="0"/>
        <w:kinsoku/>
        <w:wordWrap/>
        <w:overflowPunct/>
        <w:topLinePunct w:val="0"/>
        <w:autoSpaceDE/>
        <w:autoSpaceDN/>
        <w:bidi w:val="0"/>
        <w:spacing w:line="480" w:lineRule="exact"/>
        <w:ind w:firstLine="576" w:firstLineChars="206"/>
        <w:textAlignment w:val="auto"/>
        <w:rPr>
          <w:rFonts w:hint="eastAsia" w:ascii="仿宋_GB2312" w:hAnsi="仿宋_GB2312" w:eastAsia="仿宋_GB2312" w:cs="仿宋_GB2312"/>
          <w:color w:val="000000"/>
          <w:sz w:val="28"/>
          <w:szCs w:val="20"/>
          <w:highlight w:val="none"/>
        </w:rPr>
      </w:pPr>
      <w:bookmarkStart w:id="140" w:name="_Toc474748773"/>
      <w:r>
        <w:rPr>
          <w:rFonts w:hint="eastAsia" w:ascii="仿宋_GB2312" w:hAnsi="仿宋_GB2312" w:eastAsia="仿宋_GB2312" w:cs="仿宋_GB2312"/>
          <w:color w:val="000000"/>
          <w:sz w:val="28"/>
          <w:szCs w:val="20"/>
          <w:highlight w:val="none"/>
        </w:rPr>
        <w:t>32.1已依法获取询价通知书的供应商认为询价通知书的内容损害其权益的，可以在询价通知书公告期限届满之日起7个工作日内提交书面的质疑函。供应商对询价通知书中技术指标、参数、资质要求、评分办法等内容提出的质疑，应向采购人提出；对除上述询价通知书中的其他内容、采购过程及成交结果提出质疑的，可向采购人或招投标服务所提出。</w:t>
      </w:r>
    </w:p>
    <w:p>
      <w:pPr>
        <w:pageBreakBefore w:val="0"/>
        <w:widowControl w:val="0"/>
        <w:kinsoku/>
        <w:wordWrap/>
        <w:overflowPunct/>
        <w:topLinePunct w:val="0"/>
        <w:autoSpaceDE/>
        <w:autoSpaceDN/>
        <w:bidi w:val="0"/>
        <w:spacing w:line="480" w:lineRule="exact"/>
        <w:ind w:firstLine="576" w:firstLineChars="206"/>
        <w:textAlignment w:val="auto"/>
        <w:rPr>
          <w:rFonts w:hint="eastAsia" w:ascii="仿宋_GB2312" w:hAnsi="仿宋_GB2312" w:eastAsia="仿宋_GB2312" w:cs="仿宋_GB2312"/>
          <w:color w:val="000000"/>
          <w:sz w:val="28"/>
          <w:szCs w:val="20"/>
          <w:highlight w:val="none"/>
        </w:rPr>
      </w:pPr>
      <w:r>
        <w:rPr>
          <w:rFonts w:hint="eastAsia" w:ascii="仿宋_GB2312" w:hAnsi="仿宋_GB2312" w:eastAsia="仿宋_GB2312" w:cs="仿宋_GB2312"/>
          <w:color w:val="000000"/>
          <w:sz w:val="28"/>
          <w:szCs w:val="20"/>
          <w:highlight w:val="none"/>
        </w:rPr>
        <w:t>32.2供应商认为采购过程中或成交结果使自己的权益受到损害的，可以在各采购程序环节结束之日或成交结果公告期限届满之日起7个工作日内提交书面的质疑函。</w:t>
      </w:r>
    </w:p>
    <w:p>
      <w:pPr>
        <w:pageBreakBefore w:val="0"/>
        <w:widowControl w:val="0"/>
        <w:kinsoku/>
        <w:wordWrap/>
        <w:overflowPunct/>
        <w:topLinePunct w:val="0"/>
        <w:autoSpaceDE/>
        <w:autoSpaceDN/>
        <w:bidi w:val="0"/>
        <w:spacing w:line="480" w:lineRule="exact"/>
        <w:ind w:firstLine="576" w:firstLineChars="206"/>
        <w:textAlignment w:val="auto"/>
        <w:rPr>
          <w:rFonts w:hint="eastAsia" w:ascii="仿宋_GB2312" w:hAnsi="仿宋_GB2312" w:eastAsia="仿宋_GB2312" w:cs="仿宋_GB2312"/>
          <w:color w:val="000000"/>
          <w:sz w:val="28"/>
          <w:szCs w:val="20"/>
          <w:highlight w:val="none"/>
        </w:rPr>
      </w:pPr>
      <w:r>
        <w:rPr>
          <w:rFonts w:hint="eastAsia" w:ascii="仿宋_GB2312" w:hAnsi="仿宋_GB2312" w:eastAsia="仿宋_GB2312" w:cs="仿宋_GB2312"/>
          <w:color w:val="000000"/>
          <w:sz w:val="28"/>
          <w:szCs w:val="20"/>
          <w:highlight w:val="none"/>
        </w:rPr>
        <w:t>32.3以联合体形式参加政府采购活动的，其质疑应当由组成联合体的所有供应商共同提出。</w:t>
      </w:r>
    </w:p>
    <w:p>
      <w:pPr>
        <w:pageBreakBefore w:val="0"/>
        <w:widowControl w:val="0"/>
        <w:kinsoku/>
        <w:wordWrap/>
        <w:overflowPunct/>
        <w:topLinePunct w:val="0"/>
        <w:autoSpaceDE/>
        <w:autoSpaceDN/>
        <w:bidi w:val="0"/>
        <w:spacing w:line="480" w:lineRule="exact"/>
        <w:ind w:firstLine="576" w:firstLineChars="206"/>
        <w:textAlignment w:val="auto"/>
        <w:rPr>
          <w:rFonts w:hint="eastAsia" w:ascii="仿宋_GB2312" w:hAnsi="仿宋_GB2312" w:eastAsia="仿宋_GB2312" w:cs="仿宋_GB2312"/>
          <w:color w:val="000000"/>
          <w:sz w:val="28"/>
          <w:szCs w:val="20"/>
          <w:highlight w:val="none"/>
        </w:rPr>
      </w:pPr>
      <w:r>
        <w:rPr>
          <w:rFonts w:hint="eastAsia" w:ascii="仿宋_GB2312" w:hAnsi="仿宋_GB2312" w:eastAsia="仿宋_GB2312" w:cs="仿宋_GB2312"/>
          <w:color w:val="000000"/>
          <w:sz w:val="28"/>
          <w:szCs w:val="20"/>
          <w:highlight w:val="none"/>
        </w:rPr>
        <w:t>32.4供应商在法定质疑期内应一次性提出对同一采购程序的质疑。</w:t>
      </w:r>
    </w:p>
    <w:p>
      <w:pPr>
        <w:pStyle w:val="13"/>
        <w:pageBreakBefore w:val="0"/>
        <w:widowControl w:val="0"/>
        <w:kinsoku/>
        <w:wordWrap/>
        <w:overflowPunct/>
        <w:topLinePunct w:val="0"/>
        <w:autoSpaceDE/>
        <w:autoSpaceDN/>
        <w:bidi w:val="0"/>
        <w:spacing w:line="480" w:lineRule="exact"/>
        <w:ind w:firstLine="0" w:firstLineChars="0"/>
        <w:jc w:val="both"/>
        <w:textAlignment w:val="auto"/>
        <w:rPr>
          <w:rFonts w:hint="eastAsia" w:ascii="仿宋_GB2312" w:hAnsi="仿宋_GB2312" w:eastAsia="仿宋_GB2312" w:cs="仿宋_GB2312"/>
          <w:color w:val="000000"/>
          <w:highlight w:val="none"/>
        </w:rPr>
      </w:pPr>
      <w:bookmarkStart w:id="141" w:name="_Toc8782"/>
      <w:r>
        <w:rPr>
          <w:rFonts w:hint="eastAsia" w:ascii="仿宋_GB2312" w:hAnsi="仿宋_GB2312" w:eastAsia="仿宋_GB2312" w:cs="仿宋_GB2312"/>
          <w:color w:val="000000"/>
          <w:highlight w:val="none"/>
        </w:rPr>
        <w:t>33. 投诉</w:t>
      </w:r>
      <w:bookmarkEnd w:id="140"/>
      <w:bookmarkEnd w:id="141"/>
    </w:p>
    <w:p>
      <w:pPr>
        <w:pageBreakBefore w:val="0"/>
        <w:widowControl w:val="0"/>
        <w:kinsoku/>
        <w:wordWrap/>
        <w:overflowPunct/>
        <w:topLinePunct w:val="0"/>
        <w:autoSpaceDE/>
        <w:autoSpaceDN/>
        <w:bidi w:val="0"/>
        <w:spacing w:line="480" w:lineRule="exact"/>
        <w:ind w:firstLine="576" w:firstLineChars="206"/>
        <w:textAlignment w:val="auto"/>
        <w:rPr>
          <w:rFonts w:hint="eastAsia" w:ascii="仿宋_GB2312" w:hAnsi="仿宋_GB2312" w:eastAsia="仿宋_GB2312" w:cs="仿宋_GB2312"/>
          <w:color w:val="000000"/>
          <w:sz w:val="28"/>
          <w:szCs w:val="20"/>
          <w:highlight w:val="none"/>
        </w:rPr>
      </w:pPr>
      <w:r>
        <w:rPr>
          <w:rFonts w:hint="eastAsia" w:ascii="仿宋_GB2312" w:hAnsi="仿宋_GB2312" w:eastAsia="仿宋_GB2312" w:cs="仿宋_GB2312"/>
          <w:color w:val="000000"/>
          <w:sz w:val="28"/>
          <w:szCs w:val="20"/>
          <w:highlight w:val="none"/>
        </w:rPr>
        <w:t>供应商对招投标服务所或采购人的质疑答复不满意或在规定时间内未作出答复的，可以在答复期满后15个工作日内向财政部门投诉。</w:t>
      </w:r>
    </w:p>
    <w:p>
      <w:pPr>
        <w:pageBreakBefore w:val="0"/>
        <w:widowControl w:val="0"/>
        <w:kinsoku/>
        <w:wordWrap/>
        <w:overflowPunct/>
        <w:topLinePunct w:val="0"/>
        <w:autoSpaceDE/>
        <w:autoSpaceDN/>
        <w:bidi w:val="0"/>
        <w:spacing w:line="480" w:lineRule="exact"/>
        <w:ind w:firstLine="576" w:firstLineChars="206"/>
        <w:textAlignment w:val="auto"/>
        <w:rPr>
          <w:rFonts w:hint="eastAsia" w:ascii="仿宋_GB2312" w:hAnsi="仿宋_GB2312" w:eastAsia="仿宋_GB2312" w:cs="仿宋_GB2312"/>
          <w:color w:val="000000"/>
          <w:sz w:val="28"/>
          <w:szCs w:val="20"/>
          <w:highlight w:val="none"/>
        </w:rPr>
      </w:pPr>
      <w:r>
        <w:rPr>
          <w:rFonts w:hint="eastAsia" w:ascii="仿宋_GB2312" w:hAnsi="仿宋_GB2312" w:eastAsia="仿宋_GB2312" w:cs="仿宋_GB2312"/>
          <w:color w:val="000000"/>
          <w:sz w:val="28"/>
          <w:szCs w:val="20"/>
          <w:highlight w:val="none"/>
        </w:rPr>
        <w:t>以联合体形式参加政府采购活动的，其投诉应当组成联合体的所有供应商共同提出。</w:t>
      </w:r>
    </w:p>
    <w:p>
      <w:pPr>
        <w:pStyle w:val="2"/>
        <w:rPr>
          <w:rFonts w:hint="eastAsia" w:ascii="仿宋_GB2312" w:hAnsi="仿宋_GB2312" w:eastAsia="仿宋_GB2312" w:cs="仿宋_GB2312"/>
          <w:color w:val="000000"/>
          <w:kern w:val="2"/>
          <w:sz w:val="28"/>
          <w:szCs w:val="20"/>
          <w:highlight w:val="none"/>
          <w:lang w:val="en-US" w:eastAsia="zh-CN" w:bidi="ar-SA"/>
        </w:rPr>
      </w:pPr>
      <w:r>
        <w:rPr>
          <w:rFonts w:hint="eastAsia" w:ascii="仿宋_GB2312" w:hAnsi="仿宋_GB2312" w:eastAsia="仿宋_GB2312" w:cs="仿宋_GB2312"/>
          <w:color w:val="000000"/>
          <w:kern w:val="2"/>
          <w:sz w:val="28"/>
          <w:szCs w:val="20"/>
          <w:highlight w:val="none"/>
          <w:lang w:val="en-US" w:eastAsia="zh-CN" w:bidi="ar-SA"/>
        </w:rPr>
        <w:t xml:space="preserve"> 政府采购监督管理机构名称：东莞市财政局万江分局政府采购监管科 </w:t>
      </w:r>
    </w:p>
    <w:p>
      <w:pPr>
        <w:pStyle w:val="2"/>
        <w:rPr>
          <w:rFonts w:hint="eastAsia" w:ascii="仿宋_GB2312" w:hAnsi="仿宋_GB2312" w:eastAsia="仿宋_GB2312" w:cs="仿宋_GB2312"/>
          <w:color w:val="000000"/>
          <w:kern w:val="2"/>
          <w:sz w:val="28"/>
          <w:szCs w:val="20"/>
          <w:highlight w:val="none"/>
          <w:lang w:val="en-US" w:eastAsia="zh-CN" w:bidi="ar-SA"/>
        </w:rPr>
      </w:pPr>
      <w:r>
        <w:rPr>
          <w:rFonts w:hint="eastAsia" w:ascii="仿宋_GB2312" w:hAnsi="仿宋_GB2312" w:eastAsia="仿宋_GB2312" w:cs="仿宋_GB2312"/>
          <w:color w:val="000000"/>
          <w:kern w:val="2"/>
          <w:sz w:val="28"/>
          <w:szCs w:val="20"/>
          <w:highlight w:val="none"/>
          <w:lang w:val="en-US" w:eastAsia="zh-CN" w:bidi="ar-SA"/>
        </w:rPr>
        <w:t>地 址：东莞市万江街道行政办事中心2号楼</w:t>
      </w:r>
    </w:p>
    <w:p>
      <w:pPr>
        <w:pStyle w:val="2"/>
        <w:rPr>
          <w:rFonts w:hint="eastAsia" w:ascii="仿宋_GB2312" w:hAnsi="仿宋_GB2312" w:eastAsia="仿宋_GB2312" w:cs="仿宋_GB2312"/>
          <w:color w:val="000000"/>
          <w:kern w:val="2"/>
          <w:sz w:val="28"/>
          <w:szCs w:val="20"/>
          <w:highlight w:val="none"/>
          <w:lang w:val="en-US" w:eastAsia="zh-CN" w:bidi="ar-SA"/>
        </w:rPr>
      </w:pPr>
      <w:r>
        <w:rPr>
          <w:rFonts w:hint="eastAsia" w:ascii="仿宋_GB2312" w:hAnsi="仿宋_GB2312" w:eastAsia="仿宋_GB2312" w:cs="仿宋_GB2312"/>
          <w:color w:val="000000"/>
          <w:kern w:val="2"/>
          <w:sz w:val="28"/>
          <w:szCs w:val="20"/>
          <w:highlight w:val="none"/>
          <w:lang w:val="en-US" w:eastAsia="zh-CN" w:bidi="ar-SA"/>
        </w:rPr>
        <w:t xml:space="preserve">电 话：0769-22709778 邮 编：523000 </w:t>
      </w:r>
    </w:p>
    <w:p>
      <w:pPr>
        <w:pStyle w:val="3"/>
        <w:pageBreakBefore w:val="0"/>
        <w:widowControl w:val="0"/>
        <w:kinsoku/>
        <w:wordWrap/>
        <w:overflowPunct/>
        <w:topLinePunct w:val="0"/>
        <w:autoSpaceDE/>
        <w:autoSpaceDN/>
        <w:bidi w:val="0"/>
        <w:spacing w:before="0" w:after="0" w:line="480" w:lineRule="exact"/>
        <w:textAlignment w:val="auto"/>
        <w:rPr>
          <w:rFonts w:hint="eastAsia" w:ascii="仿宋_GB2312" w:hAnsi="仿宋_GB2312" w:eastAsia="仿宋_GB2312" w:cs="仿宋_GB2312"/>
          <w:color w:val="000000"/>
          <w:highlight w:val="none"/>
        </w:rPr>
      </w:pPr>
      <w:bookmarkStart w:id="142" w:name="_Toc416858541"/>
      <w:bookmarkStart w:id="143" w:name="_Toc6143"/>
      <w:r>
        <w:rPr>
          <w:rFonts w:hint="eastAsia" w:ascii="仿宋_GB2312" w:hAnsi="仿宋_GB2312" w:eastAsia="仿宋_GB2312" w:cs="仿宋_GB2312"/>
          <w:bCs w:val="0"/>
          <w:color w:val="000000"/>
          <w:sz w:val="28"/>
          <w:szCs w:val="28"/>
          <w:highlight w:val="none"/>
        </w:rPr>
        <w:t>九、其他</w:t>
      </w:r>
      <w:bookmarkEnd w:id="142"/>
      <w:bookmarkEnd w:id="143"/>
    </w:p>
    <w:p>
      <w:pPr>
        <w:pStyle w:val="13"/>
        <w:pageBreakBefore w:val="0"/>
        <w:widowControl w:val="0"/>
        <w:kinsoku/>
        <w:wordWrap/>
        <w:overflowPunct/>
        <w:topLinePunct w:val="0"/>
        <w:autoSpaceDE/>
        <w:autoSpaceDN/>
        <w:bidi w:val="0"/>
        <w:spacing w:line="480" w:lineRule="exact"/>
        <w:ind w:firstLine="0" w:firstLineChars="0"/>
        <w:jc w:val="both"/>
        <w:textAlignment w:val="auto"/>
        <w:rPr>
          <w:rFonts w:hint="eastAsia" w:ascii="仿宋_GB2312" w:hAnsi="仿宋_GB2312" w:eastAsia="仿宋_GB2312" w:cs="仿宋_GB2312"/>
          <w:color w:val="000000"/>
          <w:highlight w:val="none"/>
        </w:rPr>
      </w:pPr>
      <w:bookmarkStart w:id="144" w:name="_Toc8929"/>
      <w:bookmarkStart w:id="145" w:name="_Toc416858542"/>
      <w:r>
        <w:rPr>
          <w:rFonts w:hint="eastAsia" w:ascii="仿宋_GB2312" w:hAnsi="仿宋_GB2312" w:eastAsia="仿宋_GB2312" w:cs="仿宋_GB2312"/>
          <w:color w:val="000000"/>
          <w:highlight w:val="none"/>
        </w:rPr>
        <w:t>35. 适用法律</w:t>
      </w:r>
      <w:bookmarkEnd w:id="144"/>
      <w:bookmarkEnd w:id="145"/>
    </w:p>
    <w:p>
      <w:pPr>
        <w:pStyle w:val="14"/>
        <w:pageBreakBefore w:val="0"/>
        <w:widowControl w:val="0"/>
        <w:kinsoku/>
        <w:wordWrap/>
        <w:overflowPunct/>
        <w:topLinePunct w:val="0"/>
        <w:autoSpaceDE/>
        <w:autoSpaceDN/>
        <w:bidi w:val="0"/>
        <w:spacing w:line="480" w:lineRule="exact"/>
        <w:ind w:firstLine="577"/>
        <w:textAlignment w:val="auto"/>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rPr>
        <w:t>招投标服务所、采购人及供应商进行的本次政府采购活动适用《中华人民共和国政府采购法》及其实施条例、《政府采购非</w:t>
      </w:r>
      <w:r>
        <w:rPr>
          <w:rFonts w:hint="eastAsia" w:ascii="仿宋_GB2312" w:hAnsi="仿宋_GB2312" w:eastAsia="仿宋_GB2312" w:cs="仿宋_GB2312"/>
          <w:color w:val="000000"/>
          <w:sz w:val="28"/>
          <w:highlight w:val="none"/>
          <w:lang w:eastAsia="zh-CN"/>
        </w:rPr>
        <w:t>招标</w:t>
      </w:r>
      <w:r>
        <w:rPr>
          <w:rFonts w:hint="eastAsia" w:ascii="仿宋_GB2312" w:hAnsi="仿宋_GB2312" w:eastAsia="仿宋_GB2312" w:cs="仿宋_GB2312"/>
          <w:color w:val="000000"/>
          <w:sz w:val="28"/>
          <w:highlight w:val="none"/>
        </w:rPr>
        <w:t>采购方式管理办法》等及其配套的法规、规章、政策。</w:t>
      </w:r>
    </w:p>
    <w:p>
      <w:pPr>
        <w:pStyle w:val="13"/>
        <w:pageBreakBefore w:val="0"/>
        <w:widowControl w:val="0"/>
        <w:kinsoku/>
        <w:wordWrap/>
        <w:overflowPunct/>
        <w:topLinePunct w:val="0"/>
        <w:autoSpaceDE/>
        <w:autoSpaceDN/>
        <w:bidi w:val="0"/>
        <w:spacing w:line="480" w:lineRule="exact"/>
        <w:ind w:firstLine="0" w:firstLineChars="0"/>
        <w:jc w:val="both"/>
        <w:textAlignment w:val="auto"/>
        <w:rPr>
          <w:rFonts w:hint="eastAsia" w:ascii="仿宋_GB2312" w:hAnsi="仿宋_GB2312" w:eastAsia="仿宋_GB2312" w:cs="仿宋_GB2312"/>
          <w:color w:val="000000"/>
          <w:highlight w:val="none"/>
        </w:rPr>
      </w:pPr>
      <w:bookmarkStart w:id="146" w:name="_Toc416858543"/>
      <w:bookmarkStart w:id="147" w:name="_Toc5958"/>
      <w:r>
        <w:rPr>
          <w:rFonts w:hint="eastAsia" w:ascii="仿宋_GB2312" w:hAnsi="仿宋_GB2312" w:eastAsia="仿宋_GB2312" w:cs="仿宋_GB2312"/>
          <w:color w:val="000000"/>
          <w:highlight w:val="none"/>
        </w:rPr>
        <w:t>36. 询价通知书解释权</w:t>
      </w:r>
      <w:bookmarkEnd w:id="146"/>
      <w:bookmarkEnd w:id="147"/>
    </w:p>
    <w:p>
      <w:pPr>
        <w:ind w:firstLine="480"/>
        <w:rPr>
          <w:rFonts w:hint="eastAsia" w:ascii="仿宋_GB2312" w:hAnsi="仿宋_GB2312" w:eastAsia="仿宋_GB2312" w:cs="仿宋_GB2312"/>
          <w:highlight w:val="none"/>
        </w:rPr>
      </w:pPr>
      <w:r>
        <w:rPr>
          <w:rFonts w:hint="eastAsia" w:ascii="仿宋_GB2312" w:hAnsi="仿宋_GB2312" w:eastAsia="仿宋_GB2312" w:cs="仿宋_GB2312"/>
          <w:color w:val="000000"/>
          <w:sz w:val="28"/>
          <w:highlight w:val="none"/>
        </w:rPr>
        <w:t>本询价通知书解释权属招投标服务所。</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 </w:t>
      </w:r>
    </w:p>
    <w:p>
      <w:pPr>
        <w:rPr>
          <w:rFonts w:hint="eastAsia" w:ascii="仿宋_GB2312" w:hAnsi="仿宋_GB2312" w:eastAsia="仿宋_GB2312" w:cs="仿宋_GB2312"/>
          <w:highlight w:val="none"/>
        </w:rPr>
      </w:pPr>
    </w:p>
    <w:p>
      <w:pPr>
        <w:rPr>
          <w:rFonts w:hint="eastAsia" w:ascii="仿宋_GB2312" w:hAnsi="仿宋_GB2312" w:eastAsia="仿宋_GB2312" w:cs="仿宋_GB2312"/>
          <w:b/>
          <w:sz w:val="36"/>
          <w:highlight w:val="none"/>
        </w:rPr>
      </w:pPr>
      <w:r>
        <w:rPr>
          <w:rFonts w:hint="eastAsia" w:ascii="仿宋_GB2312" w:hAnsi="仿宋_GB2312" w:eastAsia="仿宋_GB2312" w:cs="仿宋_GB2312"/>
          <w:b/>
          <w:sz w:val="36"/>
          <w:highlight w:val="none"/>
        </w:rPr>
        <w:br w:type="page"/>
      </w:r>
    </w:p>
    <w:p>
      <w:pPr>
        <w:jc w:val="center"/>
        <w:rPr>
          <w:rFonts w:hint="eastAsia" w:ascii="仿宋_GB2312" w:hAnsi="仿宋_GB2312" w:eastAsia="仿宋_GB2312" w:cs="仿宋_GB2312"/>
          <w:highlight w:val="none"/>
        </w:rPr>
      </w:pPr>
      <w:r>
        <w:rPr>
          <w:rFonts w:hint="eastAsia" w:ascii="仿宋_GB2312" w:hAnsi="仿宋_GB2312" w:eastAsia="仿宋_GB2312" w:cs="仿宋_GB2312"/>
          <w:b/>
          <w:sz w:val="36"/>
          <w:highlight w:val="none"/>
        </w:rPr>
        <w:t>第四章 评审</w:t>
      </w:r>
    </w:p>
    <w:p>
      <w:pPr>
        <w:rPr>
          <w:rFonts w:hint="eastAsia" w:ascii="仿宋_GB2312" w:hAnsi="仿宋_GB2312" w:eastAsia="仿宋_GB2312" w:cs="仿宋_GB2312"/>
          <w:highlight w:val="none"/>
        </w:rPr>
      </w:pPr>
      <w:r>
        <w:rPr>
          <w:rFonts w:hint="eastAsia" w:ascii="仿宋_GB2312" w:hAnsi="仿宋_GB2312" w:eastAsia="仿宋_GB2312" w:cs="仿宋_GB2312"/>
          <w:b/>
          <w:sz w:val="28"/>
          <w:highlight w:val="none"/>
        </w:rPr>
        <w:t>一、评审要求</w:t>
      </w:r>
    </w:p>
    <w:p>
      <w:pP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rPr>
        <w:t>1.评审方法</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最低评标价法,是指响应文件满足询价通知书全部实质性要求，且响应报价最低的供应商为成交候选人的评审方法。</w:t>
      </w:r>
    </w:p>
    <w:p>
      <w:pP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rPr>
        <w:t>2.评审原则</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2.1评审活动遵循公平、公正、科学和择优的原则，以询价通知书和响应文件为评审的基本依据，并按照询价通知书规定的评审方法和评审标准进行评审。</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2.2具体评审事项由询价小组负责，并按询价通知书的规定办法进行评审。</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2.3合格供应商不足须知前附表中约定的有效供应商家数，不得评审。</w:t>
      </w:r>
    </w:p>
    <w:p>
      <w:pP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rPr>
        <w:t>3.询价小组</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3.1询价小组由采购人代表和评审专家组成，成员人数应当为3人及以上单数。</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3.2评审应遵守下列评审纪律：</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（1）评审情况不得私自外泄，有关信息由东莞市万江招投标服务所统一对外发布。</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（2）对东莞市万江招投标服务所或供应商提供的要求保密的资料，不得摘记翻印和外传。</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（3）不得收受响应供应商或有关人员的任何礼物，不得串联鼓动其他人袒护供应商。若与供应商存在利害关系，则应主动声明并回避。</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（4）全体评委应按照询价通知书规定进行评审，一切认定事项应查有实据且不得弄虚作假。</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（5）询价小组各成员应当独立对每个响应供应商的响应文件进行评价，并对评价意见承担个人责任。评审过程中，不得发表倾向性言论。</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※对违反评审纪律的评委，将取消其评委资格，对评审工作造成严重损失者将予以通报批评乃至追究法律责任。</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3.3询价小组成员有下列情形之一的，受到邀请应主动提出回避，采购当事人也可以要求该成员回避：</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（1）本人、配偶或直系亲属3年内曾在参加该采购项目的供应商中任职（包括一般工作）或担任顾问，或与参加该采购项目的供应商发生过法律纠纷；</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（2）任职单位与采购人或参加该采购项目供应商存在行政隶属关系；</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（3）曾经参加过该采购项目的进口产品或采购文件、采购需求、采购方式的论证和咨询服务工作；</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（4）是参加该采购项目供应商的上级主管部门、控股或参股单位的工作人员，或与该供应商存在其他经济利益关系；</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（5）询价小组成员之间具有配偶、近亲属关系；</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（6）同一单位的评审专家在同一项目询价小组成员中超过1名；</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（7）法律、法规、规章规定应当回避以及其他可能影响公正评审的。</w:t>
      </w:r>
    </w:p>
    <w:p>
      <w:pP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rPr>
        <w:t>4.有下列情形之一的，视为供应商串通响应，其响应无效；</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4.1不同供应商的响应文件由同一单位或者个人编制；</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4.2不同供应商委托同一单位或者个人办理响应事宜；</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4.3不同供应商的响应文件载明的项目管理成员或者联系人员为同一人；</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4.4不同供应商的响应文件异常一致或者响应报价呈规律性差异；</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4.5不同供应商的响应文件相互混装；</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说明：在询价过程中发现供应商有上述情形的，询价小组应当认定其响应无效。同时，项目评审时被认定为串通响应的供应商不得参加该合同项下的采购活动。</w:t>
      </w:r>
    </w:p>
    <w:p>
      <w:pP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rPr>
        <w:t>5.其他响应无效的情形</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详见资格性审查、符合性审查和询价通知书其他响应无效条款。</w:t>
      </w:r>
    </w:p>
    <w:p>
      <w:pP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rPr>
        <w:t>6.确定成交人</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询价小组按照询价通知书确定的评审方法、步骤、标准，对响应文件进行评审，确定成交供应商。</w:t>
      </w:r>
    </w:p>
    <w:p>
      <w:pP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rPr>
        <w:t>7.价格修正</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对报价的计算错误按以下原则修正：</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（1）响应文件中报价一览表（报价表）内容与响应文件中相应内容不一致的，以报价一览表（报价表）为准；</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（2）大写金额和小写金额不一致的，以大写金额为准；</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（3）单价金额小数点或者百分比有明显错位的，以报价一览表的总价为准，并修改单价；</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（4）总价金额与按单价汇总金额不一致的，以单价金额计算结果为准。但是单价金额计算结果超过预算价的，对其按无效响应处理；</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注：同时出现两种以上不一致的，按照前款规定的顺序进行价格澄清。澄清后的价格由法定代表人或其授权代表签字或者加盖公章确认后产生约束力。由授权代表签字的，应当附法定代表人授权书。供应商为自然人的，应当由本人签字并附身份证明，但不得超出响应文件的范围或者改变响应文件的实质性内容，供应商不确认的，其响应无效。</w:t>
      </w:r>
    </w:p>
    <w:p>
      <w:pPr>
        <w:rPr>
          <w:rFonts w:hint="eastAsia" w:ascii="仿宋_GB2312" w:hAnsi="仿宋_GB2312" w:eastAsia="仿宋_GB2312" w:cs="仿宋_GB2312"/>
          <w:highlight w:val="none"/>
        </w:rPr>
      </w:pPr>
      <w:r>
        <w:rPr>
          <w:rFonts w:hint="eastAsia" w:ascii="仿宋_GB2312" w:hAnsi="仿宋_GB2312" w:eastAsia="仿宋_GB2312" w:cs="仿宋_GB2312"/>
          <w:b/>
          <w:sz w:val="28"/>
          <w:highlight w:val="none"/>
        </w:rPr>
        <w:t>二.政府采购政策落实</w:t>
      </w:r>
    </w:p>
    <w:p>
      <w:pP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rPr>
        <w:t>1.节能、环保要求</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采购的产品属于品目清单范围的，将依据国家确定的认证机构出具的、处于有效期之内的节能产品、环境标志产品认证证书，对获得证书的产品实施政府优先采购或强制采购，具体按照本询价通知书相关要求执行。</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相关认证机构和获证产品信息以市场监管总局组织建立的节能产品、环境标志产品认证结果信息发布平台公布为准。</w:t>
      </w:r>
    </w:p>
    <w:p>
      <w:pP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rPr>
        <w:t>2.对小型、微型企业、监狱企业或残疾人福利性单位给予价格扣除</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依照《政府采购促进中小企业发展管理办法》、《支持监狱企业发展有关问题的通知》和《财政部 民政部</w:t>
      </w:r>
      <w:r>
        <w:rPr>
          <w:rFonts w:hint="eastAsia" w:ascii="仿宋_GB2312" w:hAnsi="仿宋_GB2312" w:eastAsia="仿宋_GB2312" w:cs="仿宋_GB2312"/>
          <w:highlight w:val="none"/>
          <w:lang w:val="en-US" w:eastAsia="zh-CN"/>
        </w:rPr>
        <w:t xml:space="preserve"> </w:t>
      </w:r>
      <w:r>
        <w:rPr>
          <w:rFonts w:hint="eastAsia" w:ascii="仿宋_GB2312" w:hAnsi="仿宋_GB2312" w:eastAsia="仿宋_GB2312" w:cs="仿宋_GB2312"/>
          <w:highlight w:val="none"/>
        </w:rPr>
        <w:t>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rPr>
        <w:t>3.价格扣除相关要求</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采购包1（</w:t>
      </w:r>
      <w:r>
        <w:rPr>
          <w:rFonts w:hint="eastAsia" w:ascii="仿宋_GB2312" w:hAnsi="仿宋_GB2312" w:eastAsia="仿宋_GB2312" w:cs="仿宋_GB2312"/>
          <w:highlight w:val="none"/>
          <w:lang w:eastAsia="zh-CN"/>
        </w:rPr>
        <w:t>万江街道办事处网络安全设备采购项目</w:t>
      </w:r>
      <w:r>
        <w:rPr>
          <w:rFonts w:hint="eastAsia" w:ascii="仿宋_GB2312" w:hAnsi="仿宋_GB2312" w:eastAsia="仿宋_GB2312" w:cs="仿宋_GB2312"/>
          <w:highlight w:val="none"/>
        </w:rPr>
        <w:t>）：</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81"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序号</w:t>
            </w:r>
          </w:p>
        </w:tc>
        <w:tc>
          <w:tcPr>
            <w:tcW w:w="2160"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情形</w:t>
            </w:r>
          </w:p>
        </w:tc>
        <w:tc>
          <w:tcPr>
            <w:tcW w:w="2160"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适用对象</w:t>
            </w:r>
          </w:p>
        </w:tc>
        <w:tc>
          <w:tcPr>
            <w:tcW w:w="1246"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价格扣除比例</w:t>
            </w:r>
          </w:p>
        </w:tc>
        <w:tc>
          <w:tcPr>
            <w:tcW w:w="2160"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rPr>
                <w:rFonts w:hint="eastAsia" w:ascii="仿宋_GB2312" w:hAnsi="仿宋_GB2312" w:eastAsia="仿宋_GB2312" w:cs="仿宋_GB2312"/>
                <w:highlight w:val="none"/>
              </w:rPr>
            </w:pPr>
          </w:p>
        </w:tc>
        <w:tc>
          <w:tcPr>
            <w:tcW w:w="2160"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小型、微型企业，监狱企业， 残疾人福利性单位</w:t>
            </w:r>
          </w:p>
        </w:tc>
        <w:tc>
          <w:tcPr>
            <w:tcW w:w="2160" w:type="dxa"/>
          </w:tcPr>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货物由小微企业制造</w:t>
            </w:r>
          </w:p>
          <w:p>
            <w:pPr>
              <w:rPr>
                <w:rFonts w:hint="eastAsia" w:ascii="仿宋_GB2312" w:hAnsi="仿宋_GB2312" w:eastAsia="仿宋_GB2312" w:cs="仿宋_GB2312"/>
                <w:highlight w:val="none"/>
              </w:rPr>
            </w:pPr>
          </w:p>
        </w:tc>
        <w:tc>
          <w:tcPr>
            <w:tcW w:w="1246" w:type="dxa"/>
          </w:tcPr>
          <w:p>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20</w:t>
            </w:r>
          </w:p>
        </w:tc>
        <w:tc>
          <w:tcPr>
            <w:tcW w:w="2160"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货物由小微企业制造，即货物 由小微企业生产且使用该小微 企业商号或者注册商标时，给 予</w:t>
            </w:r>
            <w:r>
              <w:rPr>
                <w:rFonts w:hint="eastAsia" w:ascii="仿宋_GB2312" w:hAnsi="仿宋_GB2312" w:eastAsia="仿宋_GB2312" w:cs="仿宋_GB2312"/>
                <w:highlight w:val="none"/>
                <w:lang w:val="en-US" w:eastAsia="zh-CN"/>
              </w:rPr>
              <w:t>20</w:t>
            </w:r>
            <w:r>
              <w:rPr>
                <w:rFonts w:hint="eastAsia" w:ascii="仿宋_GB2312" w:hAnsi="仿宋_GB2312" w:eastAsia="仿宋_GB2312" w:cs="仿宋_GB2312"/>
                <w:highlight w:val="none"/>
              </w:rPr>
              <w:t>%的价格扣除C1，即： 评标价=核实价×（1-C1）; 监狱企业与残疾人福利性单位 视同小型、微型企业，享受同 等价格扣除，当企业属性重复时，不重复价格扣除。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pPr>
              <w:jc w:val="left"/>
              <w:rPr>
                <w:rFonts w:hint="eastAsia" w:ascii="仿宋_GB2312" w:hAnsi="仿宋_GB2312" w:eastAsia="仿宋_GB2312" w:cs="仿宋_GB2312"/>
                <w:highlight w:val="none"/>
              </w:rPr>
            </w:pPr>
            <w:r>
              <w:rPr>
                <w:rFonts w:hint="eastAsia" w:ascii="仿宋_GB2312" w:hAnsi="仿宋_GB2312" w:eastAsia="仿宋_GB2312" w:cs="仿宋_GB2312"/>
                <w:highlight w:val="none"/>
              </w:rPr>
              <w:t>注：（1）上述评标价仅用于计算价格分，成交金额以实际投标价为准。</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t xml:space="preserve"> （2）组成联合体的大中型企业和其他自然人、法人或者其他组织、与小型、微型企业之间不得存在投资关系。</w:t>
            </w:r>
          </w:p>
        </w:tc>
      </w:tr>
    </w:tbl>
    <w:p>
      <w:pPr>
        <w:rPr>
          <w:rFonts w:hint="eastAsia" w:ascii="仿宋_GB2312" w:hAnsi="仿宋_GB2312" w:eastAsia="仿宋_GB2312" w:cs="仿宋_GB2312"/>
          <w:highlight w:val="none"/>
        </w:rPr>
      </w:pP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（1）所称小型和微型企业应当符合以下条件：</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在中华人民共和国境内依法设立，依据国务院批准的中小企业划分标准确定的小型企业和微型企业，但与大企业的负责人为同一人，或者与大企业存在直接控股、管理关系的除外。</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符合中小企业划分标准的个体工商户，在政府采购活动中视同中小企业。</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提供本企业（属于小微企业）制造的货物或者提供其他小型或微型企业制造的货物/提供本企业（属于小微企业）承接的服务。</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说明：供应商应当对其出具的《中小企业声明函》真实性负责，供应商出具的《中小企业声明函》内容不实的，属于提供虚假材料谋取成交。</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3）联合体各方均为小型、微型企业的，各方均应提供《中小企业声明函》；中小微企业作为联合体一方参与政府采购活动，且共同响应协议书中约定，小型、微型企业的协议合同金额占到联合体协议合同总金额30%以上的，应附中小微企业的《中小企业声明函》。</w:t>
      </w:r>
    </w:p>
    <w:p>
      <w:pPr>
        <w:rPr>
          <w:rFonts w:hint="eastAsia" w:ascii="仿宋_GB2312" w:hAnsi="仿宋_GB2312" w:eastAsia="仿宋_GB2312" w:cs="仿宋_GB2312"/>
          <w:highlight w:val="none"/>
        </w:rPr>
      </w:pPr>
      <w:r>
        <w:rPr>
          <w:rFonts w:hint="eastAsia" w:ascii="仿宋_GB2312" w:hAnsi="仿宋_GB2312" w:eastAsia="仿宋_GB2312" w:cs="仿宋_GB2312"/>
          <w:b/>
          <w:sz w:val="28"/>
          <w:highlight w:val="none"/>
        </w:rPr>
        <w:t>三、评审程序</w:t>
      </w:r>
    </w:p>
    <w:p>
      <w:pP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rPr>
        <w:t>1.资格性审查和符合性审查</w:t>
      </w:r>
      <w:r>
        <w:rPr>
          <w:rFonts w:hint="eastAsia" w:ascii="仿宋_GB2312" w:hAnsi="仿宋_GB2312" w:eastAsia="仿宋_GB2312" w:cs="仿宋_GB2312"/>
          <w:highlight w:val="none"/>
        </w:rPr>
        <w:t>　　</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资格性审查。询价小组应当依法对供应商的资格进行审查，以确定供应商是否具备响应资格。（详见后附表一资格性审查表）</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符合性审查。询价小组依据询价通知书的规定，从响应文件的有效性、完整性和对询价通知书的响应程度进行审查，以确定是否对询价通知书的实质性要求作出响应。（详见后附表二符合性审查表）</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资格性审查和符合性审查中凡有其中任意一项未通过的，评审结果为未通过，未通过资格性审查、符合性审查的供应商按无效响应处理。</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询价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询价小组应当将其作为无效响应处理。</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合格供应商不足3家的，不得评审。</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表一资格性审查表：</w:t>
      </w: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采购包1（</w:t>
      </w:r>
      <w:r>
        <w:rPr>
          <w:rFonts w:hint="eastAsia" w:ascii="仿宋_GB2312" w:hAnsi="仿宋_GB2312" w:eastAsia="仿宋_GB2312" w:cs="仿宋_GB2312"/>
          <w:highlight w:val="none"/>
          <w:lang w:eastAsia="zh-CN"/>
        </w:rPr>
        <w:t>万江街道办事处网络安全设备采购项目</w:t>
      </w:r>
      <w:r>
        <w:rPr>
          <w:rFonts w:hint="eastAsia" w:ascii="仿宋_GB2312" w:hAnsi="仿宋_GB2312" w:eastAsia="仿宋_GB2312" w:cs="仿宋_GB2312"/>
          <w:highlight w:val="none"/>
        </w:rPr>
        <w:t>）：</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序号</w:t>
            </w:r>
          </w:p>
        </w:tc>
        <w:tc>
          <w:tcPr>
            <w:tcW w:w="7416" w:type="dxa"/>
            <w:gridSpan w:val="2"/>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1</w:t>
            </w:r>
          </w:p>
        </w:tc>
        <w:tc>
          <w:tcPr>
            <w:tcW w:w="317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具有独立承担民事责任的能力</w:t>
            </w:r>
          </w:p>
        </w:tc>
        <w:tc>
          <w:tcPr>
            <w:tcW w:w="423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2</w:t>
            </w:r>
          </w:p>
        </w:tc>
        <w:tc>
          <w:tcPr>
            <w:tcW w:w="317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有依法缴纳税收和社会保障资金的良好记录</w:t>
            </w:r>
          </w:p>
        </w:tc>
        <w:tc>
          <w:tcPr>
            <w:tcW w:w="423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提供投标截止日前6个月内任意1个月依法缴纳税收和社会保障资金的相关材料。 如依法免税或不需要缴纳社会保障资金的， 提供相应证明材料。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3</w:t>
            </w:r>
          </w:p>
        </w:tc>
        <w:tc>
          <w:tcPr>
            <w:tcW w:w="317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具有良好的商业信誉和健全的财务会计制度</w:t>
            </w:r>
          </w:p>
        </w:tc>
        <w:tc>
          <w:tcPr>
            <w:tcW w:w="423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供应商必须具有良好的商业信誉和健全的财务会计制度（提供2021年度财务状况报告或基本开户行出具的资信证明或专业担保机构出具的投标担保函）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4</w:t>
            </w:r>
          </w:p>
        </w:tc>
        <w:tc>
          <w:tcPr>
            <w:tcW w:w="317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履行合同所必需的设备和专业技术能力</w:t>
            </w:r>
          </w:p>
        </w:tc>
        <w:tc>
          <w:tcPr>
            <w:tcW w:w="423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按投标（响应）文件格式填报设备及专业技术能力情况，否则视为不符合。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5</w:t>
            </w:r>
          </w:p>
        </w:tc>
        <w:tc>
          <w:tcPr>
            <w:tcW w:w="317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参加采购活动前3年内，在经营活动中没有重大违法记录</w:t>
            </w:r>
          </w:p>
        </w:tc>
        <w:tc>
          <w:tcPr>
            <w:tcW w:w="423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6</w:t>
            </w:r>
          </w:p>
        </w:tc>
        <w:tc>
          <w:tcPr>
            <w:tcW w:w="317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信用记录</w:t>
            </w:r>
          </w:p>
        </w:tc>
        <w:tc>
          <w:tcPr>
            <w:tcW w:w="423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7</w:t>
            </w:r>
          </w:p>
        </w:tc>
        <w:tc>
          <w:tcPr>
            <w:tcW w:w="317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供应商必须符合法律、行政法规规定的其他条件</w:t>
            </w:r>
          </w:p>
        </w:tc>
        <w:tc>
          <w:tcPr>
            <w:tcW w:w="423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单位负责人为同一人或者存在直接控股、 管理关系的不同供应商，不得同时参加本采购项目（或采购包） 投标（响应）。 为本项目提供整体设计、 规范编制或者项目管理、 监理、 检测等服务的供应商， 不得再参与本项目投标（响应）。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8</w:t>
            </w:r>
          </w:p>
        </w:tc>
        <w:tc>
          <w:tcPr>
            <w:tcW w:w="317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促进中小企业发展</w:t>
            </w:r>
          </w:p>
        </w:tc>
        <w:tc>
          <w:tcPr>
            <w:tcW w:w="423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采购包</w:t>
            </w:r>
            <w:r>
              <w:rPr>
                <w:rFonts w:hint="eastAsia" w:ascii="仿宋_GB2312" w:hAnsi="仿宋_GB2312" w:eastAsia="仿宋_GB2312" w:cs="仿宋_GB2312"/>
                <w:highlight w:val="none"/>
                <w:lang w:eastAsia="zh-CN"/>
              </w:rPr>
              <w:t>不</w:t>
            </w:r>
            <w:r>
              <w:rPr>
                <w:rFonts w:hint="eastAsia" w:ascii="仿宋_GB2312" w:hAnsi="仿宋_GB2312" w:eastAsia="仿宋_GB2312" w:cs="仿宋_GB2312"/>
                <w:highlight w:val="none"/>
              </w:rPr>
              <w:t>专门面向中小企业</w:t>
            </w:r>
          </w:p>
        </w:tc>
      </w:tr>
    </w:tbl>
    <w:p>
      <w:pPr>
        <w:rPr>
          <w:rFonts w:hint="eastAsia" w:ascii="仿宋_GB2312" w:hAnsi="仿宋_GB2312" w:eastAsia="仿宋_GB2312" w:cs="仿宋_GB2312"/>
          <w:highlight w:val="none"/>
        </w:rPr>
      </w:pP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表二符合性审查表：</w:t>
      </w:r>
    </w:p>
    <w:p>
      <w:pPr>
        <w:ind w:firstLine="480"/>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采购包1（</w:t>
      </w:r>
      <w:r>
        <w:rPr>
          <w:rFonts w:hint="eastAsia" w:ascii="仿宋_GB2312" w:hAnsi="仿宋_GB2312" w:eastAsia="仿宋_GB2312" w:cs="仿宋_GB2312"/>
          <w:highlight w:val="none"/>
          <w:lang w:eastAsia="zh-CN"/>
        </w:rPr>
        <w:t>万江街道办事处网络安全设备采购项目</w:t>
      </w:r>
      <w:r>
        <w:rPr>
          <w:rFonts w:hint="eastAsia" w:ascii="仿宋_GB2312" w:hAnsi="仿宋_GB2312" w:eastAsia="仿宋_GB2312" w:cs="仿宋_GB2312"/>
          <w:highlight w:val="none"/>
        </w:rPr>
        <w:t>）：</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序号</w:t>
            </w:r>
          </w:p>
        </w:tc>
        <w:tc>
          <w:tcPr>
            <w:tcW w:w="317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评审点要求概况</w:t>
            </w:r>
          </w:p>
        </w:tc>
        <w:tc>
          <w:tcPr>
            <w:tcW w:w="423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1</w:t>
            </w:r>
          </w:p>
        </w:tc>
        <w:tc>
          <w:tcPr>
            <w:tcW w:w="317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未按照询价文件规定要求签署和盖章的</w:t>
            </w:r>
          </w:p>
        </w:tc>
        <w:tc>
          <w:tcPr>
            <w:tcW w:w="423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未按照询价文件规定要求签署和盖章的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2</w:t>
            </w:r>
          </w:p>
        </w:tc>
        <w:tc>
          <w:tcPr>
            <w:tcW w:w="317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报价不是固定价或者响应方案是可选择的</w:t>
            </w:r>
          </w:p>
        </w:tc>
        <w:tc>
          <w:tcPr>
            <w:tcW w:w="423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报价不是固定价或者响应方案是可选择的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3</w:t>
            </w:r>
          </w:p>
        </w:tc>
        <w:tc>
          <w:tcPr>
            <w:tcW w:w="317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报价超过询价文件中规定的预算金额的，或者分项、分包最高限价的</w:t>
            </w:r>
          </w:p>
        </w:tc>
        <w:tc>
          <w:tcPr>
            <w:tcW w:w="423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报价超过询价文件中规定的预算金额的，或者分项、分包最高限价的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4</w:t>
            </w:r>
          </w:p>
        </w:tc>
        <w:tc>
          <w:tcPr>
            <w:tcW w:w="317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不满足询价文件用户需求中的带“★”要求的</w:t>
            </w:r>
          </w:p>
        </w:tc>
        <w:tc>
          <w:tcPr>
            <w:tcW w:w="423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不满足询价文件用户需求中的带“★”要求的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5</w:t>
            </w:r>
          </w:p>
        </w:tc>
        <w:tc>
          <w:tcPr>
            <w:tcW w:w="317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响应文件含有采购人不能接受的附加条件的</w:t>
            </w:r>
          </w:p>
        </w:tc>
        <w:tc>
          <w:tcPr>
            <w:tcW w:w="423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响应文件含有采购人不能接受的附加条件的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6</w:t>
            </w:r>
          </w:p>
        </w:tc>
        <w:tc>
          <w:tcPr>
            <w:tcW w:w="317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属于法律、法规及询价文件规定的其他无效情形的</w:t>
            </w:r>
          </w:p>
        </w:tc>
        <w:tc>
          <w:tcPr>
            <w:tcW w:w="4238"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属于法律、法规及询价文件规定的其他无效情形的</w:t>
            </w:r>
          </w:p>
        </w:tc>
      </w:tr>
    </w:tbl>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rPr>
        <w:t>2.响应文件澄清</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2.1对于响应文件中含义不明确、同类问题表述不一致或者有明显文字和计算错误的内容，询价小组可在评审过程中发起澄清，要求供应商针对价格或内容做出必要的澄清、说明或补正。代理机构可根据开</w:t>
      </w:r>
      <w:r>
        <w:rPr>
          <w:rFonts w:hint="eastAsia" w:ascii="仿宋_GB2312" w:hAnsi="仿宋_GB2312" w:eastAsia="仿宋_GB2312" w:cs="仿宋_GB2312"/>
          <w:highlight w:val="none"/>
          <w:lang w:eastAsia="zh-CN"/>
        </w:rPr>
        <w:t>标</w:t>
      </w:r>
      <w:r>
        <w:rPr>
          <w:rFonts w:hint="eastAsia" w:ascii="仿宋_GB2312" w:hAnsi="仿宋_GB2312" w:eastAsia="仿宋_GB2312" w:cs="仿宋_GB2312"/>
          <w:highlight w:val="none"/>
        </w:rPr>
        <w:t>环节记录的授权代表人联系方式发送短信提醒或电话告知。</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若因供应商联系方式错误未接收短信、未接听电话或超时未进行澄清（响应）造成的不利后果由供应商自行承担。供应商的澄清、说明或者补正不得超出响应文件的范围或者改变响应文件的实质性内容。</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2.2询价小组不接受供应商主动提出的澄清、说明或补正。</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2.3询价小组对供应商提交的澄清、说明或补正有疑问的，可以要求供应商进一步澄清、说明或补正。</w:t>
      </w:r>
    </w:p>
    <w:p>
      <w:pP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rPr>
        <w:t>3.询价</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3.1询价小组在询价过程中，不得改变询价通知书所确定的技术和服务等要求、评审程序、评定成交的标准和合同文本等事项。</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3.2参加询价采购活动的供应商，应当按照询价通知书的规定一次报出不得更改的价格（报价以响应文件报价表中所报价格为准）。询价小组进行价格比较。</w:t>
      </w:r>
    </w:p>
    <w:p>
      <w:pP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rPr>
        <w:t>4.推荐成交候选供应商</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询价小组应当从质量和服务均能满足采购文件实质性响应要求的供应商中，进行政府采购政策落实的价格扣除后，按照报价由低到高的顺序提出3名以上成交候选供应商，并编写评审报告。</w:t>
      </w:r>
    </w:p>
    <w:p>
      <w:pP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rPr>
        <w:t>5.项目采购失败的处理</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出现下列情况将作采购失败处理：</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（1）因情况变化，不再符合规定的询价采购方式适用情形的。</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（2）询价小组对询价通知书有异议，不同意确认的。</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（3）出现影响采购公正的违法、违规行为的。</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（4）在采购过程中符合竞争要求的供应商或者报价未超过采购预算的供应商不足3家的。</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（说明：如果多个供应商所投产品全部是同一品牌同一型号的，只作为一个供应商计算；同一品牌不同型号的产品由多家供应商参加竞争，作为不同的供应商计算。）</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（5）因重大变故，采购任务取消的。</w:t>
      </w:r>
    </w:p>
    <w:p>
      <w:pP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rPr>
        <w:t>6.汇总、排序</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采购包1：</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对评审报告有异议的，应当在评审报告上签署不同意见，并说明理由，否则视为同意评审报告。</w:t>
      </w:r>
    </w:p>
    <w:p>
      <w:pP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rPr>
        <w:t>7.其他无效响应的情形</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(1)评审期间，供应商没有按询价小组的要求提交法定代表人或其委托代理人签字的澄清、说明、补正或改变了响应文件的实质性内容的。</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(2)响应文件提供虚假材料的。</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(3)供应商以他人名义响应、串通响应、以行贿手段谋取成交或者以其他弄虚作假方式响应的。</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(4)供应商对采购人、采购代理机构、询价小组及其工作人员施加影响，有碍询价公平、公正的。</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(5)响应文件含有采购人不能接受的附加条件的。</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(6)法律、法规和询价通知书规定的其他无效情形。</w:t>
      </w:r>
    </w:p>
    <w:p>
      <w:pPr>
        <w:ind w:firstLine="480"/>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 </w:t>
      </w:r>
    </w:p>
    <w:p>
      <w:pPr>
        <w:rPr>
          <w:rFonts w:hint="eastAsia" w:ascii="仿宋_GB2312" w:hAnsi="仿宋_GB2312" w:eastAsia="仿宋_GB2312" w:cs="仿宋_GB2312"/>
          <w:b/>
          <w:sz w:val="36"/>
          <w:highlight w:val="none"/>
        </w:rPr>
      </w:pPr>
      <w:r>
        <w:rPr>
          <w:rFonts w:hint="eastAsia" w:ascii="仿宋_GB2312" w:hAnsi="仿宋_GB2312" w:eastAsia="仿宋_GB2312" w:cs="仿宋_GB2312"/>
          <w:b/>
          <w:sz w:val="36"/>
          <w:highlight w:val="none"/>
        </w:rPr>
        <w:br w:type="page"/>
      </w:r>
    </w:p>
    <w:p>
      <w:pPr>
        <w:jc w:val="center"/>
        <w:rPr>
          <w:rFonts w:hint="eastAsia" w:ascii="仿宋_GB2312" w:hAnsi="仿宋_GB2312" w:eastAsia="仿宋_GB2312" w:cs="仿宋_GB2312"/>
          <w:highlight w:val="none"/>
        </w:rPr>
      </w:pPr>
      <w:r>
        <w:rPr>
          <w:rFonts w:hint="eastAsia" w:ascii="仿宋_GB2312" w:hAnsi="仿宋_GB2312" w:eastAsia="仿宋_GB2312" w:cs="仿宋_GB2312"/>
          <w:b/>
          <w:sz w:val="36"/>
          <w:highlight w:val="none"/>
        </w:rPr>
        <w:t>第五章 合同文本</w:t>
      </w:r>
    </w:p>
    <w:p>
      <w:pPr>
        <w:ind w:firstLine="480"/>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jc w:val="center"/>
        <w:rPr>
          <w:rFonts w:hint="eastAsia" w:ascii="仿宋_GB2312" w:hAnsi="仿宋_GB2312" w:eastAsia="仿宋_GB2312" w:cs="仿宋_GB2312"/>
          <w:highlight w:val="none"/>
        </w:rPr>
      </w:pPr>
      <w:r>
        <w:rPr>
          <w:rFonts w:hint="eastAsia" w:ascii="仿宋_GB2312" w:hAnsi="仿宋_GB2312" w:eastAsia="仿宋_GB2312" w:cs="仿宋_GB2312"/>
          <w:b/>
          <w:sz w:val="48"/>
          <w:highlight w:val="none"/>
        </w:rPr>
        <w:t xml:space="preserve"> </w:t>
      </w:r>
    </w:p>
    <w:p>
      <w:pPr>
        <w:jc w:val="center"/>
        <w:rPr>
          <w:rFonts w:hint="eastAsia" w:ascii="仿宋_GB2312" w:hAnsi="仿宋_GB2312" w:eastAsia="仿宋_GB2312" w:cs="仿宋_GB2312"/>
          <w:highlight w:val="none"/>
        </w:rPr>
      </w:pPr>
      <w:r>
        <w:rPr>
          <w:rFonts w:hint="eastAsia" w:ascii="仿宋_GB2312" w:hAnsi="仿宋_GB2312" w:eastAsia="仿宋_GB2312" w:cs="仿宋_GB2312"/>
          <w:b/>
          <w:sz w:val="48"/>
          <w:highlight w:val="none"/>
        </w:rPr>
        <w:t xml:space="preserve"> </w:t>
      </w:r>
    </w:p>
    <w:p>
      <w:pPr>
        <w:jc w:val="center"/>
        <w:rPr>
          <w:rFonts w:hint="eastAsia" w:ascii="仿宋_GB2312" w:hAnsi="仿宋_GB2312" w:eastAsia="仿宋_GB2312" w:cs="仿宋_GB2312"/>
          <w:highlight w:val="none"/>
        </w:rPr>
      </w:pPr>
      <w:r>
        <w:rPr>
          <w:rFonts w:hint="eastAsia" w:ascii="仿宋_GB2312" w:hAnsi="仿宋_GB2312" w:eastAsia="仿宋_GB2312" w:cs="仿宋_GB2312"/>
          <w:b/>
          <w:sz w:val="48"/>
          <w:highlight w:val="none"/>
        </w:rPr>
        <w:t xml:space="preserve"> </w:t>
      </w:r>
    </w:p>
    <w:p>
      <w:pPr>
        <w:tabs>
          <w:tab w:val="left" w:pos="720"/>
        </w:tabs>
        <w:spacing w:line="360" w:lineRule="auto"/>
        <w:jc w:val="center"/>
        <w:rPr>
          <w:rFonts w:hint="eastAsia" w:ascii="仿宋_GB2312" w:hAnsi="仿宋_GB2312" w:eastAsia="仿宋_GB2312" w:cs="仿宋_GB2312"/>
          <w:color w:val="000000"/>
          <w:sz w:val="43"/>
          <w:szCs w:val="43"/>
          <w:highlight w:val="none"/>
        </w:rPr>
      </w:pPr>
      <w:r>
        <w:rPr>
          <w:rFonts w:hint="eastAsia" w:ascii="仿宋_GB2312" w:hAnsi="仿宋_GB2312" w:eastAsia="仿宋_GB2312" w:cs="仿宋_GB2312"/>
          <w:color w:val="000000"/>
          <w:sz w:val="43"/>
          <w:szCs w:val="43"/>
          <w:highlight w:val="none"/>
        </w:rPr>
        <w:t>政府采购合同书</w:t>
      </w:r>
      <w:r>
        <w:rPr>
          <w:rFonts w:hint="eastAsia" w:ascii="仿宋_GB2312" w:hAnsi="仿宋_GB2312" w:eastAsia="仿宋_GB2312" w:cs="仿宋_GB2312"/>
          <w:color w:val="000000"/>
          <w:sz w:val="31"/>
          <w:szCs w:val="31"/>
          <w:highlight w:val="none"/>
        </w:rPr>
        <w:t>（货物类）</w:t>
      </w:r>
    </w:p>
    <w:p>
      <w:pPr>
        <w:tabs>
          <w:tab w:val="left" w:pos="720"/>
        </w:tabs>
        <w:spacing w:line="360" w:lineRule="auto"/>
        <w:rPr>
          <w:rFonts w:hint="eastAsia" w:ascii="仿宋_GB2312" w:hAnsi="仿宋_GB2312" w:eastAsia="仿宋_GB2312" w:cs="仿宋_GB2312"/>
          <w:b/>
          <w:color w:val="000000"/>
          <w:sz w:val="31"/>
          <w:szCs w:val="31"/>
          <w:highlight w:val="none"/>
        </w:rPr>
      </w:pPr>
    </w:p>
    <w:p>
      <w:pPr>
        <w:tabs>
          <w:tab w:val="left" w:pos="720"/>
        </w:tabs>
        <w:spacing w:line="360" w:lineRule="auto"/>
        <w:ind w:firstLine="610" w:firstLineChars="196"/>
        <w:rPr>
          <w:rFonts w:hint="eastAsia" w:ascii="仿宋_GB2312" w:hAnsi="仿宋_GB2312" w:eastAsia="仿宋_GB2312" w:cs="仿宋_GB2312"/>
          <w:b/>
          <w:color w:val="000000"/>
          <w:sz w:val="31"/>
          <w:szCs w:val="31"/>
          <w:highlight w:val="none"/>
        </w:rPr>
      </w:pPr>
      <w:r>
        <w:rPr>
          <w:rFonts w:hint="eastAsia" w:ascii="仿宋_GB2312" w:hAnsi="仿宋_GB2312" w:eastAsia="仿宋_GB2312" w:cs="仿宋_GB2312"/>
          <w:b/>
          <w:color w:val="000000"/>
          <w:sz w:val="31"/>
          <w:szCs w:val="31"/>
          <w:highlight w:val="none"/>
        </w:rPr>
        <w:t>甲  方：</w:t>
      </w:r>
      <w:r>
        <w:rPr>
          <w:rFonts w:hint="eastAsia" w:ascii="仿宋_GB2312" w:hAnsi="仿宋_GB2312" w:eastAsia="仿宋_GB2312" w:cs="仿宋_GB2312"/>
          <w:b/>
          <w:color w:val="000000"/>
          <w:sz w:val="31"/>
          <w:szCs w:val="31"/>
          <w:highlight w:val="none"/>
          <w:u w:val="single"/>
        </w:rPr>
        <w:t xml:space="preserve">                   </w:t>
      </w:r>
    </w:p>
    <w:p>
      <w:pPr>
        <w:tabs>
          <w:tab w:val="left" w:pos="720"/>
        </w:tabs>
        <w:spacing w:line="360" w:lineRule="auto"/>
        <w:ind w:firstLine="610" w:firstLineChars="196"/>
        <w:rPr>
          <w:rFonts w:hint="eastAsia" w:ascii="仿宋_GB2312" w:hAnsi="仿宋_GB2312" w:eastAsia="仿宋_GB2312" w:cs="仿宋_GB2312"/>
          <w:b/>
          <w:color w:val="000000"/>
          <w:sz w:val="31"/>
          <w:szCs w:val="31"/>
          <w:highlight w:val="none"/>
        </w:rPr>
      </w:pPr>
      <w:r>
        <w:rPr>
          <w:rFonts w:hint="eastAsia" w:ascii="仿宋_GB2312" w:hAnsi="仿宋_GB2312" w:eastAsia="仿宋_GB2312" w:cs="仿宋_GB2312"/>
          <w:b/>
          <w:color w:val="000000"/>
          <w:sz w:val="31"/>
          <w:szCs w:val="31"/>
          <w:highlight w:val="none"/>
        </w:rPr>
        <w:t>乙  方：</w:t>
      </w:r>
      <w:r>
        <w:rPr>
          <w:rFonts w:hint="eastAsia" w:ascii="仿宋_GB2312" w:hAnsi="仿宋_GB2312" w:eastAsia="仿宋_GB2312" w:cs="仿宋_GB2312"/>
          <w:b/>
          <w:color w:val="000000"/>
          <w:sz w:val="31"/>
          <w:szCs w:val="31"/>
          <w:highlight w:val="none"/>
          <w:u w:val="single"/>
        </w:rPr>
        <w:t xml:space="preserve">                    </w:t>
      </w:r>
      <w:r>
        <w:rPr>
          <w:rFonts w:hint="eastAsia" w:ascii="仿宋_GB2312" w:hAnsi="仿宋_GB2312" w:eastAsia="仿宋_GB2312" w:cs="仿宋_GB2312"/>
          <w:b/>
          <w:color w:val="000000"/>
          <w:sz w:val="31"/>
          <w:szCs w:val="31"/>
          <w:highlight w:val="none"/>
        </w:rPr>
        <w:br w:type="textWrapping"/>
      </w:r>
      <w:r>
        <w:rPr>
          <w:rFonts w:hint="eastAsia" w:ascii="仿宋_GB2312" w:hAnsi="仿宋_GB2312" w:eastAsia="仿宋_GB2312" w:cs="仿宋_GB2312"/>
          <w:color w:val="000000"/>
          <w:sz w:val="31"/>
          <w:szCs w:val="31"/>
          <w:highlight w:val="none"/>
        </w:rPr>
        <w:t xml:space="preserve">               </w:t>
      </w:r>
    </w:p>
    <w:p>
      <w:pPr>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 xml:space="preserve">根据 </w:t>
      </w:r>
      <w:r>
        <w:rPr>
          <w:rFonts w:hint="eastAsia" w:ascii="仿宋_GB2312" w:hAnsi="仿宋_GB2312" w:eastAsia="仿宋_GB2312" w:cs="仿宋_GB2312"/>
          <w:color w:val="000000"/>
          <w:sz w:val="31"/>
          <w:szCs w:val="31"/>
          <w:highlight w:val="none"/>
          <w:u w:val="single"/>
        </w:rPr>
        <w:t xml:space="preserve">              项目</w:t>
      </w:r>
      <w:r>
        <w:rPr>
          <w:rFonts w:hint="eastAsia" w:ascii="仿宋_GB2312" w:hAnsi="仿宋_GB2312" w:eastAsia="仿宋_GB2312" w:cs="仿宋_GB2312"/>
          <w:color w:val="000000"/>
          <w:sz w:val="31"/>
          <w:szCs w:val="31"/>
          <w:highlight w:val="none"/>
        </w:rPr>
        <w:t>的采购结果，按照《中华人民共和国政府采购法》、《民法典》</w:t>
      </w:r>
      <w:r>
        <w:rPr>
          <w:rFonts w:hint="eastAsia" w:ascii="仿宋_GB2312" w:hAnsi="仿宋_GB2312" w:eastAsia="仿宋_GB2312" w:cs="仿宋_GB2312"/>
          <w:color w:val="000000"/>
          <w:sz w:val="31"/>
          <w:szCs w:val="31"/>
          <w:highlight w:val="none"/>
          <w:u w:val="single"/>
        </w:rPr>
        <w:t xml:space="preserve">               </w:t>
      </w:r>
      <w:r>
        <w:rPr>
          <w:rFonts w:hint="eastAsia" w:ascii="仿宋_GB2312" w:hAnsi="仿宋_GB2312" w:eastAsia="仿宋_GB2312" w:cs="仿宋_GB2312"/>
          <w:color w:val="000000"/>
          <w:sz w:val="31"/>
          <w:szCs w:val="31"/>
          <w:highlight w:val="none"/>
        </w:rPr>
        <w:t>的规定，</w:t>
      </w:r>
      <w:r>
        <w:rPr>
          <w:rFonts w:hint="eastAsia" w:ascii="仿宋_GB2312" w:hAnsi="仿宋_GB2312" w:eastAsia="仿宋_GB2312" w:cs="仿宋_GB2312"/>
          <w:color w:val="000000"/>
          <w:kern w:val="28"/>
          <w:sz w:val="31"/>
          <w:szCs w:val="31"/>
          <w:highlight w:val="none"/>
        </w:rPr>
        <w:t>经双方协商，</w:t>
      </w:r>
      <w:r>
        <w:rPr>
          <w:rFonts w:hint="eastAsia" w:ascii="仿宋_GB2312" w:hAnsi="仿宋_GB2312" w:eastAsia="仿宋_GB2312" w:cs="仿宋_GB2312"/>
          <w:color w:val="000000"/>
          <w:sz w:val="31"/>
          <w:szCs w:val="31"/>
          <w:highlight w:val="none"/>
        </w:rPr>
        <w:t>本着平等互利和诚实信用的原则，</w:t>
      </w:r>
      <w:r>
        <w:rPr>
          <w:rFonts w:hint="eastAsia" w:ascii="仿宋_GB2312" w:hAnsi="仿宋_GB2312" w:eastAsia="仿宋_GB2312" w:cs="仿宋_GB2312"/>
          <w:color w:val="000000"/>
          <w:kern w:val="28"/>
          <w:sz w:val="31"/>
          <w:szCs w:val="31"/>
          <w:highlight w:val="none"/>
        </w:rPr>
        <w:t>一致同意签订本合同，共同遵守如下条款。</w:t>
      </w:r>
    </w:p>
    <w:p>
      <w:pPr>
        <w:spacing w:line="360" w:lineRule="auto"/>
        <w:ind w:firstLine="610" w:firstLineChars="196"/>
        <w:rPr>
          <w:rFonts w:hint="eastAsia" w:ascii="仿宋_GB2312" w:hAnsi="仿宋_GB2312" w:eastAsia="仿宋_GB2312" w:cs="仿宋_GB2312"/>
          <w:b/>
          <w:color w:val="000000"/>
          <w:sz w:val="31"/>
          <w:szCs w:val="31"/>
          <w:highlight w:val="none"/>
        </w:rPr>
      </w:pPr>
    </w:p>
    <w:p>
      <w:pPr>
        <w:spacing w:line="360" w:lineRule="auto"/>
        <w:ind w:firstLine="610" w:firstLineChars="196"/>
        <w:rPr>
          <w:rFonts w:hint="eastAsia" w:ascii="仿宋_GB2312" w:hAnsi="仿宋_GB2312" w:eastAsia="仿宋_GB2312" w:cs="仿宋_GB2312"/>
          <w:b/>
          <w:color w:val="000000"/>
          <w:sz w:val="31"/>
          <w:szCs w:val="31"/>
          <w:highlight w:val="none"/>
        </w:rPr>
      </w:pPr>
      <w:r>
        <w:rPr>
          <w:rFonts w:hint="eastAsia" w:ascii="仿宋_GB2312" w:hAnsi="仿宋_GB2312" w:eastAsia="仿宋_GB2312" w:cs="仿宋_GB2312"/>
          <w:b/>
          <w:color w:val="000000"/>
          <w:sz w:val="31"/>
          <w:szCs w:val="31"/>
          <w:highlight w:val="none"/>
        </w:rPr>
        <w:t xml:space="preserve">一、货物内容 </w:t>
      </w:r>
    </w:p>
    <w:tbl>
      <w:tblPr>
        <w:tblStyle w:val="9"/>
        <w:tblW w:w="83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110"/>
        <w:gridCol w:w="2250"/>
        <w:gridCol w:w="885"/>
        <w:gridCol w:w="870"/>
        <w:gridCol w:w="157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653" w:type="dxa"/>
            <w:tcBorders>
              <w:left w:val="single" w:color="auto" w:sz="8" w:space="0"/>
              <w:right w:val="single" w:color="auto" w:sz="4" w:space="0"/>
            </w:tcBorders>
            <w:noWrap w:val="0"/>
            <w:vAlign w:val="center"/>
          </w:tcPr>
          <w:p>
            <w:pPr>
              <w:spacing w:line="360" w:lineRule="auto"/>
              <w:ind w:left="178" w:leftChars="85"/>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序号</w:t>
            </w:r>
          </w:p>
        </w:tc>
        <w:tc>
          <w:tcPr>
            <w:tcW w:w="1110" w:type="dxa"/>
            <w:tcBorders>
              <w:left w:val="single" w:color="auto" w:sz="8" w:space="0"/>
              <w:right w:val="single" w:color="auto" w:sz="4" w:space="0"/>
            </w:tcBorders>
            <w:noWrap w:val="0"/>
            <w:vAlign w:val="center"/>
          </w:tcPr>
          <w:p>
            <w:pPr>
              <w:spacing w:line="360" w:lineRule="auto"/>
              <w:ind w:left="178" w:leftChars="85"/>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商品名称</w:t>
            </w:r>
          </w:p>
        </w:tc>
        <w:tc>
          <w:tcPr>
            <w:tcW w:w="2250" w:type="dxa"/>
            <w:tcBorders>
              <w:left w:val="single" w:color="auto" w:sz="4" w:space="0"/>
              <w:bottom w:val="single" w:color="auto" w:sz="8" w:space="0"/>
              <w:right w:val="single" w:color="auto" w:sz="4" w:space="0"/>
            </w:tcBorders>
            <w:noWrap w:val="0"/>
            <w:vAlign w:val="center"/>
          </w:tcPr>
          <w:p>
            <w:pPr>
              <w:spacing w:line="360" w:lineRule="auto"/>
              <w:ind w:left="178" w:leftChars="85"/>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品牌、规格型号、配置（性能参数）</w:t>
            </w:r>
          </w:p>
        </w:tc>
        <w:tc>
          <w:tcPr>
            <w:tcW w:w="885" w:type="dxa"/>
            <w:tcBorders>
              <w:left w:val="single" w:color="auto" w:sz="4" w:space="0"/>
              <w:bottom w:val="single" w:color="auto" w:sz="8" w:space="0"/>
              <w:right w:val="single" w:color="auto" w:sz="4" w:space="0"/>
            </w:tcBorders>
            <w:noWrap w:val="0"/>
            <w:vAlign w:val="center"/>
          </w:tcPr>
          <w:p>
            <w:pPr>
              <w:spacing w:line="360" w:lineRule="auto"/>
              <w:ind w:left="178" w:leftChars="85"/>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产地</w:t>
            </w:r>
          </w:p>
        </w:tc>
        <w:tc>
          <w:tcPr>
            <w:tcW w:w="870" w:type="dxa"/>
            <w:tcBorders>
              <w:left w:val="single" w:color="auto" w:sz="4" w:space="0"/>
              <w:bottom w:val="single" w:color="auto" w:sz="8" w:space="0"/>
              <w:right w:val="single" w:color="auto" w:sz="4" w:space="0"/>
            </w:tcBorders>
            <w:noWrap w:val="0"/>
            <w:vAlign w:val="center"/>
          </w:tcPr>
          <w:p>
            <w:pPr>
              <w:spacing w:line="360" w:lineRule="auto"/>
              <w:ind w:left="178" w:leftChars="85"/>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数量</w:t>
            </w:r>
          </w:p>
        </w:tc>
        <w:tc>
          <w:tcPr>
            <w:tcW w:w="1575" w:type="dxa"/>
            <w:tcBorders>
              <w:left w:val="single" w:color="auto" w:sz="4" w:space="0"/>
              <w:bottom w:val="nil"/>
              <w:right w:val="single" w:color="auto" w:sz="8" w:space="0"/>
            </w:tcBorders>
            <w:noWrap w:val="0"/>
            <w:vAlign w:val="center"/>
          </w:tcPr>
          <w:p>
            <w:pPr>
              <w:spacing w:line="360" w:lineRule="auto"/>
              <w:ind w:left="178" w:leftChars="85"/>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数量(元)</w:t>
            </w:r>
          </w:p>
        </w:tc>
        <w:tc>
          <w:tcPr>
            <w:tcW w:w="990" w:type="dxa"/>
            <w:tcBorders>
              <w:left w:val="single" w:color="auto" w:sz="4" w:space="0"/>
              <w:bottom w:val="nil"/>
              <w:right w:val="single" w:color="auto" w:sz="8" w:space="0"/>
            </w:tcBorders>
            <w:noWrap w:val="0"/>
            <w:vAlign w:val="center"/>
          </w:tcPr>
          <w:p>
            <w:pPr>
              <w:spacing w:line="360" w:lineRule="auto"/>
              <w:ind w:left="178" w:leftChars="85"/>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653" w:type="dxa"/>
            <w:tcBorders>
              <w:left w:val="single" w:color="auto" w:sz="8" w:space="0"/>
              <w:right w:val="single" w:color="auto" w:sz="4" w:space="0"/>
            </w:tcBorders>
            <w:noWrap w:val="0"/>
            <w:vAlign w:val="center"/>
          </w:tcPr>
          <w:p>
            <w:pPr>
              <w:spacing w:line="360" w:lineRule="auto"/>
              <w:ind w:left="178" w:leftChars="85" w:firstLine="744" w:firstLineChars="240"/>
              <w:jc w:val="center"/>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1</w:t>
            </w:r>
          </w:p>
        </w:tc>
        <w:tc>
          <w:tcPr>
            <w:tcW w:w="1110" w:type="dxa"/>
            <w:tcBorders>
              <w:left w:val="single" w:color="auto" w:sz="8" w:space="0"/>
              <w:right w:val="single" w:color="auto" w:sz="4" w:space="0"/>
            </w:tcBorders>
            <w:noWrap w:val="0"/>
            <w:vAlign w:val="center"/>
          </w:tcPr>
          <w:p>
            <w:pPr>
              <w:spacing w:line="360" w:lineRule="auto"/>
              <w:ind w:left="178" w:leftChars="85" w:firstLine="744" w:firstLineChars="240"/>
              <w:rPr>
                <w:rFonts w:hint="eastAsia" w:ascii="仿宋_GB2312" w:hAnsi="仿宋_GB2312" w:eastAsia="仿宋_GB2312" w:cs="仿宋_GB2312"/>
                <w:color w:val="000000"/>
                <w:sz w:val="31"/>
                <w:szCs w:val="31"/>
                <w:highlight w:val="none"/>
              </w:rPr>
            </w:pPr>
          </w:p>
        </w:tc>
        <w:tc>
          <w:tcPr>
            <w:tcW w:w="2250" w:type="dxa"/>
            <w:tcBorders>
              <w:left w:val="single" w:color="auto" w:sz="4" w:space="0"/>
              <w:right w:val="single" w:color="auto" w:sz="4" w:space="0"/>
            </w:tcBorders>
            <w:noWrap w:val="0"/>
            <w:vAlign w:val="center"/>
          </w:tcPr>
          <w:p>
            <w:pPr>
              <w:spacing w:line="360" w:lineRule="auto"/>
              <w:ind w:left="178" w:leftChars="85" w:firstLine="744" w:firstLineChars="240"/>
              <w:rPr>
                <w:rFonts w:hint="eastAsia" w:ascii="仿宋_GB2312" w:hAnsi="仿宋_GB2312" w:eastAsia="仿宋_GB2312" w:cs="仿宋_GB2312"/>
                <w:color w:val="000000"/>
                <w:sz w:val="31"/>
                <w:szCs w:val="31"/>
                <w:highlight w:val="none"/>
              </w:rPr>
            </w:pPr>
          </w:p>
        </w:tc>
        <w:tc>
          <w:tcPr>
            <w:tcW w:w="885" w:type="dxa"/>
            <w:tcBorders>
              <w:left w:val="single" w:color="auto" w:sz="4" w:space="0"/>
              <w:bottom w:val="single" w:color="auto" w:sz="8" w:space="0"/>
              <w:right w:val="single" w:color="auto" w:sz="4" w:space="0"/>
            </w:tcBorders>
            <w:noWrap w:val="0"/>
            <w:vAlign w:val="center"/>
          </w:tcPr>
          <w:p>
            <w:pPr>
              <w:spacing w:line="360" w:lineRule="auto"/>
              <w:ind w:left="178" w:leftChars="85" w:firstLine="744" w:firstLineChars="240"/>
              <w:rPr>
                <w:rFonts w:hint="eastAsia" w:ascii="仿宋_GB2312" w:hAnsi="仿宋_GB2312" w:eastAsia="仿宋_GB2312" w:cs="仿宋_GB2312"/>
                <w:color w:val="000000"/>
                <w:sz w:val="31"/>
                <w:szCs w:val="31"/>
                <w:highlight w:val="none"/>
              </w:rPr>
            </w:pPr>
          </w:p>
        </w:tc>
        <w:tc>
          <w:tcPr>
            <w:tcW w:w="870" w:type="dxa"/>
            <w:tcBorders>
              <w:left w:val="single" w:color="auto" w:sz="4" w:space="0"/>
              <w:bottom w:val="single" w:color="auto" w:sz="8" w:space="0"/>
              <w:right w:val="single" w:color="auto" w:sz="4" w:space="0"/>
            </w:tcBorders>
            <w:noWrap w:val="0"/>
            <w:vAlign w:val="center"/>
          </w:tcPr>
          <w:p>
            <w:pPr>
              <w:spacing w:line="360" w:lineRule="auto"/>
              <w:ind w:left="178" w:leftChars="85" w:firstLine="744" w:firstLineChars="240"/>
              <w:rPr>
                <w:rFonts w:hint="eastAsia" w:ascii="仿宋_GB2312" w:hAnsi="仿宋_GB2312" w:eastAsia="仿宋_GB2312" w:cs="仿宋_GB2312"/>
                <w:color w:val="000000"/>
                <w:sz w:val="31"/>
                <w:szCs w:val="31"/>
                <w:highlight w:val="none"/>
              </w:rPr>
            </w:pPr>
          </w:p>
        </w:tc>
        <w:tc>
          <w:tcPr>
            <w:tcW w:w="1575" w:type="dxa"/>
            <w:tcBorders>
              <w:left w:val="single" w:color="auto" w:sz="4" w:space="0"/>
              <w:bottom w:val="nil"/>
              <w:right w:val="single" w:color="auto" w:sz="8" w:space="0"/>
            </w:tcBorders>
            <w:noWrap w:val="0"/>
            <w:vAlign w:val="center"/>
          </w:tcPr>
          <w:p>
            <w:pPr>
              <w:spacing w:line="360" w:lineRule="auto"/>
              <w:ind w:left="178" w:leftChars="85" w:firstLine="744" w:firstLineChars="240"/>
              <w:rPr>
                <w:rFonts w:hint="eastAsia" w:ascii="仿宋_GB2312" w:hAnsi="仿宋_GB2312" w:eastAsia="仿宋_GB2312" w:cs="仿宋_GB2312"/>
                <w:color w:val="000000"/>
                <w:sz w:val="31"/>
                <w:szCs w:val="31"/>
                <w:highlight w:val="none"/>
              </w:rPr>
            </w:pPr>
          </w:p>
        </w:tc>
        <w:tc>
          <w:tcPr>
            <w:tcW w:w="990" w:type="dxa"/>
            <w:tcBorders>
              <w:left w:val="single" w:color="auto" w:sz="4" w:space="0"/>
              <w:bottom w:val="nil"/>
              <w:right w:val="single" w:color="auto" w:sz="8" w:space="0"/>
            </w:tcBorders>
            <w:noWrap w:val="0"/>
            <w:vAlign w:val="center"/>
          </w:tcPr>
          <w:p>
            <w:pPr>
              <w:spacing w:line="360" w:lineRule="auto"/>
              <w:ind w:left="178" w:leftChars="85" w:firstLine="744" w:firstLineChars="240"/>
              <w:rPr>
                <w:rFonts w:hint="eastAsia" w:ascii="仿宋_GB2312" w:hAnsi="仿宋_GB2312" w:eastAsia="仿宋_GB2312" w:cs="仿宋_GB2312"/>
                <w:color w:val="000000"/>
                <w:sz w:val="31"/>
                <w:szCs w:val="3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653" w:type="dxa"/>
            <w:tcBorders>
              <w:left w:val="single" w:color="auto" w:sz="8" w:space="0"/>
              <w:right w:val="single" w:color="auto" w:sz="4" w:space="0"/>
            </w:tcBorders>
            <w:noWrap w:val="0"/>
            <w:vAlign w:val="center"/>
          </w:tcPr>
          <w:p>
            <w:pPr>
              <w:spacing w:line="360" w:lineRule="auto"/>
              <w:ind w:left="178" w:leftChars="85" w:firstLine="744" w:firstLineChars="240"/>
              <w:jc w:val="center"/>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2</w:t>
            </w:r>
          </w:p>
        </w:tc>
        <w:tc>
          <w:tcPr>
            <w:tcW w:w="1110" w:type="dxa"/>
            <w:tcBorders>
              <w:left w:val="single" w:color="auto" w:sz="8" w:space="0"/>
              <w:right w:val="single" w:color="auto" w:sz="4" w:space="0"/>
            </w:tcBorders>
            <w:noWrap w:val="0"/>
            <w:vAlign w:val="center"/>
          </w:tcPr>
          <w:p>
            <w:pPr>
              <w:spacing w:line="360" w:lineRule="auto"/>
              <w:ind w:left="178" w:leftChars="85" w:firstLine="744" w:firstLineChars="240"/>
              <w:rPr>
                <w:rFonts w:hint="eastAsia" w:ascii="仿宋_GB2312" w:hAnsi="仿宋_GB2312" w:eastAsia="仿宋_GB2312" w:cs="仿宋_GB2312"/>
                <w:color w:val="000000"/>
                <w:sz w:val="31"/>
                <w:szCs w:val="31"/>
                <w:highlight w:val="none"/>
              </w:rPr>
            </w:pPr>
          </w:p>
        </w:tc>
        <w:tc>
          <w:tcPr>
            <w:tcW w:w="2250" w:type="dxa"/>
            <w:tcBorders>
              <w:left w:val="single" w:color="auto" w:sz="4" w:space="0"/>
              <w:right w:val="single" w:color="auto" w:sz="4" w:space="0"/>
            </w:tcBorders>
            <w:noWrap w:val="0"/>
            <w:vAlign w:val="center"/>
          </w:tcPr>
          <w:p>
            <w:pPr>
              <w:spacing w:line="360" w:lineRule="auto"/>
              <w:ind w:left="178" w:leftChars="85" w:firstLine="744" w:firstLineChars="240"/>
              <w:rPr>
                <w:rFonts w:hint="eastAsia" w:ascii="仿宋_GB2312" w:hAnsi="仿宋_GB2312" w:eastAsia="仿宋_GB2312" w:cs="仿宋_GB2312"/>
                <w:color w:val="000000"/>
                <w:sz w:val="31"/>
                <w:szCs w:val="31"/>
                <w:highlight w:val="none"/>
              </w:rPr>
            </w:pPr>
          </w:p>
        </w:tc>
        <w:tc>
          <w:tcPr>
            <w:tcW w:w="885" w:type="dxa"/>
            <w:tcBorders>
              <w:left w:val="single" w:color="auto" w:sz="4" w:space="0"/>
              <w:bottom w:val="single" w:color="auto" w:sz="8" w:space="0"/>
              <w:right w:val="single" w:color="auto" w:sz="4" w:space="0"/>
            </w:tcBorders>
            <w:noWrap w:val="0"/>
            <w:vAlign w:val="center"/>
          </w:tcPr>
          <w:p>
            <w:pPr>
              <w:spacing w:line="360" w:lineRule="auto"/>
              <w:ind w:left="178" w:leftChars="85" w:firstLine="744" w:firstLineChars="240"/>
              <w:rPr>
                <w:rFonts w:hint="eastAsia" w:ascii="仿宋_GB2312" w:hAnsi="仿宋_GB2312" w:eastAsia="仿宋_GB2312" w:cs="仿宋_GB2312"/>
                <w:color w:val="000000"/>
                <w:sz w:val="31"/>
                <w:szCs w:val="31"/>
                <w:highlight w:val="none"/>
              </w:rPr>
            </w:pPr>
          </w:p>
        </w:tc>
        <w:tc>
          <w:tcPr>
            <w:tcW w:w="870" w:type="dxa"/>
            <w:tcBorders>
              <w:left w:val="single" w:color="auto" w:sz="4" w:space="0"/>
              <w:bottom w:val="single" w:color="auto" w:sz="8" w:space="0"/>
              <w:right w:val="single" w:color="auto" w:sz="4" w:space="0"/>
            </w:tcBorders>
            <w:noWrap w:val="0"/>
            <w:vAlign w:val="center"/>
          </w:tcPr>
          <w:p>
            <w:pPr>
              <w:spacing w:line="360" w:lineRule="auto"/>
              <w:ind w:left="178" w:leftChars="85" w:firstLine="744" w:firstLineChars="240"/>
              <w:rPr>
                <w:rFonts w:hint="eastAsia" w:ascii="仿宋_GB2312" w:hAnsi="仿宋_GB2312" w:eastAsia="仿宋_GB2312" w:cs="仿宋_GB2312"/>
                <w:color w:val="000000"/>
                <w:sz w:val="31"/>
                <w:szCs w:val="31"/>
                <w:highlight w:val="none"/>
              </w:rPr>
            </w:pPr>
          </w:p>
        </w:tc>
        <w:tc>
          <w:tcPr>
            <w:tcW w:w="1575" w:type="dxa"/>
            <w:tcBorders>
              <w:left w:val="single" w:color="auto" w:sz="4" w:space="0"/>
              <w:bottom w:val="nil"/>
              <w:right w:val="single" w:color="auto" w:sz="8" w:space="0"/>
            </w:tcBorders>
            <w:noWrap w:val="0"/>
            <w:vAlign w:val="center"/>
          </w:tcPr>
          <w:p>
            <w:pPr>
              <w:spacing w:line="360" w:lineRule="auto"/>
              <w:ind w:left="178" w:leftChars="85" w:firstLine="744" w:firstLineChars="240"/>
              <w:rPr>
                <w:rFonts w:hint="eastAsia" w:ascii="仿宋_GB2312" w:hAnsi="仿宋_GB2312" w:eastAsia="仿宋_GB2312" w:cs="仿宋_GB2312"/>
                <w:color w:val="000000"/>
                <w:sz w:val="31"/>
                <w:szCs w:val="31"/>
                <w:highlight w:val="none"/>
              </w:rPr>
            </w:pPr>
          </w:p>
        </w:tc>
        <w:tc>
          <w:tcPr>
            <w:tcW w:w="990" w:type="dxa"/>
            <w:tcBorders>
              <w:left w:val="single" w:color="auto" w:sz="4" w:space="0"/>
              <w:bottom w:val="nil"/>
              <w:right w:val="single" w:color="auto" w:sz="8" w:space="0"/>
            </w:tcBorders>
            <w:noWrap w:val="0"/>
            <w:vAlign w:val="center"/>
          </w:tcPr>
          <w:p>
            <w:pPr>
              <w:spacing w:line="360" w:lineRule="auto"/>
              <w:ind w:left="178" w:leftChars="85" w:firstLine="744" w:firstLineChars="240"/>
              <w:rPr>
                <w:rFonts w:hint="eastAsia" w:ascii="仿宋_GB2312" w:hAnsi="仿宋_GB2312" w:eastAsia="仿宋_GB2312" w:cs="仿宋_GB2312"/>
                <w:color w:val="000000"/>
                <w:sz w:val="31"/>
                <w:szCs w:val="3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653" w:type="dxa"/>
            <w:tcBorders>
              <w:left w:val="single" w:color="auto" w:sz="8" w:space="0"/>
              <w:right w:val="single" w:color="auto" w:sz="4" w:space="0"/>
            </w:tcBorders>
            <w:noWrap w:val="0"/>
            <w:vAlign w:val="center"/>
          </w:tcPr>
          <w:p>
            <w:pPr>
              <w:spacing w:line="360" w:lineRule="auto"/>
              <w:ind w:left="178" w:leftChars="85" w:firstLine="744" w:firstLineChars="240"/>
              <w:jc w:val="center"/>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3</w:t>
            </w:r>
          </w:p>
        </w:tc>
        <w:tc>
          <w:tcPr>
            <w:tcW w:w="1110" w:type="dxa"/>
            <w:tcBorders>
              <w:left w:val="single" w:color="auto" w:sz="8" w:space="0"/>
              <w:right w:val="single" w:color="auto" w:sz="4" w:space="0"/>
            </w:tcBorders>
            <w:noWrap w:val="0"/>
            <w:vAlign w:val="center"/>
          </w:tcPr>
          <w:p>
            <w:pPr>
              <w:spacing w:line="360" w:lineRule="auto"/>
              <w:ind w:left="178" w:leftChars="85" w:firstLine="744" w:firstLineChars="240"/>
              <w:rPr>
                <w:rFonts w:hint="eastAsia" w:ascii="仿宋_GB2312" w:hAnsi="仿宋_GB2312" w:eastAsia="仿宋_GB2312" w:cs="仿宋_GB2312"/>
                <w:color w:val="000000"/>
                <w:sz w:val="31"/>
                <w:szCs w:val="31"/>
                <w:highlight w:val="none"/>
              </w:rPr>
            </w:pPr>
          </w:p>
        </w:tc>
        <w:tc>
          <w:tcPr>
            <w:tcW w:w="2250" w:type="dxa"/>
            <w:tcBorders>
              <w:left w:val="single" w:color="auto" w:sz="4" w:space="0"/>
              <w:right w:val="single" w:color="auto" w:sz="4" w:space="0"/>
            </w:tcBorders>
            <w:noWrap w:val="0"/>
            <w:vAlign w:val="center"/>
          </w:tcPr>
          <w:p>
            <w:pPr>
              <w:spacing w:line="360" w:lineRule="auto"/>
              <w:ind w:left="178" w:leftChars="85" w:firstLine="744" w:firstLineChars="240"/>
              <w:rPr>
                <w:rFonts w:hint="eastAsia" w:ascii="仿宋_GB2312" w:hAnsi="仿宋_GB2312" w:eastAsia="仿宋_GB2312" w:cs="仿宋_GB2312"/>
                <w:color w:val="000000"/>
                <w:sz w:val="31"/>
                <w:szCs w:val="31"/>
                <w:highlight w:val="none"/>
              </w:rPr>
            </w:pPr>
          </w:p>
        </w:tc>
        <w:tc>
          <w:tcPr>
            <w:tcW w:w="885" w:type="dxa"/>
            <w:tcBorders>
              <w:left w:val="single" w:color="auto" w:sz="4" w:space="0"/>
              <w:bottom w:val="single" w:color="auto" w:sz="8" w:space="0"/>
              <w:right w:val="single" w:color="auto" w:sz="4" w:space="0"/>
            </w:tcBorders>
            <w:noWrap w:val="0"/>
            <w:vAlign w:val="center"/>
          </w:tcPr>
          <w:p>
            <w:pPr>
              <w:spacing w:line="360" w:lineRule="auto"/>
              <w:ind w:left="178" w:leftChars="85" w:firstLine="744" w:firstLineChars="240"/>
              <w:rPr>
                <w:rFonts w:hint="eastAsia" w:ascii="仿宋_GB2312" w:hAnsi="仿宋_GB2312" w:eastAsia="仿宋_GB2312" w:cs="仿宋_GB2312"/>
                <w:color w:val="000000"/>
                <w:sz w:val="31"/>
                <w:szCs w:val="31"/>
                <w:highlight w:val="none"/>
              </w:rPr>
            </w:pPr>
          </w:p>
        </w:tc>
        <w:tc>
          <w:tcPr>
            <w:tcW w:w="870" w:type="dxa"/>
            <w:tcBorders>
              <w:left w:val="single" w:color="auto" w:sz="4" w:space="0"/>
              <w:bottom w:val="single" w:color="auto" w:sz="8" w:space="0"/>
              <w:right w:val="single" w:color="auto" w:sz="4" w:space="0"/>
            </w:tcBorders>
            <w:noWrap w:val="0"/>
            <w:vAlign w:val="center"/>
          </w:tcPr>
          <w:p>
            <w:pPr>
              <w:spacing w:line="360" w:lineRule="auto"/>
              <w:ind w:left="178" w:leftChars="85" w:firstLine="744" w:firstLineChars="240"/>
              <w:rPr>
                <w:rFonts w:hint="eastAsia" w:ascii="仿宋_GB2312" w:hAnsi="仿宋_GB2312" w:eastAsia="仿宋_GB2312" w:cs="仿宋_GB2312"/>
                <w:color w:val="000000"/>
                <w:sz w:val="31"/>
                <w:szCs w:val="31"/>
                <w:highlight w:val="none"/>
              </w:rPr>
            </w:pPr>
          </w:p>
        </w:tc>
        <w:tc>
          <w:tcPr>
            <w:tcW w:w="1575" w:type="dxa"/>
            <w:tcBorders>
              <w:left w:val="single" w:color="auto" w:sz="4" w:space="0"/>
              <w:bottom w:val="nil"/>
              <w:right w:val="single" w:color="auto" w:sz="8" w:space="0"/>
            </w:tcBorders>
            <w:noWrap w:val="0"/>
            <w:vAlign w:val="center"/>
          </w:tcPr>
          <w:p>
            <w:pPr>
              <w:spacing w:line="360" w:lineRule="auto"/>
              <w:ind w:left="178" w:leftChars="85" w:firstLine="744" w:firstLineChars="240"/>
              <w:rPr>
                <w:rFonts w:hint="eastAsia" w:ascii="仿宋_GB2312" w:hAnsi="仿宋_GB2312" w:eastAsia="仿宋_GB2312" w:cs="仿宋_GB2312"/>
                <w:color w:val="000000"/>
                <w:sz w:val="31"/>
                <w:szCs w:val="31"/>
                <w:highlight w:val="none"/>
              </w:rPr>
            </w:pPr>
          </w:p>
        </w:tc>
        <w:tc>
          <w:tcPr>
            <w:tcW w:w="990" w:type="dxa"/>
            <w:tcBorders>
              <w:left w:val="single" w:color="auto" w:sz="4" w:space="0"/>
              <w:bottom w:val="nil"/>
              <w:right w:val="single" w:color="auto" w:sz="8" w:space="0"/>
            </w:tcBorders>
            <w:noWrap w:val="0"/>
            <w:vAlign w:val="center"/>
          </w:tcPr>
          <w:p>
            <w:pPr>
              <w:spacing w:line="360" w:lineRule="auto"/>
              <w:ind w:left="178" w:leftChars="85" w:firstLine="744" w:firstLineChars="240"/>
              <w:rPr>
                <w:rFonts w:hint="eastAsia" w:ascii="仿宋_GB2312" w:hAnsi="仿宋_GB2312" w:eastAsia="仿宋_GB2312" w:cs="仿宋_GB2312"/>
                <w:color w:val="000000"/>
                <w:sz w:val="31"/>
                <w:szCs w:val="3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653" w:type="dxa"/>
            <w:tcBorders>
              <w:left w:val="single" w:color="auto" w:sz="8" w:space="0"/>
              <w:right w:val="single" w:color="auto" w:sz="4" w:space="0"/>
            </w:tcBorders>
            <w:noWrap w:val="0"/>
            <w:vAlign w:val="center"/>
          </w:tcPr>
          <w:p>
            <w:pPr>
              <w:spacing w:line="360" w:lineRule="auto"/>
              <w:ind w:left="178" w:leftChars="85" w:firstLine="744" w:firstLineChars="240"/>
              <w:jc w:val="center"/>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4</w:t>
            </w:r>
          </w:p>
        </w:tc>
        <w:tc>
          <w:tcPr>
            <w:tcW w:w="1110" w:type="dxa"/>
            <w:tcBorders>
              <w:left w:val="single" w:color="auto" w:sz="8" w:space="0"/>
              <w:right w:val="single" w:color="auto" w:sz="4" w:space="0"/>
            </w:tcBorders>
            <w:noWrap w:val="0"/>
            <w:vAlign w:val="center"/>
          </w:tcPr>
          <w:p>
            <w:pPr>
              <w:spacing w:line="360" w:lineRule="auto"/>
              <w:ind w:left="178" w:leftChars="85" w:firstLine="744" w:firstLineChars="240"/>
              <w:rPr>
                <w:rFonts w:hint="eastAsia" w:ascii="仿宋_GB2312" w:hAnsi="仿宋_GB2312" w:eastAsia="仿宋_GB2312" w:cs="仿宋_GB2312"/>
                <w:color w:val="000000"/>
                <w:sz w:val="31"/>
                <w:szCs w:val="31"/>
                <w:highlight w:val="none"/>
              </w:rPr>
            </w:pPr>
          </w:p>
        </w:tc>
        <w:tc>
          <w:tcPr>
            <w:tcW w:w="2250" w:type="dxa"/>
            <w:tcBorders>
              <w:left w:val="single" w:color="auto" w:sz="4" w:space="0"/>
              <w:right w:val="single" w:color="auto" w:sz="4" w:space="0"/>
            </w:tcBorders>
            <w:noWrap w:val="0"/>
            <w:vAlign w:val="center"/>
          </w:tcPr>
          <w:p>
            <w:pPr>
              <w:spacing w:line="360" w:lineRule="auto"/>
              <w:ind w:left="178" w:leftChars="85" w:firstLine="744" w:firstLineChars="240"/>
              <w:rPr>
                <w:rFonts w:hint="eastAsia" w:ascii="仿宋_GB2312" w:hAnsi="仿宋_GB2312" w:eastAsia="仿宋_GB2312" w:cs="仿宋_GB2312"/>
                <w:color w:val="000000"/>
                <w:sz w:val="31"/>
                <w:szCs w:val="31"/>
                <w:highlight w:val="none"/>
              </w:rPr>
            </w:pPr>
          </w:p>
        </w:tc>
        <w:tc>
          <w:tcPr>
            <w:tcW w:w="885" w:type="dxa"/>
            <w:tcBorders>
              <w:left w:val="single" w:color="auto" w:sz="4" w:space="0"/>
              <w:bottom w:val="single" w:color="auto" w:sz="8" w:space="0"/>
              <w:right w:val="single" w:color="auto" w:sz="4" w:space="0"/>
            </w:tcBorders>
            <w:noWrap w:val="0"/>
            <w:vAlign w:val="center"/>
          </w:tcPr>
          <w:p>
            <w:pPr>
              <w:spacing w:line="360" w:lineRule="auto"/>
              <w:ind w:left="178" w:leftChars="85" w:firstLine="744" w:firstLineChars="240"/>
              <w:rPr>
                <w:rFonts w:hint="eastAsia" w:ascii="仿宋_GB2312" w:hAnsi="仿宋_GB2312" w:eastAsia="仿宋_GB2312" w:cs="仿宋_GB2312"/>
                <w:color w:val="000000"/>
                <w:sz w:val="31"/>
                <w:szCs w:val="31"/>
                <w:highlight w:val="none"/>
              </w:rPr>
            </w:pPr>
          </w:p>
        </w:tc>
        <w:tc>
          <w:tcPr>
            <w:tcW w:w="870" w:type="dxa"/>
            <w:tcBorders>
              <w:left w:val="single" w:color="auto" w:sz="4" w:space="0"/>
              <w:bottom w:val="single" w:color="auto" w:sz="8" w:space="0"/>
              <w:right w:val="single" w:color="auto" w:sz="4" w:space="0"/>
            </w:tcBorders>
            <w:noWrap w:val="0"/>
            <w:vAlign w:val="center"/>
          </w:tcPr>
          <w:p>
            <w:pPr>
              <w:spacing w:line="360" w:lineRule="auto"/>
              <w:ind w:left="178" w:leftChars="85" w:firstLine="744" w:firstLineChars="240"/>
              <w:rPr>
                <w:rFonts w:hint="eastAsia" w:ascii="仿宋_GB2312" w:hAnsi="仿宋_GB2312" w:eastAsia="仿宋_GB2312" w:cs="仿宋_GB2312"/>
                <w:color w:val="000000"/>
                <w:sz w:val="31"/>
                <w:szCs w:val="31"/>
                <w:highlight w:val="none"/>
              </w:rPr>
            </w:pPr>
          </w:p>
        </w:tc>
        <w:tc>
          <w:tcPr>
            <w:tcW w:w="1575" w:type="dxa"/>
            <w:tcBorders>
              <w:left w:val="single" w:color="auto" w:sz="4" w:space="0"/>
              <w:bottom w:val="nil"/>
              <w:right w:val="single" w:color="auto" w:sz="8" w:space="0"/>
            </w:tcBorders>
            <w:noWrap w:val="0"/>
            <w:vAlign w:val="center"/>
          </w:tcPr>
          <w:p>
            <w:pPr>
              <w:spacing w:line="360" w:lineRule="auto"/>
              <w:ind w:left="178" w:leftChars="85" w:firstLine="744" w:firstLineChars="240"/>
              <w:rPr>
                <w:rFonts w:hint="eastAsia" w:ascii="仿宋_GB2312" w:hAnsi="仿宋_GB2312" w:eastAsia="仿宋_GB2312" w:cs="仿宋_GB2312"/>
                <w:color w:val="000000"/>
                <w:sz w:val="31"/>
                <w:szCs w:val="31"/>
                <w:highlight w:val="none"/>
              </w:rPr>
            </w:pPr>
          </w:p>
        </w:tc>
        <w:tc>
          <w:tcPr>
            <w:tcW w:w="990" w:type="dxa"/>
            <w:tcBorders>
              <w:left w:val="single" w:color="auto" w:sz="4" w:space="0"/>
              <w:bottom w:val="nil"/>
              <w:right w:val="single" w:color="auto" w:sz="8" w:space="0"/>
            </w:tcBorders>
            <w:noWrap w:val="0"/>
            <w:vAlign w:val="center"/>
          </w:tcPr>
          <w:p>
            <w:pPr>
              <w:spacing w:line="360" w:lineRule="auto"/>
              <w:ind w:left="178" w:leftChars="85" w:firstLine="744" w:firstLineChars="240"/>
              <w:rPr>
                <w:rFonts w:hint="eastAsia" w:ascii="仿宋_GB2312" w:hAnsi="仿宋_GB2312" w:eastAsia="仿宋_GB2312" w:cs="仿宋_GB2312"/>
                <w:color w:val="000000"/>
                <w:sz w:val="31"/>
                <w:szCs w:val="3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333" w:type="dxa"/>
            <w:gridSpan w:val="7"/>
            <w:tcBorders>
              <w:left w:val="single" w:color="auto" w:sz="8" w:space="0"/>
              <w:right w:val="single" w:color="auto" w:sz="8" w:space="0"/>
            </w:tcBorders>
            <w:noWrap w:val="0"/>
            <w:vAlign w:val="center"/>
          </w:tcPr>
          <w:p>
            <w:pPr>
              <w:spacing w:line="360" w:lineRule="auto"/>
              <w:ind w:left="178" w:leftChars="85" w:firstLine="744" w:firstLineChars="24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 xml:space="preserve">合计总额：￥       元；    大写：         </w:t>
            </w:r>
          </w:p>
        </w:tc>
      </w:tr>
    </w:tbl>
    <w:p>
      <w:pPr>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注：货物名称内容必须与投标文件中货物名称内容一致。</w:t>
      </w:r>
    </w:p>
    <w:p>
      <w:pPr>
        <w:spacing w:line="360" w:lineRule="auto"/>
        <w:ind w:left="178" w:leftChars="85" w:firstLine="747" w:firstLineChars="240"/>
        <w:rPr>
          <w:rFonts w:hint="eastAsia" w:ascii="仿宋_GB2312" w:hAnsi="仿宋_GB2312" w:eastAsia="仿宋_GB2312" w:cs="仿宋_GB2312"/>
          <w:b/>
          <w:color w:val="000000"/>
          <w:sz w:val="31"/>
          <w:szCs w:val="31"/>
          <w:highlight w:val="none"/>
        </w:rPr>
      </w:pPr>
    </w:p>
    <w:p>
      <w:pPr>
        <w:spacing w:line="360" w:lineRule="auto"/>
        <w:ind w:firstLine="622" w:firstLineChars="200"/>
        <w:rPr>
          <w:rFonts w:hint="eastAsia" w:ascii="仿宋_GB2312" w:hAnsi="仿宋_GB2312" w:eastAsia="仿宋_GB2312" w:cs="仿宋_GB2312"/>
          <w:b/>
          <w:color w:val="000000"/>
          <w:sz w:val="31"/>
          <w:szCs w:val="31"/>
          <w:highlight w:val="none"/>
        </w:rPr>
      </w:pPr>
      <w:r>
        <w:rPr>
          <w:rFonts w:hint="eastAsia" w:ascii="仿宋_GB2312" w:hAnsi="仿宋_GB2312" w:eastAsia="仿宋_GB2312" w:cs="仿宋_GB2312"/>
          <w:b/>
          <w:color w:val="000000"/>
          <w:sz w:val="31"/>
          <w:szCs w:val="31"/>
          <w:highlight w:val="none"/>
        </w:rPr>
        <w:t>二、合同金额</w:t>
      </w:r>
    </w:p>
    <w:p>
      <w:pPr>
        <w:pStyle w:val="6"/>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1、合同金额为：</w:t>
      </w:r>
      <w:r>
        <w:rPr>
          <w:rFonts w:hint="eastAsia" w:ascii="仿宋_GB2312" w:hAnsi="仿宋_GB2312" w:eastAsia="仿宋_GB2312" w:cs="仿宋_GB2312"/>
          <w:color w:val="000000"/>
          <w:sz w:val="31"/>
          <w:szCs w:val="31"/>
          <w:highlight w:val="none"/>
          <w:u w:val="single"/>
        </w:rPr>
        <w:t xml:space="preserve">         </w:t>
      </w:r>
      <w:r>
        <w:rPr>
          <w:rFonts w:hint="eastAsia" w:ascii="仿宋_GB2312" w:hAnsi="仿宋_GB2312" w:eastAsia="仿宋_GB2312" w:cs="仿宋_GB2312"/>
          <w:color w:val="000000"/>
          <w:sz w:val="31"/>
          <w:szCs w:val="31"/>
          <w:highlight w:val="none"/>
        </w:rPr>
        <w:t>元（大写</w:t>
      </w:r>
      <w:r>
        <w:rPr>
          <w:rFonts w:hint="eastAsia" w:ascii="仿宋_GB2312" w:hAnsi="仿宋_GB2312" w:eastAsia="仿宋_GB2312" w:cs="仿宋_GB2312"/>
          <w:color w:val="000000"/>
          <w:sz w:val="31"/>
          <w:szCs w:val="31"/>
          <w:highlight w:val="none"/>
          <w:u w:val="single"/>
        </w:rPr>
        <w:t xml:space="preserve">               </w:t>
      </w:r>
      <w:r>
        <w:rPr>
          <w:rFonts w:hint="eastAsia" w:ascii="仿宋_GB2312" w:hAnsi="仿宋_GB2312" w:eastAsia="仿宋_GB2312" w:cs="仿宋_GB2312"/>
          <w:color w:val="000000"/>
          <w:sz w:val="31"/>
          <w:szCs w:val="31"/>
          <w:highlight w:val="none"/>
        </w:rPr>
        <w:t>元）人民币。</w:t>
      </w:r>
    </w:p>
    <w:p>
      <w:pPr>
        <w:spacing w:line="360" w:lineRule="auto"/>
        <w:ind w:firstLine="744" w:firstLineChars="24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2、合同总额包括乙方设计、安装、随机零配件、标配工具、运输保险、调试、培训、质保期服务、各项税费及合同实施过程中不可预见费用等。</w:t>
      </w:r>
    </w:p>
    <w:p>
      <w:pPr>
        <w:pStyle w:val="6"/>
        <w:spacing w:line="360" w:lineRule="auto"/>
        <w:ind w:firstLine="744" w:firstLineChars="24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3、本合同价为固定不变价。</w:t>
      </w:r>
    </w:p>
    <w:p>
      <w:pPr>
        <w:spacing w:line="360" w:lineRule="auto"/>
        <w:ind w:left="178" w:leftChars="85" w:firstLine="747" w:firstLineChars="240"/>
        <w:rPr>
          <w:rFonts w:hint="eastAsia" w:ascii="仿宋_GB2312" w:hAnsi="仿宋_GB2312" w:eastAsia="仿宋_GB2312" w:cs="仿宋_GB2312"/>
          <w:b/>
          <w:color w:val="000000"/>
          <w:sz w:val="31"/>
          <w:szCs w:val="31"/>
          <w:highlight w:val="none"/>
        </w:rPr>
      </w:pPr>
    </w:p>
    <w:p>
      <w:pPr>
        <w:spacing w:line="360" w:lineRule="auto"/>
        <w:ind w:firstLine="622" w:firstLineChars="200"/>
        <w:rPr>
          <w:rFonts w:hint="eastAsia" w:ascii="仿宋_GB2312" w:hAnsi="仿宋_GB2312" w:eastAsia="仿宋_GB2312" w:cs="仿宋_GB2312"/>
          <w:b/>
          <w:color w:val="000000"/>
          <w:sz w:val="31"/>
          <w:szCs w:val="31"/>
          <w:highlight w:val="none"/>
        </w:rPr>
      </w:pPr>
      <w:r>
        <w:rPr>
          <w:rFonts w:hint="eastAsia" w:ascii="仿宋_GB2312" w:hAnsi="仿宋_GB2312" w:eastAsia="仿宋_GB2312" w:cs="仿宋_GB2312"/>
          <w:b/>
          <w:color w:val="000000"/>
          <w:sz w:val="31"/>
          <w:szCs w:val="31"/>
          <w:highlight w:val="none"/>
        </w:rPr>
        <w:t>三、设备要求</w:t>
      </w:r>
    </w:p>
    <w:p>
      <w:pPr>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1、货物为原制造商制造的全新产品，整机无污染，无侵权行为、表面无划损、无任何缺陷隐患，在中国境内可依常规安全合法使用。</w:t>
      </w:r>
    </w:p>
    <w:p>
      <w:pPr>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2、交付验收标准</w:t>
      </w:r>
      <w:r>
        <w:rPr>
          <w:rFonts w:hint="eastAsia" w:ascii="仿宋_GB2312" w:hAnsi="仿宋_GB2312" w:eastAsia="仿宋_GB2312" w:cs="仿宋_GB2312"/>
          <w:color w:val="000000"/>
          <w:sz w:val="31"/>
          <w:szCs w:val="31"/>
          <w:highlight w:val="none"/>
          <w:lang w:val="en-GB"/>
        </w:rPr>
        <w:t>依次序对照适用标准为：</w:t>
      </w:r>
      <w:r>
        <w:rPr>
          <w:rFonts w:hint="eastAsia" w:ascii="仿宋_GB2312" w:hAnsi="仿宋_GB2312" w:eastAsia="仿宋_GB2312" w:cs="仿宋_GB2312"/>
          <w:color w:val="000000"/>
          <w:sz w:val="31"/>
          <w:szCs w:val="31"/>
          <w:highlight w:val="none"/>
        </w:rPr>
        <w:t xml:space="preserve">①符合中华人民共和国国家安全质量标准、环保标准或行业标准；②符合采购文件和响应承诺中甲方认可的合理最佳配置、参数及各项要求；③货物来源国官方标准。    </w:t>
      </w:r>
    </w:p>
    <w:p>
      <w:pPr>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3、进口产品必须具备原产地证明和商检局的检验证明及合法进货渠道证明。</w:t>
      </w:r>
    </w:p>
    <w:p>
      <w:pPr>
        <w:tabs>
          <w:tab w:val="left" w:pos="735"/>
        </w:tabs>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4、货物为原厂商未启封全新包装，具出厂合格证，序列号、包装箱号与出厂批号一致，并可追索查阅。</w:t>
      </w:r>
    </w:p>
    <w:p>
      <w:pPr>
        <w:tabs>
          <w:tab w:val="left" w:pos="360"/>
        </w:tabs>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5、乙方应将关键主机设备的用户手册、保修手册、有关单证资料及配备件、随机工具等交付给甲方，使用操作及安全须知等重要资料应附有中文说明。</w:t>
      </w:r>
    </w:p>
    <w:p>
      <w:pPr>
        <w:spacing w:line="360" w:lineRule="auto"/>
        <w:ind w:firstLine="622" w:firstLineChars="200"/>
        <w:rPr>
          <w:rFonts w:hint="eastAsia" w:ascii="仿宋_GB2312" w:hAnsi="仿宋_GB2312" w:eastAsia="仿宋_GB2312" w:cs="仿宋_GB2312"/>
          <w:b/>
          <w:color w:val="000000"/>
          <w:sz w:val="31"/>
          <w:szCs w:val="31"/>
          <w:highlight w:val="none"/>
        </w:rPr>
      </w:pPr>
    </w:p>
    <w:p>
      <w:pPr>
        <w:spacing w:line="360" w:lineRule="auto"/>
        <w:ind w:firstLine="622" w:firstLineChars="200"/>
        <w:rPr>
          <w:rFonts w:hint="eastAsia" w:ascii="仿宋_GB2312" w:hAnsi="仿宋_GB2312" w:eastAsia="仿宋_GB2312" w:cs="仿宋_GB2312"/>
          <w:b/>
          <w:color w:val="000000"/>
          <w:sz w:val="31"/>
          <w:szCs w:val="31"/>
          <w:highlight w:val="none"/>
        </w:rPr>
      </w:pPr>
      <w:r>
        <w:rPr>
          <w:rFonts w:hint="eastAsia" w:ascii="仿宋_GB2312" w:hAnsi="仿宋_GB2312" w:eastAsia="仿宋_GB2312" w:cs="仿宋_GB2312"/>
          <w:b/>
          <w:color w:val="000000"/>
          <w:sz w:val="31"/>
          <w:szCs w:val="31"/>
          <w:highlight w:val="none"/>
        </w:rPr>
        <w:t>四、交货期、交货方式及交货地点</w:t>
      </w:r>
    </w:p>
    <w:p>
      <w:pPr>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1、交货期：</w:t>
      </w:r>
      <w:r>
        <w:rPr>
          <w:rFonts w:hint="eastAsia" w:ascii="仿宋_GB2312" w:hAnsi="仿宋_GB2312" w:eastAsia="仿宋_GB2312" w:cs="仿宋_GB2312"/>
          <w:color w:val="000000"/>
          <w:sz w:val="31"/>
          <w:szCs w:val="31"/>
          <w:highlight w:val="none"/>
          <w:u w:val="single"/>
        </w:rPr>
        <w:t xml:space="preserve">               </w:t>
      </w:r>
    </w:p>
    <w:p>
      <w:pPr>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2、交货方式：</w:t>
      </w:r>
      <w:r>
        <w:rPr>
          <w:rFonts w:hint="eastAsia" w:ascii="仿宋_GB2312" w:hAnsi="仿宋_GB2312" w:eastAsia="仿宋_GB2312" w:cs="仿宋_GB2312"/>
          <w:color w:val="000000"/>
          <w:sz w:val="31"/>
          <w:szCs w:val="31"/>
          <w:highlight w:val="none"/>
          <w:u w:val="single"/>
        </w:rPr>
        <w:t xml:space="preserve">               </w:t>
      </w:r>
    </w:p>
    <w:p>
      <w:pPr>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 xml:space="preserve">3、交货地点： </w:t>
      </w:r>
      <w:r>
        <w:rPr>
          <w:rFonts w:hint="eastAsia" w:ascii="仿宋_GB2312" w:hAnsi="仿宋_GB2312" w:eastAsia="仿宋_GB2312" w:cs="仿宋_GB2312"/>
          <w:color w:val="000000"/>
          <w:sz w:val="31"/>
          <w:szCs w:val="31"/>
          <w:highlight w:val="none"/>
          <w:u w:val="single"/>
        </w:rPr>
        <w:t xml:space="preserve">               </w:t>
      </w:r>
    </w:p>
    <w:p>
      <w:pPr>
        <w:spacing w:line="360" w:lineRule="auto"/>
        <w:ind w:firstLine="622" w:firstLineChars="200"/>
        <w:rPr>
          <w:rFonts w:hint="eastAsia" w:ascii="仿宋_GB2312" w:hAnsi="仿宋_GB2312" w:eastAsia="仿宋_GB2312" w:cs="仿宋_GB2312"/>
          <w:b/>
          <w:color w:val="000000"/>
          <w:sz w:val="31"/>
          <w:szCs w:val="31"/>
          <w:highlight w:val="none"/>
        </w:rPr>
      </w:pPr>
    </w:p>
    <w:p>
      <w:pPr>
        <w:spacing w:line="360" w:lineRule="auto"/>
        <w:ind w:firstLine="622"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b/>
          <w:color w:val="000000"/>
          <w:sz w:val="31"/>
          <w:szCs w:val="31"/>
          <w:highlight w:val="none"/>
        </w:rPr>
        <w:t>五、付款方式</w:t>
      </w:r>
    </w:p>
    <w:p>
      <w:pPr>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由甲方按下列程序付款：</w:t>
      </w:r>
    </w:p>
    <w:p>
      <w:pPr>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1、预付款：本项目不设预付款。</w:t>
      </w:r>
    </w:p>
    <w:p>
      <w:pPr>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2、</w:t>
      </w:r>
      <w:r>
        <w:rPr>
          <w:rFonts w:hint="eastAsia" w:ascii="仿宋_GB2312" w:hAnsi="仿宋_GB2312" w:eastAsia="仿宋_GB2312" w:cs="仿宋_GB2312"/>
          <w:color w:val="000000"/>
          <w:sz w:val="31"/>
          <w:szCs w:val="31"/>
          <w:highlight w:val="none"/>
          <w:lang w:eastAsia="zh-CN"/>
        </w:rPr>
        <w:t>所有设备到货并验收合格后，乙方</w:t>
      </w:r>
      <w:r>
        <w:rPr>
          <w:rFonts w:hint="eastAsia" w:ascii="仿宋_GB2312" w:hAnsi="仿宋_GB2312" w:eastAsia="仿宋_GB2312" w:cs="仿宋_GB2312"/>
          <w:color w:val="000000"/>
          <w:sz w:val="31"/>
          <w:szCs w:val="31"/>
          <w:highlight w:val="none"/>
        </w:rPr>
        <w:t>向</w:t>
      </w:r>
      <w:r>
        <w:rPr>
          <w:rFonts w:hint="eastAsia" w:ascii="仿宋_GB2312" w:hAnsi="仿宋_GB2312" w:eastAsia="仿宋_GB2312" w:cs="仿宋_GB2312"/>
          <w:color w:val="000000"/>
          <w:sz w:val="31"/>
          <w:szCs w:val="31"/>
          <w:highlight w:val="none"/>
          <w:lang w:eastAsia="zh-CN"/>
        </w:rPr>
        <w:t>甲方</w:t>
      </w:r>
      <w:r>
        <w:rPr>
          <w:rFonts w:hint="eastAsia" w:ascii="仿宋_GB2312" w:hAnsi="仿宋_GB2312" w:eastAsia="仿宋_GB2312" w:cs="仿宋_GB2312"/>
          <w:color w:val="000000"/>
          <w:sz w:val="31"/>
          <w:szCs w:val="31"/>
          <w:highlight w:val="none"/>
        </w:rPr>
        <w:t>申请支付合同总额的</w:t>
      </w:r>
      <w:r>
        <w:rPr>
          <w:rFonts w:hint="eastAsia" w:ascii="仿宋_GB2312" w:hAnsi="仿宋_GB2312" w:eastAsia="仿宋_GB2312" w:cs="仿宋_GB2312"/>
          <w:color w:val="000000"/>
          <w:sz w:val="31"/>
          <w:szCs w:val="31"/>
          <w:highlight w:val="none"/>
          <w:lang w:val="en-US" w:eastAsia="zh-CN"/>
        </w:rPr>
        <w:t>80</w:t>
      </w:r>
      <w:r>
        <w:rPr>
          <w:rFonts w:hint="eastAsia" w:ascii="仿宋_GB2312" w:hAnsi="仿宋_GB2312" w:eastAsia="仿宋_GB2312" w:cs="仿宋_GB2312"/>
          <w:color w:val="000000"/>
          <w:sz w:val="31"/>
          <w:szCs w:val="31"/>
          <w:highlight w:val="none"/>
        </w:rPr>
        <w:t>%</w:t>
      </w:r>
      <w:r>
        <w:rPr>
          <w:rFonts w:hint="eastAsia" w:ascii="仿宋_GB2312" w:hAnsi="仿宋_GB2312" w:eastAsia="仿宋_GB2312" w:cs="仿宋_GB2312"/>
          <w:color w:val="000000"/>
          <w:sz w:val="31"/>
          <w:szCs w:val="31"/>
          <w:highlight w:val="none"/>
          <w:lang w:eastAsia="zh-CN"/>
        </w:rPr>
        <w:t>。设备验收合格并运行</w:t>
      </w:r>
      <w:r>
        <w:rPr>
          <w:rFonts w:hint="eastAsia" w:ascii="仿宋_GB2312" w:hAnsi="仿宋_GB2312" w:eastAsia="仿宋_GB2312" w:cs="仿宋_GB2312"/>
          <w:color w:val="000000"/>
          <w:sz w:val="31"/>
          <w:szCs w:val="31"/>
          <w:highlight w:val="none"/>
          <w:lang w:val="en-US" w:eastAsia="zh-CN"/>
        </w:rPr>
        <w:t>1个月后未出现不合格情况，乙方向甲方申请支付合同总额的20%。</w:t>
      </w:r>
    </w:p>
    <w:p>
      <w:pPr>
        <w:pStyle w:val="14"/>
        <w:spacing w:line="360" w:lineRule="auto"/>
        <w:ind w:firstLine="620" w:firstLineChars="200"/>
        <w:rPr>
          <w:rFonts w:hint="eastAsia" w:ascii="仿宋_GB2312" w:hAnsi="仿宋_GB2312" w:eastAsia="仿宋_GB2312" w:cs="仿宋_GB2312"/>
          <w:color w:val="000000"/>
          <w:szCs w:val="31"/>
          <w:highlight w:val="none"/>
        </w:rPr>
      </w:pPr>
      <w:r>
        <w:rPr>
          <w:rFonts w:hint="eastAsia" w:ascii="仿宋_GB2312" w:hAnsi="仿宋_GB2312" w:eastAsia="仿宋_GB2312" w:cs="仿宋_GB2312"/>
          <w:color w:val="000000"/>
          <w:szCs w:val="31"/>
          <w:highlight w:val="none"/>
        </w:rPr>
        <w:t>备注：收款单位必须是签订合同的乙方单位，不能委托其分公司或者合同以外的其他公司代为收取款项。</w:t>
      </w:r>
    </w:p>
    <w:p>
      <w:pPr>
        <w:spacing w:line="360" w:lineRule="auto"/>
        <w:ind w:firstLine="622" w:firstLineChars="200"/>
        <w:rPr>
          <w:rFonts w:hint="eastAsia" w:ascii="仿宋_GB2312" w:hAnsi="仿宋_GB2312" w:eastAsia="仿宋_GB2312" w:cs="仿宋_GB2312"/>
          <w:b/>
          <w:color w:val="000000"/>
          <w:sz w:val="31"/>
          <w:szCs w:val="31"/>
          <w:highlight w:val="none"/>
        </w:rPr>
      </w:pPr>
    </w:p>
    <w:p>
      <w:pPr>
        <w:spacing w:line="360" w:lineRule="auto"/>
        <w:ind w:firstLine="622" w:firstLineChars="200"/>
        <w:rPr>
          <w:rFonts w:hint="eastAsia" w:ascii="仿宋_GB2312" w:hAnsi="仿宋_GB2312" w:eastAsia="仿宋_GB2312" w:cs="仿宋_GB2312"/>
          <w:b/>
          <w:color w:val="000000"/>
          <w:sz w:val="31"/>
          <w:szCs w:val="31"/>
          <w:highlight w:val="none"/>
        </w:rPr>
      </w:pPr>
      <w:r>
        <w:rPr>
          <w:rFonts w:hint="eastAsia" w:ascii="仿宋_GB2312" w:hAnsi="仿宋_GB2312" w:eastAsia="仿宋_GB2312" w:cs="仿宋_GB2312"/>
          <w:b/>
          <w:color w:val="000000"/>
          <w:sz w:val="31"/>
          <w:szCs w:val="31"/>
          <w:highlight w:val="none"/>
        </w:rPr>
        <w:t>六、质保期及售后服务要求</w:t>
      </w:r>
    </w:p>
    <w:p>
      <w:pPr>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1、本合同的质量保证期（简称“质保期”）为</w:t>
      </w:r>
      <w:r>
        <w:rPr>
          <w:rFonts w:hint="eastAsia" w:ascii="仿宋_GB2312" w:hAnsi="仿宋_GB2312" w:eastAsia="仿宋_GB2312" w:cs="仿宋_GB2312"/>
          <w:color w:val="000000"/>
          <w:sz w:val="31"/>
          <w:szCs w:val="31"/>
          <w:highlight w:val="none"/>
          <w:u w:val="single"/>
        </w:rPr>
        <w:t xml:space="preserve">     </w:t>
      </w:r>
      <w:r>
        <w:rPr>
          <w:rFonts w:hint="eastAsia" w:ascii="仿宋_GB2312" w:hAnsi="仿宋_GB2312" w:eastAsia="仿宋_GB2312" w:cs="仿宋_GB2312"/>
          <w:color w:val="000000"/>
          <w:sz w:val="31"/>
          <w:szCs w:val="31"/>
          <w:highlight w:val="none"/>
        </w:rPr>
        <w:t>年，质保期自甲、乙双方在设备验收单上签字之日起计算。质保期内乙方对所供货物实行包修、包换、包退、包维护保养，并承担修理、调换或退货的实际费用。乙方不能修理或不能调换，均按不能交货处理，乙方应退回100%设备款。期满后可同时提供终身</w:t>
      </w:r>
      <w:r>
        <w:rPr>
          <w:rFonts w:hint="eastAsia" w:ascii="仿宋_GB2312" w:hAnsi="仿宋_GB2312" w:eastAsia="仿宋_GB2312" w:cs="仿宋_GB2312"/>
          <w:color w:val="000000"/>
          <w:sz w:val="31"/>
          <w:szCs w:val="31"/>
          <w:highlight w:val="none"/>
          <w:u w:val="single"/>
        </w:rPr>
        <w:t>（免费/有偿）</w:t>
      </w:r>
      <w:r>
        <w:rPr>
          <w:rFonts w:hint="eastAsia" w:ascii="仿宋_GB2312" w:hAnsi="仿宋_GB2312" w:eastAsia="仿宋_GB2312" w:cs="仿宋_GB2312"/>
          <w:color w:val="000000"/>
          <w:sz w:val="31"/>
          <w:szCs w:val="31"/>
          <w:highlight w:val="none"/>
        </w:rPr>
        <w:t>维修保养服务。</w:t>
      </w:r>
    </w:p>
    <w:p>
      <w:pPr>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2、质保期内，如设备或零部件因非人为因素出现故障而造成短期停用时，则质保期和免费维修期相应顺延。如停用时间累计超过60天则质保期重新计算。</w:t>
      </w:r>
    </w:p>
    <w:p>
      <w:pPr>
        <w:pStyle w:val="2"/>
        <w:keepNext w:val="0"/>
        <w:keepLines w:val="0"/>
        <w:pageBreakBefore w:val="0"/>
        <w:widowControl w:val="0"/>
        <w:kinsoku/>
        <w:wordWrap/>
        <w:overflowPunct/>
        <w:topLinePunct w:val="0"/>
        <w:autoSpaceDE/>
        <w:autoSpaceDN/>
        <w:bidi w:val="0"/>
        <w:adjustRightInd/>
        <w:snapToGrid/>
        <w:spacing w:line="420" w:lineRule="exact"/>
        <w:ind w:firstLine="620" w:firstLineChars="200"/>
        <w:textAlignment w:val="auto"/>
        <w:rPr>
          <w:rFonts w:hint="eastAsia" w:ascii="仿宋_GB2312" w:hAnsi="仿宋_GB2312" w:eastAsia="仿宋_GB2312" w:cs="仿宋_GB2312"/>
          <w:color w:val="000000"/>
          <w:kern w:val="2"/>
          <w:sz w:val="31"/>
          <w:szCs w:val="31"/>
          <w:highlight w:val="none"/>
          <w:lang w:val="en-US" w:eastAsia="zh-CN" w:bidi="ar-SA"/>
        </w:rPr>
      </w:pPr>
      <w:r>
        <w:rPr>
          <w:rFonts w:hint="eastAsia" w:ascii="仿宋_GB2312" w:hAnsi="仿宋_GB2312" w:eastAsia="仿宋_GB2312" w:cs="仿宋_GB2312"/>
          <w:color w:val="000000"/>
          <w:sz w:val="31"/>
          <w:szCs w:val="31"/>
          <w:highlight w:val="none"/>
        </w:rPr>
        <w:t>3、</w:t>
      </w:r>
      <w:r>
        <w:rPr>
          <w:rFonts w:hint="eastAsia" w:ascii="仿宋_GB2312" w:hAnsi="仿宋_GB2312" w:eastAsia="仿宋_GB2312" w:cs="仿宋_GB2312"/>
          <w:color w:val="000000"/>
          <w:kern w:val="2"/>
          <w:sz w:val="31"/>
          <w:szCs w:val="31"/>
          <w:highlight w:val="none"/>
          <w:lang w:val="en-US" w:eastAsia="zh-CN" w:bidi="ar-SA"/>
        </w:rPr>
        <w:t>乙方必须明确承诺达到甲方的服务响应要求：在运行维护期内，提供 7×24 小时技术支持及维护服务，服务范围包括所有维护设备，并根据故障情况划分为三种现场处理级别：</w:t>
      </w:r>
    </w:p>
    <w:p>
      <w:pPr>
        <w:pStyle w:val="2"/>
        <w:keepNext w:val="0"/>
        <w:keepLines w:val="0"/>
        <w:pageBreakBefore w:val="0"/>
        <w:widowControl w:val="0"/>
        <w:kinsoku/>
        <w:wordWrap/>
        <w:overflowPunct/>
        <w:topLinePunct w:val="0"/>
        <w:autoSpaceDE/>
        <w:autoSpaceDN/>
        <w:bidi w:val="0"/>
        <w:adjustRightInd/>
        <w:snapToGrid/>
        <w:spacing w:line="420" w:lineRule="exact"/>
        <w:ind w:firstLine="620" w:firstLineChars="200"/>
        <w:textAlignment w:val="auto"/>
        <w:rPr>
          <w:rFonts w:hint="eastAsia" w:ascii="仿宋_GB2312" w:hAnsi="仿宋_GB2312" w:eastAsia="仿宋_GB2312" w:cs="仿宋_GB2312"/>
          <w:color w:val="000000"/>
          <w:kern w:val="2"/>
          <w:sz w:val="31"/>
          <w:szCs w:val="31"/>
          <w:highlight w:val="none"/>
          <w:lang w:val="en-US" w:eastAsia="zh-CN" w:bidi="ar-SA"/>
        </w:rPr>
      </w:pPr>
      <w:r>
        <w:rPr>
          <w:rFonts w:hint="eastAsia" w:ascii="仿宋_GB2312" w:hAnsi="仿宋_GB2312" w:eastAsia="仿宋_GB2312" w:cs="仿宋_GB2312"/>
          <w:color w:val="000000"/>
          <w:kern w:val="2"/>
          <w:sz w:val="31"/>
          <w:szCs w:val="31"/>
          <w:highlight w:val="none"/>
          <w:lang w:val="en-US" w:eastAsia="zh-CN" w:bidi="ar-SA"/>
        </w:rPr>
        <w:t>1 级：系统宕机，业务停止。处理方式：供应商在接到故障通知后，立即响应，1 小时内前往设备使用现场，4 小时内解决故障。硬件设备出现故障时，应进行紧急备件更换，保证采购人业务的正常运行。</w:t>
      </w:r>
    </w:p>
    <w:p>
      <w:pPr>
        <w:pStyle w:val="2"/>
        <w:keepNext w:val="0"/>
        <w:keepLines w:val="0"/>
        <w:pageBreakBefore w:val="0"/>
        <w:widowControl w:val="0"/>
        <w:kinsoku/>
        <w:wordWrap/>
        <w:overflowPunct/>
        <w:topLinePunct w:val="0"/>
        <w:autoSpaceDE/>
        <w:autoSpaceDN/>
        <w:bidi w:val="0"/>
        <w:adjustRightInd/>
        <w:snapToGrid/>
        <w:spacing w:line="420" w:lineRule="exact"/>
        <w:ind w:firstLine="620" w:firstLineChars="200"/>
        <w:textAlignment w:val="auto"/>
        <w:rPr>
          <w:rFonts w:hint="eastAsia" w:ascii="仿宋_GB2312" w:hAnsi="仿宋_GB2312" w:eastAsia="仿宋_GB2312" w:cs="仿宋_GB2312"/>
          <w:color w:val="000000"/>
          <w:kern w:val="2"/>
          <w:sz w:val="31"/>
          <w:szCs w:val="31"/>
          <w:highlight w:val="none"/>
          <w:lang w:val="en-US" w:eastAsia="zh-CN" w:bidi="ar-SA"/>
        </w:rPr>
      </w:pPr>
      <w:r>
        <w:rPr>
          <w:rFonts w:hint="eastAsia" w:ascii="仿宋_GB2312" w:hAnsi="仿宋_GB2312" w:eastAsia="仿宋_GB2312" w:cs="仿宋_GB2312"/>
          <w:color w:val="000000"/>
          <w:kern w:val="2"/>
          <w:sz w:val="31"/>
          <w:szCs w:val="31"/>
          <w:highlight w:val="none"/>
          <w:lang w:val="en-US" w:eastAsia="zh-CN" w:bidi="ar-SA"/>
        </w:rPr>
        <w:t>2 级：系统能够工作，但部分功能失效。性能下降，但不至中断业务。处理方式：供应商在接到故障通知后，半小时内响应，3 小时内前往现场，在 24 小时内解决故障。</w:t>
      </w:r>
    </w:p>
    <w:p>
      <w:pPr>
        <w:pStyle w:val="2"/>
        <w:keepNext w:val="0"/>
        <w:keepLines w:val="0"/>
        <w:pageBreakBefore w:val="0"/>
        <w:widowControl w:val="0"/>
        <w:kinsoku/>
        <w:wordWrap/>
        <w:overflowPunct/>
        <w:topLinePunct w:val="0"/>
        <w:autoSpaceDE/>
        <w:autoSpaceDN/>
        <w:bidi w:val="0"/>
        <w:adjustRightInd/>
        <w:snapToGrid/>
        <w:spacing w:line="420" w:lineRule="exact"/>
        <w:ind w:firstLine="620" w:firstLineChars="200"/>
        <w:textAlignment w:val="auto"/>
        <w:rPr>
          <w:rFonts w:hint="eastAsia" w:ascii="仿宋_GB2312" w:hAnsi="仿宋_GB2312" w:eastAsia="仿宋_GB2312" w:cs="仿宋_GB2312"/>
          <w:color w:val="000000"/>
          <w:kern w:val="2"/>
          <w:sz w:val="31"/>
          <w:szCs w:val="31"/>
          <w:highlight w:val="none"/>
          <w:lang w:val="en-US" w:eastAsia="zh-CN" w:bidi="ar-SA"/>
        </w:rPr>
      </w:pPr>
      <w:r>
        <w:rPr>
          <w:rFonts w:hint="eastAsia" w:ascii="仿宋_GB2312" w:hAnsi="仿宋_GB2312" w:eastAsia="仿宋_GB2312" w:cs="仿宋_GB2312"/>
          <w:color w:val="000000"/>
          <w:kern w:val="2"/>
          <w:sz w:val="31"/>
          <w:szCs w:val="31"/>
          <w:highlight w:val="none"/>
          <w:lang w:val="en-US" w:eastAsia="zh-CN" w:bidi="ar-SA"/>
        </w:rPr>
        <w:t>3 级：系统可以运行，但出现系统报错或出现问题。处理方式：供应商在接到故障通知后，1 小时内响应，3 个工作日内解决故障。</w:t>
      </w:r>
    </w:p>
    <w:p>
      <w:pPr>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4、乙方应提供交货地点所在地的设备报修电话及联系人。</w:t>
      </w:r>
    </w:p>
    <w:p>
      <w:pPr>
        <w:spacing w:line="360" w:lineRule="auto"/>
        <w:ind w:firstLine="747" w:firstLineChars="240"/>
        <w:rPr>
          <w:rFonts w:hint="eastAsia" w:ascii="仿宋_GB2312" w:hAnsi="仿宋_GB2312" w:eastAsia="仿宋_GB2312" w:cs="仿宋_GB2312"/>
          <w:b/>
          <w:color w:val="000000"/>
          <w:sz w:val="31"/>
          <w:szCs w:val="31"/>
          <w:highlight w:val="none"/>
        </w:rPr>
      </w:pPr>
    </w:p>
    <w:p>
      <w:pPr>
        <w:spacing w:line="360" w:lineRule="auto"/>
        <w:ind w:firstLine="622" w:firstLineChars="200"/>
        <w:rPr>
          <w:rFonts w:hint="eastAsia" w:ascii="仿宋_GB2312" w:hAnsi="仿宋_GB2312" w:eastAsia="仿宋_GB2312" w:cs="仿宋_GB2312"/>
          <w:b/>
          <w:color w:val="000000"/>
          <w:sz w:val="31"/>
          <w:szCs w:val="31"/>
          <w:highlight w:val="none"/>
        </w:rPr>
      </w:pPr>
      <w:r>
        <w:rPr>
          <w:rFonts w:hint="eastAsia" w:ascii="仿宋_GB2312" w:hAnsi="仿宋_GB2312" w:eastAsia="仿宋_GB2312" w:cs="仿宋_GB2312"/>
          <w:b/>
          <w:color w:val="000000"/>
          <w:sz w:val="31"/>
          <w:szCs w:val="31"/>
          <w:highlight w:val="none"/>
        </w:rPr>
        <w:t>七、安装与调试</w:t>
      </w:r>
    </w:p>
    <w:p>
      <w:pPr>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乙方必须依照采购文件的要求和报价文件的承诺，将设备、系统安装并调试至正常运行的最佳状态。</w:t>
      </w:r>
    </w:p>
    <w:p>
      <w:pPr>
        <w:spacing w:line="360" w:lineRule="auto"/>
        <w:ind w:firstLine="622" w:firstLineChars="200"/>
        <w:rPr>
          <w:rFonts w:hint="eastAsia" w:ascii="仿宋_GB2312" w:hAnsi="仿宋_GB2312" w:eastAsia="仿宋_GB2312" w:cs="仿宋_GB2312"/>
          <w:b/>
          <w:bCs/>
          <w:color w:val="000000"/>
          <w:sz w:val="31"/>
          <w:szCs w:val="31"/>
          <w:highlight w:val="none"/>
        </w:rPr>
      </w:pPr>
    </w:p>
    <w:p>
      <w:pPr>
        <w:spacing w:line="360" w:lineRule="auto"/>
        <w:ind w:firstLine="622" w:firstLineChars="200"/>
        <w:rPr>
          <w:rFonts w:hint="eastAsia" w:ascii="仿宋_GB2312" w:hAnsi="仿宋_GB2312" w:eastAsia="仿宋_GB2312" w:cs="仿宋_GB2312"/>
          <w:b/>
          <w:bCs/>
          <w:color w:val="000000"/>
          <w:sz w:val="31"/>
          <w:szCs w:val="31"/>
          <w:highlight w:val="none"/>
        </w:rPr>
      </w:pPr>
      <w:r>
        <w:rPr>
          <w:rFonts w:hint="eastAsia" w:ascii="仿宋_GB2312" w:hAnsi="仿宋_GB2312" w:eastAsia="仿宋_GB2312" w:cs="仿宋_GB2312"/>
          <w:b/>
          <w:bCs/>
          <w:color w:val="000000"/>
          <w:sz w:val="31"/>
          <w:szCs w:val="31"/>
          <w:highlight w:val="none"/>
        </w:rPr>
        <w:t>八、验收</w:t>
      </w:r>
    </w:p>
    <w:p>
      <w:pPr>
        <w:tabs>
          <w:tab w:val="left" w:pos="900"/>
        </w:tabs>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 xml:space="preserve">1、货物若有国家标准按照国家标准验收，若无国家标准按行业标准验收，为原制造商制造的全新产品，整机无污染，无侵权行为、表面无划损、无任何缺陷隐患，在中国境内可依常规安全合法使用。 </w:t>
      </w:r>
    </w:p>
    <w:p>
      <w:pPr>
        <w:tabs>
          <w:tab w:val="left" w:pos="900"/>
        </w:tabs>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2、进口产品必须具备原产地证明和商检局的检验证明及合法进货渠道证明。评审小组在各投标人的报价有限期内有权要求投标人提供进口货物的报关单。</w:t>
      </w:r>
    </w:p>
    <w:p>
      <w:pPr>
        <w:tabs>
          <w:tab w:val="left" w:pos="900"/>
        </w:tabs>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3、货物为原厂商未启封全新包装，具出厂合格证，序列号、包装箱号与出厂批号一致，并可追索查阅。所有随设备的附件必须齐全。</w:t>
      </w:r>
    </w:p>
    <w:p>
      <w:pPr>
        <w:tabs>
          <w:tab w:val="left" w:pos="900"/>
        </w:tabs>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4、乙方应将关键主机设备的用户手册、保修手册、有关单证资料及配备件、随机工具等交付给甲方，使用操作及安全须知等重要资料应附有中文说明。</w:t>
      </w:r>
    </w:p>
    <w:p>
      <w:pPr>
        <w:tabs>
          <w:tab w:val="left" w:pos="900"/>
        </w:tabs>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5、甲方组成验收小组按国家有关规定、规范进行验收，必要时邀请相关的专业人员或机构参与验收。因货物质量问题发生争议时，由广东省或东莞市质量技术监督部门鉴定。货物符合质量技术标准的，鉴定费由甲方承担；否则鉴定费由乙方承担。</w:t>
      </w:r>
    </w:p>
    <w:p>
      <w:pPr>
        <w:tabs>
          <w:tab w:val="left" w:pos="900"/>
        </w:tabs>
        <w:spacing w:line="360" w:lineRule="auto"/>
        <w:ind w:firstLine="622" w:firstLineChars="200"/>
        <w:rPr>
          <w:rFonts w:hint="eastAsia" w:ascii="仿宋_GB2312" w:hAnsi="仿宋_GB2312" w:eastAsia="仿宋_GB2312" w:cs="仿宋_GB2312"/>
          <w:b/>
          <w:bCs/>
          <w:color w:val="000000"/>
          <w:sz w:val="31"/>
          <w:szCs w:val="31"/>
          <w:highlight w:val="none"/>
        </w:rPr>
      </w:pPr>
    </w:p>
    <w:p>
      <w:pPr>
        <w:tabs>
          <w:tab w:val="left" w:pos="900"/>
        </w:tabs>
        <w:spacing w:line="360" w:lineRule="auto"/>
        <w:ind w:firstLine="622" w:firstLineChars="200"/>
        <w:rPr>
          <w:rFonts w:hint="eastAsia" w:ascii="仿宋_GB2312" w:hAnsi="仿宋_GB2312" w:eastAsia="仿宋_GB2312" w:cs="仿宋_GB2312"/>
          <w:b/>
          <w:color w:val="000000"/>
          <w:sz w:val="31"/>
          <w:szCs w:val="31"/>
          <w:highlight w:val="none"/>
        </w:rPr>
      </w:pPr>
      <w:r>
        <w:rPr>
          <w:rFonts w:hint="eastAsia" w:ascii="仿宋_GB2312" w:hAnsi="仿宋_GB2312" w:eastAsia="仿宋_GB2312" w:cs="仿宋_GB2312"/>
          <w:b/>
          <w:bCs/>
          <w:color w:val="000000"/>
          <w:sz w:val="31"/>
          <w:szCs w:val="31"/>
          <w:highlight w:val="none"/>
        </w:rPr>
        <w:t>九、</w:t>
      </w:r>
      <w:r>
        <w:rPr>
          <w:rFonts w:hint="eastAsia" w:ascii="仿宋_GB2312" w:hAnsi="仿宋_GB2312" w:eastAsia="仿宋_GB2312" w:cs="仿宋_GB2312"/>
          <w:b/>
          <w:color w:val="000000"/>
          <w:sz w:val="31"/>
          <w:szCs w:val="31"/>
          <w:highlight w:val="none"/>
        </w:rPr>
        <w:t>违约责任与赔偿损失</w:t>
      </w:r>
    </w:p>
    <w:p>
      <w:pPr>
        <w:tabs>
          <w:tab w:val="left" w:pos="900"/>
        </w:tabs>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1、乙方交付的货物、工程/提供的服务不符合采购文件、报价文件或本合同规定的，甲方有权拒收，并且乙方须向甲方支付本合同总价5%的违约金。</w:t>
      </w:r>
    </w:p>
    <w:p>
      <w:pPr>
        <w:tabs>
          <w:tab w:val="left" w:pos="720"/>
          <w:tab w:val="left" w:pos="900"/>
        </w:tabs>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2、乙方未能按本合同规定的交货时间交付货物/提供服务的，从逾期之日起每日按本合同总价万分之二的数额向甲方支付违约金；逾期半个月以上的，甲方有权终止合同，由此造成的甲方经济损失由乙方承担。</w:t>
      </w:r>
    </w:p>
    <w:p>
      <w:pPr>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3、甲方无正当理由拒收货物/接受服务，到期拒付货物/服务款项的，甲方向乙方偿付本合同总价的5%的违约金。甲方逾期付款，则每日按本合同总价的万分之二向乙方偿付违约金。</w:t>
      </w:r>
    </w:p>
    <w:p>
      <w:pPr>
        <w:spacing w:line="360" w:lineRule="auto"/>
        <w:ind w:firstLine="620" w:firstLineChars="200"/>
        <w:rPr>
          <w:rFonts w:hint="eastAsia" w:ascii="仿宋_GB2312" w:hAnsi="仿宋_GB2312" w:eastAsia="仿宋_GB2312" w:cs="仿宋_GB2312"/>
          <w:bCs/>
          <w:color w:val="000000"/>
          <w:sz w:val="31"/>
          <w:szCs w:val="31"/>
          <w:highlight w:val="none"/>
        </w:rPr>
      </w:pPr>
      <w:r>
        <w:rPr>
          <w:rFonts w:hint="eastAsia" w:ascii="仿宋_GB2312" w:hAnsi="仿宋_GB2312" w:eastAsia="仿宋_GB2312" w:cs="仿宋_GB2312"/>
          <w:bCs/>
          <w:color w:val="000000"/>
          <w:sz w:val="31"/>
          <w:szCs w:val="31"/>
          <w:highlight w:val="none"/>
        </w:rPr>
        <w:t>4、</w:t>
      </w:r>
      <w:r>
        <w:rPr>
          <w:rFonts w:hint="eastAsia" w:ascii="仿宋_GB2312" w:hAnsi="仿宋_GB2312" w:eastAsia="仿宋_GB2312" w:cs="仿宋_GB2312"/>
          <w:color w:val="000000"/>
          <w:sz w:val="31"/>
          <w:szCs w:val="31"/>
          <w:highlight w:val="none"/>
        </w:rPr>
        <w:t>乙方所供货质量出现严重问题时，甲方有权解除合同，乙方除全额退还货款外，还应承担该货款20%的违约责任。</w:t>
      </w:r>
    </w:p>
    <w:p>
      <w:pPr>
        <w:spacing w:line="360" w:lineRule="auto"/>
        <w:ind w:firstLine="620" w:firstLineChars="200"/>
        <w:rPr>
          <w:rFonts w:hint="eastAsia" w:ascii="仿宋_GB2312" w:hAnsi="仿宋_GB2312" w:eastAsia="仿宋_GB2312" w:cs="仿宋_GB2312"/>
          <w:bCs/>
          <w:color w:val="000000"/>
          <w:sz w:val="31"/>
          <w:szCs w:val="31"/>
          <w:highlight w:val="none"/>
        </w:rPr>
      </w:pPr>
      <w:r>
        <w:rPr>
          <w:rFonts w:hint="eastAsia" w:ascii="仿宋_GB2312" w:hAnsi="仿宋_GB2312" w:eastAsia="仿宋_GB2312" w:cs="仿宋_GB2312"/>
          <w:bCs/>
          <w:color w:val="000000"/>
          <w:sz w:val="31"/>
          <w:szCs w:val="31"/>
          <w:highlight w:val="none"/>
        </w:rPr>
        <w:t>5、其它违约责任按《中华人民共和国民法典》处理。</w:t>
      </w:r>
    </w:p>
    <w:p>
      <w:pPr>
        <w:spacing w:line="360" w:lineRule="auto"/>
        <w:ind w:firstLine="744" w:firstLineChars="240"/>
        <w:rPr>
          <w:rFonts w:hint="eastAsia" w:ascii="仿宋_GB2312" w:hAnsi="仿宋_GB2312" w:eastAsia="仿宋_GB2312" w:cs="仿宋_GB2312"/>
          <w:bCs/>
          <w:color w:val="000000"/>
          <w:sz w:val="31"/>
          <w:szCs w:val="31"/>
          <w:highlight w:val="none"/>
        </w:rPr>
      </w:pPr>
    </w:p>
    <w:p>
      <w:pPr>
        <w:spacing w:line="360" w:lineRule="auto"/>
        <w:ind w:firstLine="622" w:firstLineChars="200"/>
        <w:rPr>
          <w:rFonts w:hint="eastAsia" w:ascii="仿宋_GB2312" w:hAnsi="仿宋_GB2312" w:eastAsia="仿宋_GB2312" w:cs="仿宋_GB2312"/>
          <w:b/>
          <w:color w:val="000000"/>
          <w:sz w:val="31"/>
          <w:szCs w:val="31"/>
          <w:highlight w:val="none"/>
        </w:rPr>
      </w:pPr>
      <w:r>
        <w:rPr>
          <w:rFonts w:hint="eastAsia" w:ascii="仿宋_GB2312" w:hAnsi="仿宋_GB2312" w:eastAsia="仿宋_GB2312" w:cs="仿宋_GB2312"/>
          <w:b/>
          <w:color w:val="000000"/>
          <w:sz w:val="31"/>
          <w:szCs w:val="31"/>
          <w:highlight w:val="none"/>
        </w:rPr>
        <w:t>十、争议的解决</w:t>
      </w:r>
    </w:p>
    <w:p>
      <w:pPr>
        <w:pStyle w:val="14"/>
        <w:spacing w:line="360" w:lineRule="auto"/>
        <w:ind w:firstLine="620" w:firstLineChars="200"/>
        <w:rPr>
          <w:rFonts w:hint="eastAsia" w:ascii="仿宋_GB2312" w:hAnsi="仿宋_GB2312" w:eastAsia="仿宋_GB2312" w:cs="仿宋_GB2312"/>
          <w:color w:val="000000"/>
          <w:szCs w:val="31"/>
          <w:highlight w:val="none"/>
        </w:rPr>
      </w:pPr>
      <w:r>
        <w:rPr>
          <w:rFonts w:hint="eastAsia" w:ascii="仿宋_GB2312" w:hAnsi="仿宋_GB2312" w:eastAsia="仿宋_GB2312" w:cs="仿宋_GB2312"/>
          <w:color w:val="000000"/>
          <w:szCs w:val="31"/>
          <w:highlight w:val="none"/>
        </w:rPr>
        <w:t>1、凡与本合同有关而引起的一切争议，甲乙双方应首先通过友好协商解决，如经协商后仍不能达成协议时，可向东莞市第一人民法院提出起诉。</w:t>
      </w:r>
    </w:p>
    <w:p>
      <w:pPr>
        <w:pStyle w:val="14"/>
        <w:spacing w:line="360" w:lineRule="auto"/>
        <w:ind w:firstLine="620" w:firstLineChars="200"/>
        <w:rPr>
          <w:rFonts w:hint="eastAsia" w:ascii="仿宋_GB2312" w:hAnsi="仿宋_GB2312" w:eastAsia="仿宋_GB2312" w:cs="仿宋_GB2312"/>
          <w:color w:val="000000"/>
          <w:szCs w:val="31"/>
          <w:highlight w:val="none"/>
        </w:rPr>
      </w:pPr>
      <w:r>
        <w:rPr>
          <w:rFonts w:hint="eastAsia" w:ascii="仿宋_GB2312" w:hAnsi="仿宋_GB2312" w:eastAsia="仿宋_GB2312" w:cs="仿宋_GB2312"/>
          <w:color w:val="000000"/>
          <w:szCs w:val="31"/>
          <w:highlight w:val="none"/>
        </w:rPr>
        <w:t>2、在法院审理期间，除提交法院审理的事项外，合同其他部分仍继续履行。</w:t>
      </w:r>
    </w:p>
    <w:p>
      <w:pPr>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3、本合同按照中华人民共和国的法律进行解释。</w:t>
      </w:r>
    </w:p>
    <w:p>
      <w:pPr>
        <w:spacing w:line="360" w:lineRule="auto"/>
        <w:ind w:firstLine="747" w:firstLineChars="240"/>
        <w:rPr>
          <w:rFonts w:hint="eastAsia" w:ascii="仿宋_GB2312" w:hAnsi="仿宋_GB2312" w:eastAsia="仿宋_GB2312" w:cs="仿宋_GB2312"/>
          <w:b/>
          <w:color w:val="000000"/>
          <w:sz w:val="31"/>
          <w:szCs w:val="31"/>
          <w:highlight w:val="none"/>
        </w:rPr>
      </w:pPr>
    </w:p>
    <w:p>
      <w:pPr>
        <w:spacing w:line="360" w:lineRule="auto"/>
        <w:ind w:firstLine="622" w:firstLineChars="200"/>
        <w:rPr>
          <w:rFonts w:hint="eastAsia" w:ascii="仿宋_GB2312" w:hAnsi="仿宋_GB2312" w:eastAsia="仿宋_GB2312" w:cs="仿宋_GB2312"/>
          <w:b/>
          <w:color w:val="000000"/>
          <w:sz w:val="31"/>
          <w:szCs w:val="31"/>
          <w:highlight w:val="none"/>
        </w:rPr>
      </w:pPr>
      <w:r>
        <w:rPr>
          <w:rFonts w:hint="eastAsia" w:ascii="仿宋_GB2312" w:hAnsi="仿宋_GB2312" w:eastAsia="仿宋_GB2312" w:cs="仿宋_GB2312"/>
          <w:b/>
          <w:color w:val="000000"/>
          <w:sz w:val="31"/>
          <w:szCs w:val="31"/>
          <w:highlight w:val="none"/>
        </w:rPr>
        <w:t>十一、不可抗力</w:t>
      </w:r>
    </w:p>
    <w:p>
      <w:pPr>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ind w:firstLine="622" w:firstLineChars="200"/>
        <w:rPr>
          <w:rFonts w:hint="eastAsia" w:ascii="仿宋_GB2312" w:hAnsi="仿宋_GB2312" w:eastAsia="仿宋_GB2312" w:cs="仿宋_GB2312"/>
          <w:b/>
          <w:color w:val="000000"/>
          <w:sz w:val="31"/>
          <w:szCs w:val="31"/>
          <w:highlight w:val="none"/>
        </w:rPr>
      </w:pPr>
    </w:p>
    <w:p>
      <w:pPr>
        <w:spacing w:line="360" w:lineRule="auto"/>
        <w:ind w:firstLine="622" w:firstLineChars="200"/>
        <w:rPr>
          <w:rFonts w:hint="eastAsia" w:ascii="仿宋_GB2312" w:hAnsi="仿宋_GB2312" w:eastAsia="仿宋_GB2312" w:cs="仿宋_GB2312"/>
          <w:b/>
          <w:color w:val="000000"/>
          <w:sz w:val="31"/>
          <w:szCs w:val="31"/>
          <w:highlight w:val="none"/>
        </w:rPr>
      </w:pPr>
      <w:r>
        <w:rPr>
          <w:rFonts w:hint="eastAsia" w:ascii="仿宋_GB2312" w:hAnsi="仿宋_GB2312" w:eastAsia="仿宋_GB2312" w:cs="仿宋_GB2312"/>
          <w:b/>
          <w:color w:val="000000"/>
          <w:sz w:val="31"/>
          <w:szCs w:val="31"/>
          <w:highlight w:val="none"/>
        </w:rPr>
        <w:t>十二、税费</w:t>
      </w:r>
    </w:p>
    <w:p>
      <w:pPr>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在中国境内、外发生的与本合同执行有关的一切税费均由乙方负担。</w:t>
      </w:r>
    </w:p>
    <w:p>
      <w:pPr>
        <w:spacing w:line="360" w:lineRule="auto"/>
        <w:ind w:firstLine="622" w:firstLineChars="200"/>
        <w:rPr>
          <w:rFonts w:hint="eastAsia" w:ascii="仿宋_GB2312" w:hAnsi="仿宋_GB2312" w:eastAsia="仿宋_GB2312" w:cs="仿宋_GB2312"/>
          <w:b/>
          <w:color w:val="000000"/>
          <w:sz w:val="31"/>
          <w:szCs w:val="31"/>
          <w:highlight w:val="none"/>
        </w:rPr>
      </w:pPr>
    </w:p>
    <w:p>
      <w:pPr>
        <w:spacing w:line="360" w:lineRule="auto"/>
        <w:ind w:firstLine="622" w:firstLineChars="200"/>
        <w:rPr>
          <w:rFonts w:hint="eastAsia" w:ascii="仿宋_GB2312" w:hAnsi="仿宋_GB2312" w:eastAsia="仿宋_GB2312" w:cs="仿宋_GB2312"/>
          <w:b/>
          <w:color w:val="000000"/>
          <w:sz w:val="31"/>
          <w:szCs w:val="31"/>
          <w:highlight w:val="none"/>
        </w:rPr>
      </w:pPr>
      <w:r>
        <w:rPr>
          <w:rFonts w:hint="eastAsia" w:ascii="仿宋_GB2312" w:hAnsi="仿宋_GB2312" w:eastAsia="仿宋_GB2312" w:cs="仿宋_GB2312"/>
          <w:b/>
          <w:color w:val="000000"/>
          <w:sz w:val="31"/>
          <w:szCs w:val="31"/>
          <w:highlight w:val="none"/>
        </w:rPr>
        <w:t>十三、其它</w:t>
      </w:r>
    </w:p>
    <w:p>
      <w:pPr>
        <w:spacing w:line="360" w:lineRule="auto"/>
        <w:ind w:firstLine="620" w:firstLineChars="200"/>
        <w:rPr>
          <w:rFonts w:hint="eastAsia" w:ascii="仿宋_GB2312" w:hAnsi="仿宋_GB2312" w:eastAsia="仿宋_GB2312" w:cs="仿宋_GB2312"/>
          <w:b/>
          <w:color w:val="000000"/>
          <w:sz w:val="31"/>
          <w:szCs w:val="31"/>
          <w:highlight w:val="none"/>
        </w:rPr>
      </w:pPr>
      <w:r>
        <w:rPr>
          <w:rFonts w:hint="eastAsia" w:ascii="仿宋_GB2312" w:hAnsi="仿宋_GB2312" w:eastAsia="仿宋_GB2312" w:cs="仿宋_GB2312"/>
          <w:color w:val="000000"/>
          <w:sz w:val="31"/>
          <w:szCs w:val="31"/>
          <w:highlight w:val="none"/>
        </w:rPr>
        <w:t>1、本合同所有附件、采购文件、投标文件、中标通知书均为合同的有效组成部分，与本合同具有同等法律效力。</w:t>
      </w:r>
    </w:p>
    <w:p>
      <w:pPr>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bCs/>
          <w:color w:val="000000"/>
          <w:sz w:val="31"/>
          <w:szCs w:val="31"/>
          <w:highlight w:val="none"/>
        </w:rPr>
        <w:t>2、</w:t>
      </w:r>
      <w:r>
        <w:rPr>
          <w:rFonts w:hint="eastAsia" w:ascii="仿宋_GB2312" w:hAnsi="仿宋_GB2312" w:eastAsia="仿宋_GB2312" w:cs="仿宋_GB2312"/>
          <w:color w:val="000000"/>
          <w:sz w:val="31"/>
          <w:szCs w:val="31"/>
          <w:highlight w:val="none"/>
        </w:rPr>
        <w:t>在执行本合同的过程中，所有经双方签署确认的文件（包括会议纪要、补充协议、往来信函）即成为本合同的有效组成部分。</w:t>
      </w:r>
    </w:p>
    <w:p>
      <w:pPr>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 xml:space="preserve">3、如一方地址、电话、传真号码有变更，应在变更当日内书面通知对方，否则，应承担相应责任。 </w:t>
      </w:r>
    </w:p>
    <w:p>
      <w:pPr>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4、除甲方事先书面同意外，乙方不得部分或全部转让其应履行的合同项下的义务。</w:t>
      </w:r>
    </w:p>
    <w:p>
      <w:pPr>
        <w:spacing w:line="360" w:lineRule="auto"/>
        <w:ind w:firstLine="622" w:firstLineChars="200"/>
        <w:rPr>
          <w:rFonts w:hint="eastAsia" w:ascii="仿宋_GB2312" w:hAnsi="仿宋_GB2312" w:eastAsia="仿宋_GB2312" w:cs="仿宋_GB2312"/>
          <w:b/>
          <w:color w:val="000000"/>
          <w:sz w:val="31"/>
          <w:szCs w:val="31"/>
          <w:highlight w:val="none"/>
        </w:rPr>
      </w:pPr>
    </w:p>
    <w:p>
      <w:pPr>
        <w:spacing w:line="360" w:lineRule="auto"/>
        <w:ind w:firstLine="622" w:firstLineChars="200"/>
        <w:rPr>
          <w:rFonts w:hint="eastAsia" w:ascii="仿宋_GB2312" w:hAnsi="仿宋_GB2312" w:eastAsia="仿宋_GB2312" w:cs="仿宋_GB2312"/>
          <w:b/>
          <w:color w:val="000000"/>
          <w:sz w:val="31"/>
          <w:szCs w:val="31"/>
          <w:highlight w:val="none"/>
        </w:rPr>
      </w:pPr>
      <w:r>
        <w:rPr>
          <w:rFonts w:hint="eastAsia" w:ascii="仿宋_GB2312" w:hAnsi="仿宋_GB2312" w:eastAsia="仿宋_GB2312" w:cs="仿宋_GB2312"/>
          <w:b/>
          <w:color w:val="000000"/>
          <w:sz w:val="31"/>
          <w:szCs w:val="31"/>
          <w:highlight w:val="none"/>
        </w:rPr>
        <w:t>十四、合同生效</w:t>
      </w:r>
    </w:p>
    <w:p>
      <w:pPr>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1、本合同在甲乙双方法人代表或其授权代表签字盖章后生效。</w:t>
      </w:r>
    </w:p>
    <w:p>
      <w:pPr>
        <w:spacing w:line="360" w:lineRule="auto"/>
        <w:ind w:firstLine="620" w:firstLineChars="2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2、合同一式</w:t>
      </w:r>
      <w:r>
        <w:rPr>
          <w:rFonts w:hint="eastAsia" w:ascii="仿宋_GB2312" w:hAnsi="仿宋_GB2312" w:eastAsia="仿宋_GB2312" w:cs="仿宋_GB2312"/>
          <w:color w:val="000000"/>
          <w:sz w:val="31"/>
          <w:szCs w:val="31"/>
          <w:highlight w:val="none"/>
          <w:u w:val="single"/>
        </w:rPr>
        <w:t xml:space="preserve">    </w:t>
      </w:r>
      <w:r>
        <w:rPr>
          <w:rFonts w:hint="eastAsia" w:ascii="仿宋_GB2312" w:hAnsi="仿宋_GB2312" w:eastAsia="仿宋_GB2312" w:cs="仿宋_GB2312"/>
          <w:color w:val="000000"/>
          <w:sz w:val="31"/>
          <w:szCs w:val="31"/>
          <w:highlight w:val="none"/>
        </w:rPr>
        <w:t>份，具有同等效力，由甲方持</w:t>
      </w:r>
      <w:r>
        <w:rPr>
          <w:rFonts w:hint="eastAsia" w:ascii="仿宋_GB2312" w:hAnsi="仿宋_GB2312" w:eastAsia="仿宋_GB2312" w:cs="仿宋_GB2312"/>
          <w:color w:val="000000"/>
          <w:sz w:val="31"/>
          <w:szCs w:val="31"/>
          <w:highlight w:val="none"/>
          <w:u w:val="single"/>
        </w:rPr>
        <w:t xml:space="preserve">   </w:t>
      </w:r>
      <w:r>
        <w:rPr>
          <w:rFonts w:hint="eastAsia" w:ascii="仿宋_GB2312" w:hAnsi="仿宋_GB2312" w:eastAsia="仿宋_GB2312" w:cs="仿宋_GB2312"/>
          <w:color w:val="000000"/>
          <w:sz w:val="31"/>
          <w:szCs w:val="31"/>
          <w:highlight w:val="none"/>
        </w:rPr>
        <w:t>份，乙方持</w:t>
      </w:r>
      <w:r>
        <w:rPr>
          <w:rFonts w:hint="eastAsia" w:ascii="仿宋_GB2312" w:hAnsi="仿宋_GB2312" w:eastAsia="仿宋_GB2312" w:cs="仿宋_GB2312"/>
          <w:color w:val="000000"/>
          <w:sz w:val="31"/>
          <w:szCs w:val="31"/>
          <w:highlight w:val="none"/>
          <w:u w:val="single"/>
        </w:rPr>
        <w:t xml:space="preserve">   </w:t>
      </w:r>
      <w:r>
        <w:rPr>
          <w:rFonts w:hint="eastAsia" w:ascii="仿宋_GB2312" w:hAnsi="仿宋_GB2312" w:eastAsia="仿宋_GB2312" w:cs="仿宋_GB2312"/>
          <w:color w:val="000000"/>
          <w:sz w:val="31"/>
          <w:szCs w:val="31"/>
          <w:highlight w:val="none"/>
        </w:rPr>
        <w:t>份。</w:t>
      </w:r>
    </w:p>
    <w:p>
      <w:pPr>
        <w:spacing w:before="240" w:beforeLines="100" w:line="360" w:lineRule="auto"/>
        <w:ind w:left="178" w:leftChars="85" w:firstLine="179" w:firstLineChars="58"/>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甲方（盖章）：               乙方（盖章）：</w:t>
      </w:r>
    </w:p>
    <w:p>
      <w:pPr>
        <w:spacing w:line="360" w:lineRule="auto"/>
        <w:ind w:left="178" w:leftChars="85" w:firstLine="179" w:firstLineChars="58"/>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 xml:space="preserve">代表：                      代表： </w:t>
      </w:r>
    </w:p>
    <w:p>
      <w:pPr>
        <w:spacing w:line="360" w:lineRule="auto"/>
        <w:ind w:left="178" w:leftChars="85" w:firstLine="4501" w:firstLineChars="1452"/>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开户名称：</w:t>
      </w:r>
    </w:p>
    <w:p>
      <w:pPr>
        <w:spacing w:line="360" w:lineRule="auto"/>
        <w:ind w:left="178" w:leftChars="85" w:firstLine="4501" w:firstLineChars="1452"/>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银行帐号：</w:t>
      </w:r>
    </w:p>
    <w:p>
      <w:pPr>
        <w:spacing w:line="360" w:lineRule="auto"/>
        <w:ind w:left="178" w:leftChars="85" w:firstLine="4501" w:firstLineChars="1452"/>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开 户 行：</w:t>
      </w:r>
    </w:p>
    <w:p>
      <w:pPr>
        <w:spacing w:line="360" w:lineRule="auto"/>
        <w:ind w:left="178" w:leftChars="85" w:firstLine="5084" w:firstLineChars="1640"/>
        <w:rPr>
          <w:rFonts w:hint="eastAsia" w:ascii="仿宋_GB2312" w:hAnsi="仿宋_GB2312" w:eastAsia="仿宋_GB2312" w:cs="仿宋_GB2312"/>
          <w:color w:val="000000"/>
          <w:sz w:val="31"/>
          <w:szCs w:val="31"/>
          <w:highlight w:val="none"/>
        </w:rPr>
      </w:pPr>
    </w:p>
    <w:p>
      <w:pPr>
        <w:spacing w:line="360" w:lineRule="auto"/>
        <w:ind w:left="178" w:leftChars="85" w:firstLine="3059" w:firstLineChars="987"/>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合同签订地点：</w:t>
      </w:r>
    </w:p>
    <w:p>
      <w:pPr>
        <w:spacing w:line="360" w:lineRule="auto"/>
        <w:ind w:firstLine="4030" w:firstLineChars="1300"/>
        <w:rPr>
          <w:rFonts w:hint="eastAsia" w:ascii="仿宋_GB2312" w:hAnsi="仿宋_GB2312" w:eastAsia="仿宋_GB2312" w:cs="仿宋_GB2312"/>
          <w:color w:val="000000"/>
          <w:sz w:val="31"/>
          <w:szCs w:val="31"/>
          <w:highlight w:val="none"/>
        </w:rPr>
      </w:pPr>
      <w:r>
        <w:rPr>
          <w:rFonts w:hint="eastAsia" w:ascii="仿宋_GB2312" w:hAnsi="仿宋_GB2312" w:eastAsia="仿宋_GB2312" w:cs="仿宋_GB2312"/>
          <w:color w:val="000000"/>
          <w:sz w:val="31"/>
          <w:szCs w:val="31"/>
          <w:highlight w:val="none"/>
        </w:rPr>
        <w:t>合同签订日期：年   月  日</w:t>
      </w:r>
    </w:p>
    <w:p>
      <w:pPr>
        <w:rPr>
          <w:rFonts w:hint="eastAsia" w:ascii="仿宋_GB2312" w:hAnsi="仿宋_GB2312" w:eastAsia="仿宋_GB2312" w:cs="仿宋_GB2312"/>
          <w:highlight w:val="none"/>
        </w:rPr>
      </w:pPr>
    </w:p>
    <w:p>
      <w:pPr>
        <w:ind w:firstLine="480"/>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 </w:t>
      </w:r>
    </w:p>
    <w:p>
      <w:pPr>
        <w:rPr>
          <w:rFonts w:hint="eastAsia" w:ascii="仿宋_GB2312" w:hAnsi="仿宋_GB2312" w:eastAsia="仿宋_GB2312" w:cs="仿宋_GB2312"/>
          <w:highlight w:val="none"/>
        </w:rPr>
      </w:pPr>
    </w:p>
    <w:p>
      <w:pPr>
        <w:rPr>
          <w:rFonts w:hint="eastAsia" w:ascii="仿宋_GB2312" w:hAnsi="仿宋_GB2312" w:eastAsia="仿宋_GB2312" w:cs="仿宋_GB2312"/>
          <w:b/>
          <w:sz w:val="36"/>
          <w:highlight w:val="none"/>
        </w:rPr>
      </w:pPr>
      <w:r>
        <w:rPr>
          <w:rFonts w:hint="eastAsia" w:ascii="仿宋_GB2312" w:hAnsi="仿宋_GB2312" w:eastAsia="仿宋_GB2312" w:cs="仿宋_GB2312"/>
          <w:b/>
          <w:sz w:val="36"/>
          <w:highlight w:val="none"/>
        </w:rPr>
        <w:br w:type="page"/>
      </w:r>
    </w:p>
    <w:p>
      <w:pPr>
        <w:jc w:val="center"/>
        <w:rPr>
          <w:rFonts w:hint="eastAsia" w:ascii="仿宋_GB2312" w:hAnsi="仿宋_GB2312" w:eastAsia="仿宋_GB2312" w:cs="仿宋_GB2312"/>
          <w:highlight w:val="none"/>
        </w:rPr>
      </w:pPr>
      <w:r>
        <w:rPr>
          <w:rFonts w:hint="eastAsia" w:ascii="仿宋_GB2312" w:hAnsi="仿宋_GB2312" w:eastAsia="仿宋_GB2312" w:cs="仿宋_GB2312"/>
          <w:b/>
          <w:sz w:val="36"/>
          <w:highlight w:val="none"/>
        </w:rPr>
        <w:t>第六章 响应文件格式与要求</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供应商应提交证明其有资格参加响应和成交后有能力履行合同的相关文件，并作为其响应文件的一部分，所有文件必须真实可靠、不得伪造，否则将按相关规定予以处罚。</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1.法人或者其他组织的营业执照等证明文件，自然人的身份证明：</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2.财务状况报告，依法缴纳税收和社会保障资金的相关材料（详见资格性审查表要求）</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3.具有履行合同所必须的设备和专业技术能力的声明。</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4.供应商参加政府采购前三年内在经营活动中没有重大违法记录声明函。</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5.信用记录查询</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（1）查询渠道：通过“信用中国”网站(www.creditchina.gov.cn)和“中国政府采购网”（www.ccgp.gov.cn）进行查询；</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（2）查询截止时点：提交响应文件响应截止日当天；</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（3）查询记录：对列入失信被执行人、重大税收违法案件当事人名单、政府采购严重违法失信行为记录名单、信用报告进行查询；</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6. 按照询价通知书要求，供应商应当提交的资格、资信证明文件。</w:t>
      </w:r>
    </w:p>
    <w:p>
      <w:pPr>
        <w:ind w:firstLine="480"/>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 </w:t>
      </w:r>
    </w:p>
    <w:p>
      <w:pPr>
        <w:rPr>
          <w:rFonts w:hint="eastAsia" w:ascii="仿宋_GB2312" w:hAnsi="仿宋_GB2312" w:eastAsia="仿宋_GB2312" w:cs="仿宋_GB2312"/>
          <w:highlight w:val="none"/>
        </w:rPr>
      </w:pPr>
    </w:p>
    <w:p>
      <w:pPr>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sz w:val="24"/>
          <w:highlight w:val="none"/>
        </w:rPr>
        <w:br w:type="page"/>
      </w:r>
      <w:r>
        <w:rPr>
          <w:rFonts w:hint="eastAsia" w:ascii="仿宋_GB2312" w:hAnsi="仿宋_GB2312" w:eastAsia="仿宋_GB2312" w:cs="仿宋_GB2312"/>
          <w:b/>
          <w:bCs/>
          <w:color w:val="000000"/>
          <w:sz w:val="24"/>
          <w:highlight w:val="none"/>
          <w:lang w:val="en-US" w:eastAsia="zh-CN"/>
        </w:rPr>
        <w:t xml:space="preserve">                            </w:t>
      </w:r>
      <w:r>
        <w:rPr>
          <w:rFonts w:hint="eastAsia" w:ascii="仿宋_GB2312" w:hAnsi="仿宋_GB2312" w:eastAsia="仿宋_GB2312" w:cs="仿宋_GB2312"/>
          <w:b/>
          <w:bCs/>
          <w:color w:val="000000"/>
          <w:sz w:val="24"/>
          <w:highlight w:val="none"/>
        </w:rPr>
        <w:t>唱标信封（单独密封）</w:t>
      </w:r>
    </w:p>
    <w:p>
      <w:pPr>
        <w:pStyle w:val="4"/>
        <w:tabs>
          <w:tab w:val="left" w:pos="5580"/>
        </w:tabs>
        <w:spacing w:line="240" w:lineRule="atLeast"/>
        <w:ind w:firstLine="528"/>
        <w:jc w:val="center"/>
        <w:outlineLvl w:val="9"/>
        <w:rPr>
          <w:rStyle w:val="12"/>
          <w:rFonts w:hint="eastAsia" w:ascii="仿宋_GB2312" w:hAnsi="仿宋_GB2312" w:eastAsia="仿宋_GB2312" w:cs="仿宋_GB2312"/>
          <w:b w:val="0"/>
          <w:color w:val="000000"/>
          <w:spacing w:val="12"/>
          <w:highlight w:val="none"/>
        </w:rPr>
      </w:pPr>
    </w:p>
    <w:p>
      <w:pPr>
        <w:pStyle w:val="4"/>
        <w:tabs>
          <w:tab w:val="left" w:pos="5580"/>
        </w:tabs>
        <w:spacing w:line="240" w:lineRule="atLeast"/>
        <w:ind w:firstLine="528"/>
        <w:jc w:val="center"/>
        <w:outlineLvl w:val="9"/>
        <w:rPr>
          <w:rStyle w:val="12"/>
          <w:rFonts w:hint="eastAsia" w:ascii="仿宋_GB2312" w:hAnsi="仿宋_GB2312" w:eastAsia="仿宋_GB2312" w:cs="仿宋_GB2312"/>
          <w:b w:val="0"/>
          <w:color w:val="000000"/>
          <w:spacing w:val="12"/>
          <w:highlight w:val="none"/>
        </w:rPr>
      </w:pPr>
    </w:p>
    <w:p>
      <w:pPr>
        <w:spacing w:line="400" w:lineRule="exact"/>
        <w:jc w:val="center"/>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sz w:val="24"/>
          <w:highlight w:val="none"/>
        </w:rPr>
        <w:t>报价表</w:t>
      </w:r>
    </w:p>
    <w:p>
      <w:pPr>
        <w:pStyle w:val="2"/>
        <w:rPr>
          <w:rFonts w:hint="eastAsia" w:ascii="仿宋_GB2312" w:hAnsi="仿宋_GB2312" w:eastAsia="仿宋_GB2312" w:cs="仿宋_GB2312"/>
          <w:color w:val="000000"/>
          <w:highlight w:val="none"/>
        </w:rPr>
      </w:pPr>
    </w:p>
    <w:p>
      <w:pPr>
        <w:pStyle w:val="2"/>
        <w:rPr>
          <w:rFonts w:hint="eastAsia" w:ascii="仿宋_GB2312" w:hAnsi="仿宋_GB2312" w:eastAsia="仿宋_GB2312" w:cs="仿宋_GB2312"/>
          <w:color w:val="000000"/>
          <w:highlight w:val="none"/>
        </w:rPr>
      </w:pPr>
    </w:p>
    <w:p>
      <w:pPr>
        <w:pStyle w:val="2"/>
        <w:rPr>
          <w:rFonts w:hint="eastAsia" w:ascii="仿宋_GB2312" w:hAnsi="仿宋_GB2312" w:eastAsia="仿宋_GB2312" w:cs="仿宋_GB2312"/>
          <w:b/>
          <w:color w:val="000000"/>
          <w:szCs w:val="21"/>
          <w:highlight w:val="none"/>
          <w:lang w:eastAsia="zh-CN"/>
        </w:rPr>
      </w:pPr>
      <w:r>
        <w:rPr>
          <w:rFonts w:hint="eastAsia" w:ascii="仿宋_GB2312" w:hAnsi="仿宋_GB2312" w:eastAsia="仿宋_GB2312" w:cs="仿宋_GB2312"/>
          <w:b/>
          <w:color w:val="000000"/>
          <w:szCs w:val="21"/>
          <w:highlight w:val="none"/>
        </w:rPr>
        <w:t>项目编号</w:t>
      </w:r>
      <w:r>
        <w:rPr>
          <w:rFonts w:hint="eastAsia" w:ascii="仿宋_GB2312" w:hAnsi="仿宋_GB2312" w:eastAsia="仿宋_GB2312" w:cs="仿宋_GB2312"/>
          <w:b/>
          <w:color w:val="000000"/>
          <w:szCs w:val="21"/>
          <w:highlight w:val="none"/>
          <w:lang w:eastAsia="zh-CN"/>
        </w:rPr>
        <w:t>：</w:t>
      </w:r>
    </w:p>
    <w:p>
      <w:pPr>
        <w:pStyle w:val="2"/>
        <w:rPr>
          <w:rFonts w:hint="eastAsia" w:ascii="仿宋_GB2312" w:hAnsi="仿宋_GB2312" w:eastAsia="仿宋_GB2312" w:cs="仿宋_GB2312"/>
          <w:b/>
          <w:color w:val="000000"/>
          <w:szCs w:val="21"/>
          <w:highlight w:val="none"/>
          <w:lang w:eastAsia="zh-CN"/>
        </w:rPr>
      </w:pPr>
      <w:r>
        <w:rPr>
          <w:rFonts w:hint="eastAsia" w:ascii="仿宋_GB2312" w:hAnsi="仿宋_GB2312" w:eastAsia="仿宋_GB2312" w:cs="仿宋_GB2312"/>
          <w:b/>
          <w:color w:val="000000"/>
          <w:szCs w:val="21"/>
          <w:highlight w:val="none"/>
        </w:rPr>
        <w:t>项目名称</w:t>
      </w:r>
      <w:r>
        <w:rPr>
          <w:rFonts w:hint="eastAsia" w:ascii="仿宋_GB2312" w:hAnsi="仿宋_GB2312" w:eastAsia="仿宋_GB2312" w:cs="仿宋_GB2312"/>
          <w:b/>
          <w:color w:val="000000"/>
          <w:szCs w:val="21"/>
          <w:highlight w:val="none"/>
          <w:lang w:eastAsia="zh-CN"/>
        </w:rPr>
        <w:t>：</w:t>
      </w: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41"/>
        <w:gridCol w:w="3477"/>
        <w:gridCol w:w="2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3941" w:type="dxa"/>
            <w:tcBorders>
              <w:top w:val="single" w:color="auto" w:sz="4" w:space="0"/>
              <w:left w:val="single" w:color="auto" w:sz="4" w:space="0"/>
              <w:right w:val="single" w:color="auto" w:sz="4" w:space="0"/>
            </w:tcBorders>
            <w:noWrap w:val="0"/>
            <w:vAlign w:val="center"/>
          </w:tcPr>
          <w:p>
            <w:pPr>
              <w:overflowPunct w:val="0"/>
              <w:adjustRightInd w:val="0"/>
              <w:spacing w:line="460" w:lineRule="exact"/>
              <w:jc w:val="center"/>
              <w:rPr>
                <w:rFonts w:hint="eastAsia" w:ascii="仿宋_GB2312" w:hAnsi="仿宋_GB2312" w:eastAsia="仿宋_GB2312" w:cs="仿宋_GB2312"/>
                <w:b/>
                <w:color w:val="000000"/>
                <w:szCs w:val="21"/>
                <w:highlight w:val="none"/>
                <w:lang w:eastAsia="zh-CN"/>
              </w:rPr>
            </w:pPr>
            <w:r>
              <w:rPr>
                <w:rFonts w:hint="eastAsia" w:ascii="仿宋_GB2312" w:hAnsi="仿宋_GB2312" w:eastAsia="仿宋_GB2312" w:cs="仿宋_GB2312"/>
                <w:b/>
                <w:color w:val="000000"/>
                <w:szCs w:val="21"/>
                <w:highlight w:val="none"/>
                <w:lang w:eastAsia="zh-CN"/>
              </w:rPr>
              <w:t>采购内容</w:t>
            </w:r>
          </w:p>
        </w:tc>
        <w:tc>
          <w:tcPr>
            <w:tcW w:w="3477" w:type="dxa"/>
            <w:tcBorders>
              <w:top w:val="single" w:color="auto" w:sz="4" w:space="0"/>
              <w:left w:val="single" w:color="auto" w:sz="4" w:space="0"/>
              <w:right w:val="single" w:color="auto" w:sz="4" w:space="0"/>
            </w:tcBorders>
            <w:noWrap w:val="0"/>
            <w:vAlign w:val="center"/>
          </w:tcPr>
          <w:p>
            <w:pPr>
              <w:overflowPunct w:val="0"/>
              <w:adjustRightInd w:val="0"/>
              <w:spacing w:line="460" w:lineRule="exact"/>
              <w:jc w:val="center"/>
              <w:rPr>
                <w:rFonts w:hint="eastAsia" w:ascii="仿宋_GB2312" w:hAnsi="仿宋_GB2312" w:eastAsia="仿宋_GB2312" w:cs="仿宋_GB2312"/>
                <w:b/>
                <w:color w:val="000000"/>
                <w:szCs w:val="21"/>
                <w:highlight w:val="none"/>
                <w:lang w:eastAsia="zh-CN"/>
              </w:rPr>
            </w:pPr>
            <w:r>
              <w:rPr>
                <w:rFonts w:hint="eastAsia" w:ascii="仿宋_GB2312" w:hAnsi="仿宋_GB2312" w:eastAsia="仿宋_GB2312" w:cs="仿宋_GB2312"/>
                <w:b/>
                <w:color w:val="000000"/>
                <w:szCs w:val="21"/>
                <w:highlight w:val="none"/>
              </w:rPr>
              <w:t>总报价小写（元）</w:t>
            </w:r>
          </w:p>
        </w:tc>
        <w:tc>
          <w:tcPr>
            <w:tcW w:w="2290"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pacing w:line="460" w:lineRule="exact"/>
              <w:jc w:val="center"/>
              <w:rPr>
                <w:rFonts w:hint="eastAsia" w:ascii="仿宋_GB2312" w:hAnsi="仿宋_GB2312" w:eastAsia="仿宋_GB2312" w:cs="仿宋_GB2312"/>
                <w:b/>
                <w:color w:val="000000"/>
                <w:szCs w:val="21"/>
                <w:highlight w:val="none"/>
                <w:lang w:eastAsia="zh-CN"/>
              </w:rPr>
            </w:pPr>
            <w:r>
              <w:rPr>
                <w:rFonts w:hint="eastAsia" w:ascii="仿宋_GB2312" w:hAnsi="仿宋_GB2312" w:eastAsia="仿宋_GB2312" w:cs="仿宋_GB2312"/>
                <w:b/>
                <w:color w:val="000000"/>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3941"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pacing w:line="460" w:lineRule="exact"/>
              <w:jc w:val="left"/>
              <w:rPr>
                <w:rFonts w:hint="eastAsia" w:ascii="仿宋_GB2312" w:hAnsi="仿宋_GB2312" w:eastAsia="仿宋_GB2312" w:cs="仿宋_GB2312"/>
                <w:color w:val="000000"/>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pacing w:line="460" w:lineRule="exact"/>
              <w:jc w:val="center"/>
              <w:rPr>
                <w:rFonts w:hint="eastAsia" w:ascii="仿宋_GB2312" w:hAnsi="仿宋_GB2312" w:eastAsia="仿宋_GB2312" w:cs="仿宋_GB2312"/>
                <w:color w:val="000000"/>
                <w:szCs w:val="21"/>
                <w:highlight w:val="none"/>
                <w:lang w:val="en-US" w:eastAsia="zh-CN"/>
              </w:rPr>
            </w:pPr>
          </w:p>
        </w:tc>
        <w:tc>
          <w:tcPr>
            <w:tcW w:w="2290"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pacing w:line="460" w:lineRule="exact"/>
              <w:jc w:val="center"/>
              <w:rPr>
                <w:rFonts w:hint="eastAsia" w:ascii="仿宋_GB2312" w:hAnsi="仿宋_GB2312" w:eastAsia="仿宋_GB2312" w:cs="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9708" w:type="dxa"/>
            <w:gridSpan w:val="3"/>
            <w:tcBorders>
              <w:top w:val="single" w:color="auto" w:sz="4" w:space="0"/>
              <w:left w:val="single" w:color="auto" w:sz="4" w:space="0"/>
              <w:right w:val="single" w:color="auto" w:sz="4" w:space="0"/>
            </w:tcBorders>
            <w:noWrap w:val="0"/>
            <w:vAlign w:val="center"/>
          </w:tcPr>
          <w:p>
            <w:pPr>
              <w:overflowPunct w:val="0"/>
              <w:adjustRightInd w:val="0"/>
              <w:spacing w:line="460" w:lineRule="exact"/>
              <w:jc w:val="left"/>
              <w:rPr>
                <w:rFonts w:hint="eastAsia" w:ascii="仿宋_GB2312" w:hAnsi="仿宋_GB2312" w:eastAsia="仿宋_GB2312" w:cs="仿宋_GB2312"/>
                <w:color w:val="000000"/>
                <w:szCs w:val="21"/>
                <w:highlight w:val="none"/>
                <w:lang w:eastAsia="zh-CN"/>
              </w:rPr>
            </w:pPr>
            <w:r>
              <w:rPr>
                <w:rFonts w:hint="eastAsia" w:ascii="仿宋_GB2312" w:hAnsi="仿宋_GB2312" w:eastAsia="仿宋_GB2312" w:cs="仿宋_GB2312"/>
                <w:b/>
                <w:color w:val="000000"/>
                <w:szCs w:val="21"/>
                <w:highlight w:val="none"/>
                <w:lang w:eastAsia="zh-CN"/>
              </w:rPr>
              <w:t>总报价大写：</w:t>
            </w:r>
          </w:p>
        </w:tc>
      </w:tr>
    </w:tbl>
    <w:p>
      <w:pPr>
        <w:spacing w:line="400" w:lineRule="exact"/>
        <w:jc w:val="left"/>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sz w:val="24"/>
          <w:highlight w:val="none"/>
        </w:rPr>
        <w:t xml:space="preserve">      </w:t>
      </w:r>
    </w:p>
    <w:p>
      <w:pPr>
        <w:pStyle w:val="2"/>
        <w:rPr>
          <w:rFonts w:hint="eastAsia" w:ascii="仿宋_GB2312" w:hAnsi="仿宋_GB2312" w:eastAsia="仿宋_GB2312" w:cs="仿宋_GB2312"/>
          <w:color w:val="000000"/>
          <w:highlight w:val="none"/>
        </w:rPr>
      </w:pPr>
    </w:p>
    <w:p>
      <w:pPr>
        <w:spacing w:line="400" w:lineRule="exact"/>
        <w:ind w:firstLine="480" w:firstLineChars="200"/>
        <w:jc w:val="left"/>
        <w:rPr>
          <w:rFonts w:hint="eastAsia" w:ascii="仿宋_GB2312" w:hAnsi="仿宋_GB2312" w:eastAsia="仿宋_GB2312" w:cs="仿宋_GB2312"/>
          <w:color w:val="000000"/>
          <w:sz w:val="24"/>
          <w:highlight w:val="none"/>
        </w:rPr>
      </w:pPr>
    </w:p>
    <w:tbl>
      <w:tblPr>
        <w:tblStyle w:val="9"/>
        <w:tblW w:w="0" w:type="auto"/>
        <w:tblInd w:w="0" w:type="dxa"/>
        <w:tblLayout w:type="fixed"/>
        <w:tblCellMar>
          <w:top w:w="0" w:type="dxa"/>
          <w:left w:w="108" w:type="dxa"/>
          <w:bottom w:w="0" w:type="dxa"/>
          <w:right w:w="108" w:type="dxa"/>
        </w:tblCellMar>
      </w:tblPr>
      <w:tblGrid>
        <w:gridCol w:w="5536"/>
        <w:gridCol w:w="2992"/>
      </w:tblGrid>
      <w:tr>
        <w:tblPrEx>
          <w:tblCellMar>
            <w:top w:w="0" w:type="dxa"/>
            <w:left w:w="108" w:type="dxa"/>
            <w:bottom w:w="0" w:type="dxa"/>
            <w:right w:w="108" w:type="dxa"/>
          </w:tblCellMar>
        </w:tblPrEx>
        <w:trPr>
          <w:trHeight w:val="545" w:hRule="atLeast"/>
        </w:trPr>
        <w:tc>
          <w:tcPr>
            <w:tcW w:w="5536" w:type="dxa"/>
            <w:noWrap w:val="0"/>
            <w:vAlign w:val="top"/>
          </w:tcPr>
          <w:p>
            <w:pPr>
              <w:spacing w:line="400" w:lineRule="exact"/>
              <w:jc w:val="left"/>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 xml:space="preserve">供应商名称（加盖公章）：                         </w:t>
            </w:r>
          </w:p>
        </w:tc>
        <w:tc>
          <w:tcPr>
            <w:tcW w:w="2992" w:type="dxa"/>
            <w:noWrap w:val="0"/>
            <w:vAlign w:val="top"/>
          </w:tcPr>
          <w:p>
            <w:pPr>
              <w:spacing w:line="400" w:lineRule="exact"/>
              <w:ind w:firstLine="480" w:firstLineChars="200"/>
              <w:jc w:val="left"/>
              <w:rPr>
                <w:rFonts w:hint="eastAsia" w:ascii="仿宋_GB2312" w:hAnsi="仿宋_GB2312" w:eastAsia="仿宋_GB2312" w:cs="仿宋_GB2312"/>
                <w:color w:val="000000"/>
                <w:sz w:val="24"/>
                <w:highlight w:val="none"/>
              </w:rPr>
            </w:pPr>
          </w:p>
        </w:tc>
      </w:tr>
      <w:tr>
        <w:tblPrEx>
          <w:tblCellMar>
            <w:top w:w="0" w:type="dxa"/>
            <w:left w:w="108" w:type="dxa"/>
            <w:bottom w:w="0" w:type="dxa"/>
            <w:right w:w="108" w:type="dxa"/>
          </w:tblCellMar>
        </w:tblPrEx>
        <w:trPr>
          <w:trHeight w:val="500" w:hRule="atLeast"/>
        </w:trPr>
        <w:tc>
          <w:tcPr>
            <w:tcW w:w="5536" w:type="dxa"/>
            <w:noWrap w:val="0"/>
            <w:vAlign w:val="top"/>
          </w:tcPr>
          <w:p>
            <w:pPr>
              <w:spacing w:line="400" w:lineRule="exact"/>
              <w:jc w:val="left"/>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 xml:space="preserve">法定代表人或受委托人（签名或盖私章）：     </w:t>
            </w:r>
          </w:p>
        </w:tc>
        <w:tc>
          <w:tcPr>
            <w:tcW w:w="2992" w:type="dxa"/>
            <w:noWrap w:val="0"/>
            <w:vAlign w:val="top"/>
          </w:tcPr>
          <w:p>
            <w:pPr>
              <w:spacing w:line="400" w:lineRule="exact"/>
              <w:ind w:firstLine="480" w:firstLineChars="200"/>
              <w:jc w:val="left"/>
              <w:rPr>
                <w:rFonts w:hint="eastAsia" w:ascii="仿宋_GB2312" w:hAnsi="仿宋_GB2312" w:eastAsia="仿宋_GB2312" w:cs="仿宋_GB2312"/>
                <w:color w:val="000000"/>
                <w:sz w:val="24"/>
                <w:highlight w:val="none"/>
              </w:rPr>
            </w:pPr>
          </w:p>
        </w:tc>
      </w:tr>
      <w:tr>
        <w:tblPrEx>
          <w:tblCellMar>
            <w:top w:w="0" w:type="dxa"/>
            <w:left w:w="108" w:type="dxa"/>
            <w:bottom w:w="0" w:type="dxa"/>
            <w:right w:w="108" w:type="dxa"/>
          </w:tblCellMar>
        </w:tblPrEx>
        <w:tc>
          <w:tcPr>
            <w:tcW w:w="5536" w:type="dxa"/>
            <w:noWrap w:val="0"/>
            <w:vAlign w:val="top"/>
          </w:tcPr>
          <w:p>
            <w:pPr>
              <w:spacing w:line="400" w:lineRule="exact"/>
              <w:jc w:val="left"/>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日期：   年   月   日</w:t>
            </w:r>
          </w:p>
        </w:tc>
        <w:tc>
          <w:tcPr>
            <w:tcW w:w="2992" w:type="dxa"/>
            <w:noWrap w:val="0"/>
            <w:vAlign w:val="top"/>
          </w:tcPr>
          <w:p>
            <w:pPr>
              <w:spacing w:line="400" w:lineRule="exact"/>
              <w:ind w:firstLine="480" w:firstLineChars="200"/>
              <w:jc w:val="left"/>
              <w:rPr>
                <w:rFonts w:hint="eastAsia" w:ascii="仿宋_GB2312" w:hAnsi="仿宋_GB2312" w:eastAsia="仿宋_GB2312" w:cs="仿宋_GB2312"/>
                <w:color w:val="000000"/>
                <w:sz w:val="24"/>
                <w:highlight w:val="none"/>
              </w:rPr>
            </w:pPr>
          </w:p>
        </w:tc>
      </w:tr>
    </w:tbl>
    <w:p>
      <w:pPr>
        <w:spacing w:line="360" w:lineRule="auto"/>
        <w:rPr>
          <w:rFonts w:hint="eastAsia" w:ascii="仿宋_GB2312" w:hAnsi="仿宋_GB2312" w:eastAsia="仿宋_GB2312" w:cs="仿宋_GB2312"/>
          <w:b/>
          <w:bCs/>
          <w:color w:val="000000"/>
          <w:szCs w:val="21"/>
          <w:highlight w:val="none"/>
        </w:rPr>
      </w:pPr>
    </w:p>
    <w:p>
      <w:pPr>
        <w:pStyle w:val="2"/>
        <w:rPr>
          <w:rFonts w:hint="eastAsia" w:ascii="仿宋_GB2312" w:hAnsi="仿宋_GB2312" w:eastAsia="仿宋_GB2312" w:cs="仿宋_GB2312"/>
          <w:color w:val="000000"/>
          <w:highlight w:val="none"/>
        </w:rPr>
      </w:pPr>
    </w:p>
    <w:p>
      <w:pPr>
        <w:pStyle w:val="6"/>
        <w:tabs>
          <w:tab w:val="left" w:pos="5580"/>
        </w:tabs>
        <w:spacing w:line="400" w:lineRule="exact"/>
        <w:ind w:left="1080" w:leftChars="257" w:hanging="540"/>
        <w:jc w:val="left"/>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注:1、此表应按供应商须知的规定装订密封。</w:t>
      </w:r>
    </w:p>
    <w:p>
      <w:pPr>
        <w:pStyle w:val="6"/>
        <w:tabs>
          <w:tab w:val="left" w:pos="5580"/>
        </w:tabs>
        <w:spacing w:line="400" w:lineRule="exact"/>
        <w:ind w:left="1080" w:leftChars="257" w:hanging="540"/>
        <w:jc w:val="left"/>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lang w:val="en-US" w:eastAsia="zh-CN"/>
        </w:rPr>
        <w:t>2.</w:t>
      </w:r>
      <w:r>
        <w:rPr>
          <w:rFonts w:hint="eastAsia" w:ascii="仿宋_GB2312" w:hAnsi="仿宋_GB2312" w:eastAsia="仿宋_GB2312" w:cs="仿宋_GB2312"/>
          <w:b/>
          <w:bCs/>
          <w:color w:val="000000"/>
          <w:sz w:val="24"/>
          <w:szCs w:val="24"/>
          <w:highlight w:val="none"/>
        </w:rPr>
        <w:t>大写金额和小写金额不一致的，以大写金额为准。</w:t>
      </w:r>
    </w:p>
    <w:p>
      <w:pPr>
        <w:pStyle w:val="6"/>
        <w:tabs>
          <w:tab w:val="left" w:pos="5580"/>
        </w:tabs>
        <w:spacing w:line="400" w:lineRule="exact"/>
        <w:ind w:left="1080" w:leftChars="257" w:hanging="540"/>
        <w:jc w:val="left"/>
        <w:rPr>
          <w:rFonts w:hint="eastAsia" w:ascii="仿宋_GB2312" w:hAnsi="仿宋_GB2312" w:eastAsia="仿宋_GB2312" w:cs="仿宋_GB2312"/>
          <w:b/>
          <w:bCs/>
          <w:color w:val="000000"/>
          <w:sz w:val="24"/>
          <w:szCs w:val="24"/>
          <w:highlight w:val="none"/>
          <w:lang w:val="en-US" w:eastAsia="zh-CN"/>
        </w:rPr>
      </w:pPr>
    </w:p>
    <w:p>
      <w:pPr>
        <w:pStyle w:val="3"/>
        <w:numPr>
          <w:ilvl w:val="0"/>
          <w:numId w:val="0"/>
        </w:numPr>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b w:val="0"/>
          <w:color w:val="000000"/>
          <w:sz w:val="28"/>
          <w:szCs w:val="28"/>
          <w:highlight w:val="none"/>
        </w:rPr>
        <w:br w:type="page"/>
      </w:r>
      <w:bookmarkStart w:id="148" w:name="_Toc21292"/>
      <w:bookmarkStart w:id="149" w:name="_Toc30608"/>
      <w:bookmarkStart w:id="150" w:name="_Toc3809"/>
      <w:bookmarkStart w:id="151" w:name="_Toc20002"/>
      <w:r>
        <w:rPr>
          <w:rFonts w:hint="eastAsia" w:ascii="仿宋_GB2312" w:hAnsi="仿宋_GB2312" w:eastAsia="仿宋_GB2312" w:cs="仿宋_GB2312"/>
          <w:color w:val="000000"/>
          <w:highlight w:val="none"/>
        </w:rPr>
        <w:t>价格文件</w:t>
      </w:r>
      <w:bookmarkEnd w:id="148"/>
      <w:bookmarkEnd w:id="149"/>
      <w:bookmarkEnd w:id="150"/>
      <w:bookmarkEnd w:id="151"/>
    </w:p>
    <w:p>
      <w:pPr>
        <w:spacing w:line="400" w:lineRule="exact"/>
        <w:jc w:val="center"/>
        <w:rPr>
          <w:rFonts w:hint="eastAsia" w:ascii="仿宋_GB2312" w:hAnsi="仿宋_GB2312" w:eastAsia="仿宋_GB2312" w:cs="仿宋_GB2312"/>
          <w:b/>
          <w:bCs/>
          <w:color w:val="000000"/>
          <w:sz w:val="24"/>
          <w:highlight w:val="none"/>
        </w:rPr>
      </w:pPr>
    </w:p>
    <w:p>
      <w:pPr>
        <w:spacing w:line="400" w:lineRule="exact"/>
        <w:jc w:val="center"/>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sz w:val="24"/>
          <w:highlight w:val="none"/>
        </w:rPr>
        <w:t>报价表</w:t>
      </w:r>
    </w:p>
    <w:p>
      <w:pPr>
        <w:pStyle w:val="2"/>
        <w:rPr>
          <w:rFonts w:hint="eastAsia" w:ascii="仿宋_GB2312" w:hAnsi="仿宋_GB2312" w:eastAsia="仿宋_GB2312" w:cs="仿宋_GB2312"/>
          <w:b/>
          <w:bCs/>
          <w:color w:val="000000"/>
          <w:sz w:val="24"/>
          <w:highlight w:val="none"/>
        </w:rPr>
      </w:pPr>
    </w:p>
    <w:p>
      <w:pPr>
        <w:rPr>
          <w:rFonts w:hint="eastAsia" w:ascii="仿宋_GB2312" w:hAnsi="仿宋_GB2312" w:eastAsia="仿宋_GB2312" w:cs="仿宋_GB2312"/>
          <w:color w:val="000000"/>
          <w:highlight w:val="none"/>
        </w:rPr>
      </w:pPr>
    </w:p>
    <w:p>
      <w:pPr>
        <w:pStyle w:val="2"/>
        <w:rPr>
          <w:rFonts w:hint="eastAsia" w:ascii="仿宋_GB2312" w:hAnsi="仿宋_GB2312" w:eastAsia="仿宋_GB2312" w:cs="仿宋_GB2312"/>
          <w:color w:val="000000"/>
          <w:highlight w:val="none"/>
        </w:rPr>
      </w:pPr>
    </w:p>
    <w:p>
      <w:pPr>
        <w:pStyle w:val="2"/>
        <w:rPr>
          <w:rFonts w:hint="eastAsia" w:ascii="仿宋_GB2312" w:hAnsi="仿宋_GB2312" w:eastAsia="仿宋_GB2312" w:cs="仿宋_GB2312"/>
          <w:color w:val="000000"/>
          <w:highlight w:val="none"/>
        </w:rPr>
      </w:pPr>
    </w:p>
    <w:p>
      <w:pPr>
        <w:pStyle w:val="2"/>
        <w:rPr>
          <w:rFonts w:hint="eastAsia" w:ascii="仿宋_GB2312" w:hAnsi="仿宋_GB2312" w:eastAsia="仿宋_GB2312" w:cs="仿宋_GB2312"/>
          <w:b/>
          <w:color w:val="000000"/>
          <w:szCs w:val="21"/>
          <w:highlight w:val="none"/>
          <w:lang w:eastAsia="zh-CN"/>
        </w:rPr>
      </w:pPr>
      <w:r>
        <w:rPr>
          <w:rFonts w:hint="eastAsia" w:ascii="仿宋_GB2312" w:hAnsi="仿宋_GB2312" w:eastAsia="仿宋_GB2312" w:cs="仿宋_GB2312"/>
          <w:b/>
          <w:color w:val="000000"/>
          <w:szCs w:val="21"/>
          <w:highlight w:val="none"/>
        </w:rPr>
        <w:t>项目编号</w:t>
      </w:r>
      <w:r>
        <w:rPr>
          <w:rFonts w:hint="eastAsia" w:ascii="仿宋_GB2312" w:hAnsi="仿宋_GB2312" w:eastAsia="仿宋_GB2312" w:cs="仿宋_GB2312"/>
          <w:b/>
          <w:color w:val="000000"/>
          <w:szCs w:val="21"/>
          <w:highlight w:val="none"/>
          <w:lang w:eastAsia="zh-CN"/>
        </w:rPr>
        <w:t>：</w:t>
      </w:r>
    </w:p>
    <w:p>
      <w:pPr>
        <w:pStyle w:val="2"/>
        <w:rPr>
          <w:rFonts w:hint="eastAsia" w:ascii="仿宋_GB2312" w:hAnsi="仿宋_GB2312" w:eastAsia="仿宋_GB2312" w:cs="仿宋_GB2312"/>
          <w:b/>
          <w:color w:val="000000"/>
          <w:szCs w:val="21"/>
          <w:highlight w:val="none"/>
          <w:lang w:eastAsia="zh-CN"/>
        </w:rPr>
      </w:pPr>
      <w:r>
        <w:rPr>
          <w:rFonts w:hint="eastAsia" w:ascii="仿宋_GB2312" w:hAnsi="仿宋_GB2312" w:eastAsia="仿宋_GB2312" w:cs="仿宋_GB2312"/>
          <w:b/>
          <w:color w:val="000000"/>
          <w:szCs w:val="21"/>
          <w:highlight w:val="none"/>
        </w:rPr>
        <w:t>项目名称</w:t>
      </w:r>
      <w:r>
        <w:rPr>
          <w:rFonts w:hint="eastAsia" w:ascii="仿宋_GB2312" w:hAnsi="仿宋_GB2312" w:eastAsia="仿宋_GB2312" w:cs="仿宋_GB2312"/>
          <w:b/>
          <w:color w:val="000000"/>
          <w:szCs w:val="21"/>
          <w:highlight w:val="none"/>
          <w:lang w:eastAsia="zh-CN"/>
        </w:rPr>
        <w:t>：</w:t>
      </w: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41"/>
        <w:gridCol w:w="3477"/>
        <w:gridCol w:w="2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3941" w:type="dxa"/>
            <w:tcBorders>
              <w:top w:val="single" w:color="auto" w:sz="4" w:space="0"/>
              <w:left w:val="single" w:color="auto" w:sz="4" w:space="0"/>
              <w:right w:val="single" w:color="auto" w:sz="4" w:space="0"/>
            </w:tcBorders>
            <w:noWrap w:val="0"/>
            <w:vAlign w:val="center"/>
          </w:tcPr>
          <w:p>
            <w:pPr>
              <w:overflowPunct w:val="0"/>
              <w:adjustRightInd w:val="0"/>
              <w:spacing w:line="460" w:lineRule="exact"/>
              <w:jc w:val="center"/>
              <w:rPr>
                <w:rFonts w:hint="eastAsia" w:ascii="仿宋_GB2312" w:hAnsi="仿宋_GB2312" w:eastAsia="仿宋_GB2312" w:cs="仿宋_GB2312"/>
                <w:b/>
                <w:color w:val="000000"/>
                <w:szCs w:val="21"/>
                <w:highlight w:val="none"/>
                <w:lang w:eastAsia="zh-CN"/>
              </w:rPr>
            </w:pPr>
            <w:r>
              <w:rPr>
                <w:rFonts w:hint="eastAsia" w:ascii="仿宋_GB2312" w:hAnsi="仿宋_GB2312" w:eastAsia="仿宋_GB2312" w:cs="仿宋_GB2312"/>
                <w:b/>
                <w:color w:val="000000"/>
                <w:szCs w:val="21"/>
                <w:highlight w:val="none"/>
                <w:lang w:eastAsia="zh-CN"/>
              </w:rPr>
              <w:t>采购内容</w:t>
            </w:r>
          </w:p>
        </w:tc>
        <w:tc>
          <w:tcPr>
            <w:tcW w:w="3477" w:type="dxa"/>
            <w:tcBorders>
              <w:top w:val="single" w:color="auto" w:sz="4" w:space="0"/>
              <w:left w:val="single" w:color="auto" w:sz="4" w:space="0"/>
              <w:right w:val="single" w:color="auto" w:sz="4" w:space="0"/>
            </w:tcBorders>
            <w:noWrap w:val="0"/>
            <w:vAlign w:val="center"/>
          </w:tcPr>
          <w:p>
            <w:pPr>
              <w:overflowPunct w:val="0"/>
              <w:adjustRightInd w:val="0"/>
              <w:spacing w:line="460" w:lineRule="exact"/>
              <w:jc w:val="center"/>
              <w:rPr>
                <w:rFonts w:hint="eastAsia" w:ascii="仿宋_GB2312" w:hAnsi="仿宋_GB2312" w:eastAsia="仿宋_GB2312" w:cs="仿宋_GB2312"/>
                <w:b/>
                <w:color w:val="000000"/>
                <w:szCs w:val="21"/>
                <w:highlight w:val="none"/>
                <w:lang w:eastAsia="zh-CN"/>
              </w:rPr>
            </w:pPr>
            <w:r>
              <w:rPr>
                <w:rFonts w:hint="eastAsia" w:ascii="仿宋_GB2312" w:hAnsi="仿宋_GB2312" w:eastAsia="仿宋_GB2312" w:cs="仿宋_GB2312"/>
                <w:b/>
                <w:color w:val="000000"/>
                <w:szCs w:val="21"/>
                <w:highlight w:val="none"/>
              </w:rPr>
              <w:t>总报价小写（元）</w:t>
            </w:r>
          </w:p>
        </w:tc>
        <w:tc>
          <w:tcPr>
            <w:tcW w:w="2290"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pacing w:line="460" w:lineRule="exact"/>
              <w:jc w:val="center"/>
              <w:rPr>
                <w:rFonts w:hint="eastAsia" w:ascii="仿宋_GB2312" w:hAnsi="仿宋_GB2312" w:eastAsia="仿宋_GB2312" w:cs="仿宋_GB2312"/>
                <w:b/>
                <w:color w:val="000000"/>
                <w:szCs w:val="21"/>
                <w:highlight w:val="none"/>
                <w:lang w:eastAsia="zh-CN"/>
              </w:rPr>
            </w:pPr>
            <w:r>
              <w:rPr>
                <w:rFonts w:hint="eastAsia" w:ascii="仿宋_GB2312" w:hAnsi="仿宋_GB2312" w:eastAsia="仿宋_GB2312" w:cs="仿宋_GB2312"/>
                <w:b/>
                <w:color w:val="000000"/>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3941"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pacing w:line="460" w:lineRule="exact"/>
              <w:jc w:val="left"/>
              <w:rPr>
                <w:rFonts w:hint="eastAsia" w:ascii="仿宋_GB2312" w:hAnsi="仿宋_GB2312" w:eastAsia="仿宋_GB2312" w:cs="仿宋_GB2312"/>
                <w:color w:val="000000"/>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pacing w:line="460" w:lineRule="exact"/>
              <w:jc w:val="center"/>
              <w:rPr>
                <w:rFonts w:hint="eastAsia" w:ascii="仿宋_GB2312" w:hAnsi="仿宋_GB2312" w:eastAsia="仿宋_GB2312" w:cs="仿宋_GB2312"/>
                <w:color w:val="000000"/>
                <w:szCs w:val="21"/>
                <w:highlight w:val="none"/>
                <w:lang w:val="en-US" w:eastAsia="zh-CN"/>
              </w:rPr>
            </w:pPr>
          </w:p>
        </w:tc>
        <w:tc>
          <w:tcPr>
            <w:tcW w:w="2290"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pacing w:line="460" w:lineRule="exact"/>
              <w:jc w:val="center"/>
              <w:rPr>
                <w:rFonts w:hint="eastAsia" w:ascii="仿宋_GB2312" w:hAnsi="仿宋_GB2312" w:eastAsia="仿宋_GB2312" w:cs="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9708" w:type="dxa"/>
            <w:gridSpan w:val="3"/>
            <w:tcBorders>
              <w:top w:val="single" w:color="auto" w:sz="4" w:space="0"/>
              <w:left w:val="single" w:color="auto" w:sz="4" w:space="0"/>
              <w:right w:val="single" w:color="auto" w:sz="4" w:space="0"/>
            </w:tcBorders>
            <w:noWrap w:val="0"/>
            <w:vAlign w:val="center"/>
          </w:tcPr>
          <w:p>
            <w:pPr>
              <w:overflowPunct w:val="0"/>
              <w:adjustRightInd w:val="0"/>
              <w:spacing w:line="460" w:lineRule="exact"/>
              <w:jc w:val="left"/>
              <w:rPr>
                <w:rFonts w:hint="eastAsia" w:ascii="仿宋_GB2312" w:hAnsi="仿宋_GB2312" w:eastAsia="仿宋_GB2312" w:cs="仿宋_GB2312"/>
                <w:color w:val="000000"/>
                <w:szCs w:val="21"/>
                <w:highlight w:val="none"/>
                <w:lang w:eastAsia="zh-CN"/>
              </w:rPr>
            </w:pPr>
            <w:r>
              <w:rPr>
                <w:rFonts w:hint="eastAsia" w:ascii="仿宋_GB2312" w:hAnsi="仿宋_GB2312" w:eastAsia="仿宋_GB2312" w:cs="仿宋_GB2312"/>
                <w:b/>
                <w:color w:val="000000"/>
                <w:szCs w:val="21"/>
                <w:highlight w:val="none"/>
                <w:lang w:eastAsia="zh-CN"/>
              </w:rPr>
              <w:t>总报价大写：</w:t>
            </w:r>
          </w:p>
        </w:tc>
      </w:tr>
    </w:tbl>
    <w:p>
      <w:pPr>
        <w:spacing w:line="400" w:lineRule="exact"/>
        <w:jc w:val="left"/>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sz w:val="24"/>
          <w:highlight w:val="none"/>
        </w:rPr>
        <w:t xml:space="preserve">      </w:t>
      </w:r>
    </w:p>
    <w:p>
      <w:pPr>
        <w:pStyle w:val="2"/>
        <w:rPr>
          <w:rFonts w:hint="eastAsia" w:ascii="仿宋_GB2312" w:hAnsi="仿宋_GB2312" w:eastAsia="仿宋_GB2312" w:cs="仿宋_GB2312"/>
          <w:color w:val="000000"/>
          <w:highlight w:val="none"/>
        </w:rPr>
      </w:pPr>
    </w:p>
    <w:p>
      <w:pPr>
        <w:spacing w:line="400" w:lineRule="exact"/>
        <w:ind w:firstLine="480" w:firstLineChars="200"/>
        <w:jc w:val="left"/>
        <w:rPr>
          <w:rFonts w:hint="eastAsia" w:ascii="仿宋_GB2312" w:hAnsi="仿宋_GB2312" w:eastAsia="仿宋_GB2312" w:cs="仿宋_GB2312"/>
          <w:color w:val="000000"/>
          <w:sz w:val="24"/>
          <w:highlight w:val="none"/>
        </w:rPr>
      </w:pPr>
    </w:p>
    <w:tbl>
      <w:tblPr>
        <w:tblStyle w:val="9"/>
        <w:tblW w:w="0" w:type="auto"/>
        <w:tblInd w:w="0" w:type="dxa"/>
        <w:tblLayout w:type="fixed"/>
        <w:tblCellMar>
          <w:top w:w="0" w:type="dxa"/>
          <w:left w:w="108" w:type="dxa"/>
          <w:bottom w:w="0" w:type="dxa"/>
          <w:right w:w="108" w:type="dxa"/>
        </w:tblCellMar>
      </w:tblPr>
      <w:tblGrid>
        <w:gridCol w:w="5536"/>
        <w:gridCol w:w="2992"/>
      </w:tblGrid>
      <w:tr>
        <w:tblPrEx>
          <w:tblCellMar>
            <w:top w:w="0" w:type="dxa"/>
            <w:left w:w="108" w:type="dxa"/>
            <w:bottom w:w="0" w:type="dxa"/>
            <w:right w:w="108" w:type="dxa"/>
          </w:tblCellMar>
        </w:tblPrEx>
        <w:trPr>
          <w:trHeight w:val="545" w:hRule="atLeast"/>
        </w:trPr>
        <w:tc>
          <w:tcPr>
            <w:tcW w:w="5536" w:type="dxa"/>
            <w:noWrap w:val="0"/>
            <w:vAlign w:val="top"/>
          </w:tcPr>
          <w:p>
            <w:pPr>
              <w:spacing w:line="400" w:lineRule="exact"/>
              <w:jc w:val="left"/>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 xml:space="preserve">供应商名称（加盖公章）：                         </w:t>
            </w:r>
          </w:p>
        </w:tc>
        <w:tc>
          <w:tcPr>
            <w:tcW w:w="2992" w:type="dxa"/>
            <w:noWrap w:val="0"/>
            <w:vAlign w:val="top"/>
          </w:tcPr>
          <w:p>
            <w:pPr>
              <w:spacing w:line="400" w:lineRule="exact"/>
              <w:ind w:firstLine="480" w:firstLineChars="200"/>
              <w:jc w:val="left"/>
              <w:rPr>
                <w:rFonts w:hint="eastAsia" w:ascii="仿宋_GB2312" w:hAnsi="仿宋_GB2312" w:eastAsia="仿宋_GB2312" w:cs="仿宋_GB2312"/>
                <w:color w:val="000000"/>
                <w:sz w:val="24"/>
                <w:highlight w:val="none"/>
              </w:rPr>
            </w:pPr>
          </w:p>
        </w:tc>
      </w:tr>
      <w:tr>
        <w:tblPrEx>
          <w:tblCellMar>
            <w:top w:w="0" w:type="dxa"/>
            <w:left w:w="108" w:type="dxa"/>
            <w:bottom w:w="0" w:type="dxa"/>
            <w:right w:w="108" w:type="dxa"/>
          </w:tblCellMar>
        </w:tblPrEx>
        <w:trPr>
          <w:trHeight w:val="500" w:hRule="atLeast"/>
        </w:trPr>
        <w:tc>
          <w:tcPr>
            <w:tcW w:w="5536" w:type="dxa"/>
            <w:noWrap w:val="0"/>
            <w:vAlign w:val="top"/>
          </w:tcPr>
          <w:p>
            <w:pPr>
              <w:spacing w:line="400" w:lineRule="exact"/>
              <w:jc w:val="left"/>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 xml:space="preserve">法定代表人或受委托人（签名或盖私章）：     </w:t>
            </w:r>
          </w:p>
        </w:tc>
        <w:tc>
          <w:tcPr>
            <w:tcW w:w="2992" w:type="dxa"/>
            <w:noWrap w:val="0"/>
            <w:vAlign w:val="top"/>
          </w:tcPr>
          <w:p>
            <w:pPr>
              <w:spacing w:line="400" w:lineRule="exact"/>
              <w:ind w:firstLine="480" w:firstLineChars="200"/>
              <w:jc w:val="left"/>
              <w:rPr>
                <w:rFonts w:hint="eastAsia" w:ascii="仿宋_GB2312" w:hAnsi="仿宋_GB2312" w:eastAsia="仿宋_GB2312" w:cs="仿宋_GB2312"/>
                <w:color w:val="000000"/>
                <w:sz w:val="24"/>
                <w:highlight w:val="none"/>
              </w:rPr>
            </w:pPr>
          </w:p>
        </w:tc>
      </w:tr>
      <w:tr>
        <w:tblPrEx>
          <w:tblCellMar>
            <w:top w:w="0" w:type="dxa"/>
            <w:left w:w="108" w:type="dxa"/>
            <w:bottom w:w="0" w:type="dxa"/>
            <w:right w:w="108" w:type="dxa"/>
          </w:tblCellMar>
        </w:tblPrEx>
        <w:tc>
          <w:tcPr>
            <w:tcW w:w="5536" w:type="dxa"/>
            <w:noWrap w:val="0"/>
            <w:vAlign w:val="top"/>
          </w:tcPr>
          <w:p>
            <w:pPr>
              <w:spacing w:line="400" w:lineRule="exact"/>
              <w:jc w:val="left"/>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日期：   年   月   日</w:t>
            </w:r>
          </w:p>
        </w:tc>
        <w:tc>
          <w:tcPr>
            <w:tcW w:w="2992" w:type="dxa"/>
            <w:noWrap w:val="0"/>
            <w:vAlign w:val="top"/>
          </w:tcPr>
          <w:p>
            <w:pPr>
              <w:spacing w:line="400" w:lineRule="exact"/>
              <w:ind w:firstLine="480" w:firstLineChars="200"/>
              <w:jc w:val="left"/>
              <w:rPr>
                <w:rFonts w:hint="eastAsia" w:ascii="仿宋_GB2312" w:hAnsi="仿宋_GB2312" w:eastAsia="仿宋_GB2312" w:cs="仿宋_GB2312"/>
                <w:color w:val="000000"/>
                <w:sz w:val="24"/>
                <w:highlight w:val="none"/>
              </w:rPr>
            </w:pPr>
          </w:p>
        </w:tc>
      </w:tr>
    </w:tbl>
    <w:p>
      <w:pPr>
        <w:spacing w:line="360" w:lineRule="auto"/>
        <w:rPr>
          <w:rFonts w:hint="eastAsia" w:ascii="仿宋_GB2312" w:hAnsi="仿宋_GB2312" w:eastAsia="仿宋_GB2312" w:cs="仿宋_GB2312"/>
          <w:b/>
          <w:bCs/>
          <w:color w:val="000000"/>
          <w:szCs w:val="21"/>
          <w:highlight w:val="none"/>
        </w:rPr>
      </w:pPr>
    </w:p>
    <w:p>
      <w:pPr>
        <w:pStyle w:val="2"/>
        <w:rPr>
          <w:rFonts w:hint="eastAsia" w:ascii="仿宋_GB2312" w:hAnsi="仿宋_GB2312" w:eastAsia="仿宋_GB2312" w:cs="仿宋_GB2312"/>
          <w:color w:val="000000"/>
          <w:highlight w:val="none"/>
        </w:rPr>
      </w:pPr>
    </w:p>
    <w:p>
      <w:pPr>
        <w:pStyle w:val="6"/>
        <w:tabs>
          <w:tab w:val="left" w:pos="5580"/>
        </w:tabs>
        <w:spacing w:line="400" w:lineRule="exact"/>
        <w:ind w:left="1080" w:leftChars="257" w:hanging="540"/>
        <w:jc w:val="left"/>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注:1、此表应按供应商须知的规定装订密封。</w:t>
      </w:r>
    </w:p>
    <w:p>
      <w:pPr>
        <w:pStyle w:val="6"/>
        <w:tabs>
          <w:tab w:val="left" w:pos="5580"/>
        </w:tabs>
        <w:spacing w:line="400" w:lineRule="exact"/>
        <w:ind w:left="1080" w:leftChars="257" w:hanging="540"/>
        <w:jc w:val="left"/>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lang w:val="en-US" w:eastAsia="zh-CN"/>
        </w:rPr>
        <w:t>2.</w:t>
      </w:r>
      <w:r>
        <w:rPr>
          <w:rFonts w:hint="eastAsia" w:ascii="仿宋_GB2312" w:hAnsi="仿宋_GB2312" w:eastAsia="仿宋_GB2312" w:cs="仿宋_GB2312"/>
          <w:b/>
          <w:bCs/>
          <w:color w:val="000000"/>
          <w:sz w:val="24"/>
          <w:szCs w:val="24"/>
          <w:highlight w:val="none"/>
        </w:rPr>
        <w:t>大写金额和小写金额不一致的，以大写金额为准。</w:t>
      </w:r>
    </w:p>
    <w:p>
      <w:pPr>
        <w:pStyle w:val="2"/>
        <w:jc w:val="center"/>
        <w:rPr>
          <w:rFonts w:hint="eastAsia" w:ascii="仿宋_GB2312" w:hAnsi="仿宋_GB2312" w:eastAsia="仿宋_GB2312" w:cs="仿宋_GB2312"/>
          <w:b/>
          <w:bCs/>
          <w:color w:val="000000"/>
          <w:sz w:val="24"/>
          <w:szCs w:val="24"/>
          <w:highlight w:val="none"/>
        </w:rPr>
      </w:pPr>
    </w:p>
    <w:p>
      <w:pPr>
        <w:pStyle w:val="2"/>
        <w:jc w:val="center"/>
        <w:rPr>
          <w:rFonts w:hint="eastAsia" w:ascii="仿宋_GB2312" w:hAnsi="仿宋_GB2312" w:eastAsia="仿宋_GB2312" w:cs="仿宋_GB2312"/>
          <w:b/>
          <w:bCs/>
          <w:color w:val="000000"/>
          <w:sz w:val="24"/>
          <w:szCs w:val="24"/>
          <w:highlight w:val="none"/>
        </w:rPr>
      </w:pPr>
    </w:p>
    <w:p>
      <w:pPr>
        <w:pStyle w:val="2"/>
        <w:jc w:val="center"/>
        <w:rPr>
          <w:rFonts w:hint="eastAsia" w:ascii="仿宋_GB2312" w:hAnsi="仿宋_GB2312" w:eastAsia="仿宋_GB2312" w:cs="仿宋_GB2312"/>
          <w:b/>
          <w:bCs/>
          <w:color w:val="000000"/>
          <w:sz w:val="24"/>
          <w:szCs w:val="24"/>
          <w:highlight w:val="none"/>
        </w:rPr>
      </w:pPr>
    </w:p>
    <w:p>
      <w:pPr>
        <w:pStyle w:val="2"/>
        <w:jc w:val="center"/>
        <w:rPr>
          <w:rFonts w:hint="eastAsia" w:ascii="仿宋_GB2312" w:hAnsi="仿宋_GB2312" w:eastAsia="仿宋_GB2312" w:cs="仿宋_GB2312"/>
          <w:b/>
          <w:bCs/>
          <w:color w:val="000000"/>
          <w:sz w:val="24"/>
          <w:szCs w:val="24"/>
          <w:highlight w:val="none"/>
        </w:rPr>
      </w:pPr>
    </w:p>
    <w:p>
      <w:pPr>
        <w:pStyle w:val="2"/>
        <w:jc w:val="center"/>
        <w:rPr>
          <w:rFonts w:hint="eastAsia" w:ascii="仿宋_GB2312" w:hAnsi="仿宋_GB2312" w:eastAsia="仿宋_GB2312" w:cs="仿宋_GB2312"/>
          <w:b/>
          <w:bCs/>
          <w:color w:val="000000"/>
          <w:sz w:val="24"/>
          <w:szCs w:val="24"/>
          <w:highlight w:val="none"/>
        </w:rPr>
      </w:pPr>
    </w:p>
    <w:p>
      <w:pPr>
        <w:pStyle w:val="2"/>
        <w:jc w:val="center"/>
        <w:rPr>
          <w:rFonts w:hint="eastAsia" w:ascii="仿宋_GB2312" w:hAnsi="仿宋_GB2312" w:eastAsia="仿宋_GB2312" w:cs="仿宋_GB2312"/>
          <w:b/>
          <w:bCs/>
          <w:color w:val="000000"/>
          <w:sz w:val="24"/>
          <w:szCs w:val="24"/>
          <w:highlight w:val="none"/>
        </w:rPr>
      </w:pPr>
    </w:p>
    <w:p>
      <w:pPr>
        <w:pStyle w:val="2"/>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b/>
          <w:bCs/>
          <w:color w:val="000000"/>
          <w:sz w:val="24"/>
          <w:szCs w:val="24"/>
          <w:highlight w:val="none"/>
        </w:rPr>
        <w:t>1.报价明细表</w:t>
      </w:r>
    </w:p>
    <w:p>
      <w:pP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单位：元</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36"/>
        <w:gridCol w:w="1333"/>
        <w:gridCol w:w="1600"/>
        <w:gridCol w:w="1466"/>
        <w:gridCol w:w="1067"/>
        <w:gridCol w:w="800"/>
        <w:gridCol w:w="1281"/>
        <w:gridCol w:w="85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31" w:hRule="atLeast"/>
        </w:trPr>
        <w:tc>
          <w:tcPr>
            <w:tcW w:w="636" w:type="dxa"/>
            <w:tcBorders>
              <w:top w:val="single" w:color="auto" w:sz="8" w:space="0"/>
              <w:left w:val="single" w:color="auto" w:sz="8"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序号</w:t>
            </w:r>
          </w:p>
        </w:tc>
        <w:tc>
          <w:tcPr>
            <w:tcW w:w="1333" w:type="dxa"/>
            <w:tcBorders>
              <w:top w:val="single" w:color="auto" w:sz="8" w:space="0"/>
              <w:left w:val="single" w:color="auto" w:sz="6" w:space="0"/>
              <w:bottom w:val="single" w:color="auto" w:sz="6" w:space="0"/>
              <w:right w:val="single" w:color="auto" w:sz="4"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货物名称</w:t>
            </w:r>
          </w:p>
        </w:tc>
        <w:tc>
          <w:tcPr>
            <w:tcW w:w="1600" w:type="dxa"/>
            <w:tcBorders>
              <w:top w:val="single" w:color="auto" w:sz="8" w:space="0"/>
              <w:left w:val="single" w:color="auto" w:sz="4"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品牌型号</w:t>
            </w:r>
          </w:p>
        </w:tc>
        <w:tc>
          <w:tcPr>
            <w:tcW w:w="1466" w:type="dxa"/>
            <w:tcBorders>
              <w:top w:val="single" w:color="auto" w:sz="8"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原厂商及原产地</w:t>
            </w:r>
          </w:p>
        </w:tc>
        <w:tc>
          <w:tcPr>
            <w:tcW w:w="1067" w:type="dxa"/>
            <w:tcBorders>
              <w:top w:val="single" w:color="auto" w:sz="8"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数量</w:t>
            </w:r>
          </w:p>
        </w:tc>
        <w:tc>
          <w:tcPr>
            <w:tcW w:w="800" w:type="dxa"/>
            <w:tcBorders>
              <w:top w:val="single" w:color="auto" w:sz="8"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单价</w:t>
            </w:r>
          </w:p>
        </w:tc>
        <w:tc>
          <w:tcPr>
            <w:tcW w:w="1281" w:type="dxa"/>
            <w:tcBorders>
              <w:top w:val="single" w:color="auto" w:sz="8" w:space="0"/>
              <w:left w:val="single" w:color="auto" w:sz="6" w:space="0"/>
              <w:bottom w:val="single" w:color="auto" w:sz="6" w:space="0"/>
              <w:right w:val="single" w:color="auto" w:sz="4"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分项报价</w:t>
            </w:r>
          </w:p>
        </w:tc>
        <w:tc>
          <w:tcPr>
            <w:tcW w:w="851" w:type="dxa"/>
            <w:tcBorders>
              <w:top w:val="single" w:color="auto" w:sz="8" w:space="0"/>
              <w:left w:val="single" w:color="auto" w:sz="4" w:space="0"/>
              <w:bottom w:val="single" w:color="auto" w:sz="6" w:space="0"/>
              <w:right w:val="single" w:color="auto" w:sz="8"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636" w:type="dxa"/>
            <w:tcBorders>
              <w:top w:val="single" w:color="auto" w:sz="6" w:space="0"/>
              <w:left w:val="single" w:color="auto" w:sz="8"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333" w:type="dxa"/>
            <w:tcBorders>
              <w:top w:val="single" w:color="auto" w:sz="6" w:space="0"/>
              <w:left w:val="single" w:color="auto" w:sz="6" w:space="0"/>
              <w:bottom w:val="single" w:color="auto" w:sz="6" w:space="0"/>
              <w:right w:val="single" w:color="auto" w:sz="4"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600" w:type="dxa"/>
            <w:tcBorders>
              <w:top w:val="single" w:color="auto" w:sz="6" w:space="0"/>
              <w:left w:val="single" w:color="auto" w:sz="4"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466"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067"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281" w:type="dxa"/>
            <w:tcBorders>
              <w:top w:val="single" w:color="auto" w:sz="6" w:space="0"/>
              <w:left w:val="single" w:color="auto" w:sz="6" w:space="0"/>
              <w:bottom w:val="single" w:color="auto" w:sz="6" w:space="0"/>
              <w:right w:val="single" w:color="auto" w:sz="4"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851" w:type="dxa"/>
            <w:tcBorders>
              <w:top w:val="single" w:color="auto" w:sz="6" w:space="0"/>
              <w:left w:val="single" w:color="auto" w:sz="4" w:space="0"/>
              <w:bottom w:val="single" w:color="auto" w:sz="6" w:space="0"/>
              <w:right w:val="single" w:color="auto" w:sz="8"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636" w:type="dxa"/>
            <w:tcBorders>
              <w:top w:val="single" w:color="auto" w:sz="6" w:space="0"/>
              <w:left w:val="single" w:color="auto" w:sz="8"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333" w:type="dxa"/>
            <w:tcBorders>
              <w:top w:val="single" w:color="auto" w:sz="6" w:space="0"/>
              <w:left w:val="single" w:color="auto" w:sz="6" w:space="0"/>
              <w:bottom w:val="single" w:color="auto" w:sz="6" w:space="0"/>
              <w:right w:val="single" w:color="auto" w:sz="4"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600" w:type="dxa"/>
            <w:tcBorders>
              <w:top w:val="single" w:color="auto" w:sz="6" w:space="0"/>
              <w:left w:val="single" w:color="auto" w:sz="4"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466"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067"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281" w:type="dxa"/>
            <w:tcBorders>
              <w:top w:val="single" w:color="auto" w:sz="6" w:space="0"/>
              <w:left w:val="single" w:color="auto" w:sz="6" w:space="0"/>
              <w:bottom w:val="single" w:color="auto" w:sz="6" w:space="0"/>
              <w:right w:val="single" w:color="auto" w:sz="4"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851" w:type="dxa"/>
            <w:tcBorders>
              <w:top w:val="single" w:color="auto" w:sz="6" w:space="0"/>
              <w:left w:val="single" w:color="auto" w:sz="4" w:space="0"/>
              <w:bottom w:val="single" w:color="auto" w:sz="6" w:space="0"/>
              <w:right w:val="single" w:color="auto" w:sz="8"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636" w:type="dxa"/>
            <w:tcBorders>
              <w:top w:val="single" w:color="auto" w:sz="6" w:space="0"/>
              <w:left w:val="single" w:color="auto" w:sz="8"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333" w:type="dxa"/>
            <w:tcBorders>
              <w:top w:val="single" w:color="auto" w:sz="6" w:space="0"/>
              <w:left w:val="single" w:color="auto" w:sz="6" w:space="0"/>
              <w:bottom w:val="single" w:color="auto" w:sz="6" w:space="0"/>
              <w:right w:val="single" w:color="auto" w:sz="4"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600" w:type="dxa"/>
            <w:tcBorders>
              <w:top w:val="single" w:color="auto" w:sz="6" w:space="0"/>
              <w:left w:val="single" w:color="auto" w:sz="4"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466"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067"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281" w:type="dxa"/>
            <w:tcBorders>
              <w:top w:val="single" w:color="auto" w:sz="6" w:space="0"/>
              <w:left w:val="single" w:color="auto" w:sz="6" w:space="0"/>
              <w:bottom w:val="single" w:color="auto" w:sz="6" w:space="0"/>
              <w:right w:val="single" w:color="auto" w:sz="4"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851" w:type="dxa"/>
            <w:tcBorders>
              <w:top w:val="single" w:color="auto" w:sz="6" w:space="0"/>
              <w:left w:val="single" w:color="auto" w:sz="4" w:space="0"/>
              <w:bottom w:val="single" w:color="auto" w:sz="6" w:space="0"/>
              <w:right w:val="single" w:color="auto" w:sz="8"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636" w:type="dxa"/>
            <w:tcBorders>
              <w:top w:val="single" w:color="auto" w:sz="6" w:space="0"/>
              <w:left w:val="single" w:color="auto" w:sz="8"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333" w:type="dxa"/>
            <w:tcBorders>
              <w:top w:val="single" w:color="auto" w:sz="6" w:space="0"/>
              <w:left w:val="single" w:color="auto" w:sz="6" w:space="0"/>
              <w:bottom w:val="single" w:color="auto" w:sz="6" w:space="0"/>
              <w:right w:val="single" w:color="auto" w:sz="4"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600" w:type="dxa"/>
            <w:tcBorders>
              <w:top w:val="single" w:color="auto" w:sz="6" w:space="0"/>
              <w:left w:val="single" w:color="auto" w:sz="4"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466"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067"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281" w:type="dxa"/>
            <w:tcBorders>
              <w:top w:val="single" w:color="auto" w:sz="6" w:space="0"/>
              <w:left w:val="single" w:color="auto" w:sz="6" w:space="0"/>
              <w:bottom w:val="single" w:color="auto" w:sz="6" w:space="0"/>
              <w:right w:val="single" w:color="auto" w:sz="4"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851" w:type="dxa"/>
            <w:tcBorders>
              <w:top w:val="single" w:color="auto" w:sz="6" w:space="0"/>
              <w:left w:val="single" w:color="auto" w:sz="4" w:space="0"/>
              <w:bottom w:val="single" w:color="auto" w:sz="6" w:space="0"/>
              <w:right w:val="single" w:color="auto" w:sz="8"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636" w:type="dxa"/>
            <w:tcBorders>
              <w:top w:val="single" w:color="auto" w:sz="6" w:space="0"/>
              <w:left w:val="single" w:color="auto" w:sz="8"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333" w:type="dxa"/>
            <w:tcBorders>
              <w:top w:val="single" w:color="auto" w:sz="6" w:space="0"/>
              <w:left w:val="single" w:color="auto" w:sz="6" w:space="0"/>
              <w:bottom w:val="single" w:color="auto" w:sz="6" w:space="0"/>
              <w:right w:val="single" w:color="auto" w:sz="4"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600" w:type="dxa"/>
            <w:tcBorders>
              <w:top w:val="single" w:color="auto" w:sz="6" w:space="0"/>
              <w:left w:val="single" w:color="auto" w:sz="4"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466"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067"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281" w:type="dxa"/>
            <w:tcBorders>
              <w:top w:val="single" w:color="auto" w:sz="6" w:space="0"/>
              <w:left w:val="single" w:color="auto" w:sz="6" w:space="0"/>
              <w:bottom w:val="single" w:color="auto" w:sz="6" w:space="0"/>
              <w:right w:val="single" w:color="auto" w:sz="4"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851" w:type="dxa"/>
            <w:tcBorders>
              <w:top w:val="single" w:color="auto" w:sz="6" w:space="0"/>
              <w:left w:val="single" w:color="auto" w:sz="4" w:space="0"/>
              <w:bottom w:val="single" w:color="auto" w:sz="6" w:space="0"/>
              <w:right w:val="single" w:color="auto" w:sz="8"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636" w:type="dxa"/>
            <w:tcBorders>
              <w:top w:val="single" w:color="auto" w:sz="6" w:space="0"/>
              <w:left w:val="single" w:color="auto" w:sz="8"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333" w:type="dxa"/>
            <w:tcBorders>
              <w:top w:val="single" w:color="auto" w:sz="6" w:space="0"/>
              <w:left w:val="single" w:color="auto" w:sz="6" w:space="0"/>
              <w:bottom w:val="single" w:color="auto" w:sz="6" w:space="0"/>
              <w:right w:val="single" w:color="auto" w:sz="4"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600" w:type="dxa"/>
            <w:tcBorders>
              <w:top w:val="single" w:color="auto" w:sz="6" w:space="0"/>
              <w:left w:val="single" w:color="auto" w:sz="4"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466"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067"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281" w:type="dxa"/>
            <w:tcBorders>
              <w:top w:val="single" w:color="auto" w:sz="6" w:space="0"/>
              <w:left w:val="single" w:color="auto" w:sz="6" w:space="0"/>
              <w:bottom w:val="single" w:color="auto" w:sz="6" w:space="0"/>
              <w:right w:val="single" w:color="auto" w:sz="4"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851" w:type="dxa"/>
            <w:tcBorders>
              <w:top w:val="single" w:color="auto" w:sz="6" w:space="0"/>
              <w:left w:val="single" w:color="auto" w:sz="4" w:space="0"/>
              <w:bottom w:val="single" w:color="auto" w:sz="6" w:space="0"/>
              <w:right w:val="single" w:color="auto" w:sz="8"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636" w:type="dxa"/>
            <w:tcBorders>
              <w:top w:val="single" w:color="auto" w:sz="6" w:space="0"/>
              <w:left w:val="single" w:color="auto" w:sz="8"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333" w:type="dxa"/>
            <w:tcBorders>
              <w:top w:val="single" w:color="auto" w:sz="6" w:space="0"/>
              <w:left w:val="single" w:color="auto" w:sz="6" w:space="0"/>
              <w:bottom w:val="single" w:color="auto" w:sz="6" w:space="0"/>
              <w:right w:val="single" w:color="auto" w:sz="4"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600" w:type="dxa"/>
            <w:tcBorders>
              <w:top w:val="single" w:color="auto" w:sz="6" w:space="0"/>
              <w:left w:val="single" w:color="auto" w:sz="4"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466"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067"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1281" w:type="dxa"/>
            <w:tcBorders>
              <w:top w:val="single" w:color="auto" w:sz="6" w:space="0"/>
              <w:left w:val="single" w:color="auto" w:sz="6" w:space="0"/>
              <w:bottom w:val="single" w:color="auto" w:sz="6" w:space="0"/>
              <w:right w:val="single" w:color="auto" w:sz="4"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c>
          <w:tcPr>
            <w:tcW w:w="851" w:type="dxa"/>
            <w:tcBorders>
              <w:top w:val="single" w:color="auto" w:sz="6" w:space="0"/>
              <w:left w:val="single" w:color="auto" w:sz="4" w:space="0"/>
              <w:bottom w:val="single" w:color="auto" w:sz="6" w:space="0"/>
              <w:right w:val="single" w:color="auto" w:sz="8"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969" w:type="dxa"/>
            <w:gridSpan w:val="2"/>
            <w:tcBorders>
              <w:top w:val="single" w:color="auto" w:sz="6" w:space="0"/>
              <w:left w:val="single" w:color="auto" w:sz="8" w:space="0"/>
              <w:bottom w:val="single" w:color="auto" w:sz="8" w:space="0"/>
              <w:right w:val="single" w:color="auto" w:sz="4"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总报价</w:t>
            </w:r>
          </w:p>
        </w:tc>
        <w:tc>
          <w:tcPr>
            <w:tcW w:w="7065" w:type="dxa"/>
            <w:gridSpan w:val="6"/>
            <w:tcBorders>
              <w:top w:val="single" w:color="auto" w:sz="6" w:space="0"/>
              <w:left w:val="single" w:color="auto" w:sz="4" w:space="0"/>
              <w:bottom w:val="single" w:color="auto" w:sz="8" w:space="0"/>
              <w:right w:val="single" w:color="auto" w:sz="8" w:space="0"/>
            </w:tcBorders>
            <w:noWrap w:val="0"/>
            <w:vAlign w:val="center"/>
          </w:tcPr>
          <w:p>
            <w:pPr>
              <w:spacing w:line="300" w:lineRule="auto"/>
              <w:jc w:val="center"/>
              <w:rPr>
                <w:rFonts w:hint="eastAsia" w:ascii="仿宋_GB2312" w:hAnsi="仿宋_GB2312" w:eastAsia="仿宋_GB2312" w:cs="仿宋_GB2312"/>
                <w:color w:val="000000"/>
                <w:sz w:val="24"/>
                <w:szCs w:val="24"/>
                <w:highlight w:val="none"/>
              </w:rPr>
            </w:pPr>
          </w:p>
        </w:tc>
      </w:tr>
    </w:tbl>
    <w:p>
      <w:pPr>
        <w:spacing w:line="400" w:lineRule="exact"/>
        <w:jc w:val="left"/>
        <w:rPr>
          <w:rFonts w:hint="eastAsia" w:ascii="仿宋_GB2312" w:hAnsi="仿宋_GB2312" w:eastAsia="仿宋_GB2312" w:cs="仿宋_GB2312"/>
          <w:b/>
          <w:bCs/>
          <w:color w:val="000000"/>
          <w:sz w:val="24"/>
          <w:szCs w:val="24"/>
          <w:highlight w:val="none"/>
        </w:rPr>
      </w:pPr>
    </w:p>
    <w:p>
      <w:pPr>
        <w:spacing w:line="400" w:lineRule="exact"/>
        <w:jc w:val="left"/>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注：1.此表乃报价表的明细表。</w:t>
      </w:r>
    </w:p>
    <w:p>
      <w:pPr>
        <w:spacing w:line="400" w:lineRule="exact"/>
        <w:jc w:val="left"/>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2.如果单价和总价不符时，以单价为准，修正总价。</w:t>
      </w:r>
    </w:p>
    <w:p>
      <w:pPr>
        <w:spacing w:line="400" w:lineRule="exact"/>
        <w:jc w:val="left"/>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 xml:space="preserve">            </w:t>
      </w:r>
    </w:p>
    <w:p>
      <w:pPr>
        <w:spacing w:line="400" w:lineRule="exact"/>
        <w:ind w:firstLine="480" w:firstLineChars="200"/>
        <w:jc w:val="left"/>
        <w:rPr>
          <w:rFonts w:hint="eastAsia" w:ascii="仿宋_GB2312" w:hAnsi="仿宋_GB2312" w:eastAsia="仿宋_GB2312" w:cs="仿宋_GB2312"/>
          <w:color w:val="000000"/>
          <w:sz w:val="24"/>
          <w:szCs w:val="24"/>
          <w:highlight w:val="none"/>
        </w:rPr>
      </w:pPr>
    </w:p>
    <w:tbl>
      <w:tblPr>
        <w:tblStyle w:val="9"/>
        <w:tblW w:w="0" w:type="auto"/>
        <w:tblInd w:w="0" w:type="dxa"/>
        <w:tblLayout w:type="fixed"/>
        <w:tblCellMar>
          <w:top w:w="0" w:type="dxa"/>
          <w:left w:w="108" w:type="dxa"/>
          <w:bottom w:w="0" w:type="dxa"/>
          <w:right w:w="108" w:type="dxa"/>
        </w:tblCellMar>
      </w:tblPr>
      <w:tblGrid>
        <w:gridCol w:w="5536"/>
        <w:gridCol w:w="2992"/>
      </w:tblGrid>
      <w:tr>
        <w:tblPrEx>
          <w:tblCellMar>
            <w:top w:w="0" w:type="dxa"/>
            <w:left w:w="108" w:type="dxa"/>
            <w:bottom w:w="0" w:type="dxa"/>
            <w:right w:w="108" w:type="dxa"/>
          </w:tblCellMar>
        </w:tblPrEx>
        <w:trPr>
          <w:trHeight w:val="545" w:hRule="atLeast"/>
        </w:trPr>
        <w:tc>
          <w:tcPr>
            <w:tcW w:w="5536" w:type="dxa"/>
            <w:noWrap w:val="0"/>
            <w:vAlign w:val="top"/>
          </w:tcPr>
          <w:p>
            <w:pPr>
              <w:spacing w:line="40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供应商名称（加盖公章）：                         </w:t>
            </w:r>
          </w:p>
        </w:tc>
        <w:tc>
          <w:tcPr>
            <w:tcW w:w="2992" w:type="dxa"/>
            <w:noWrap w:val="0"/>
            <w:vAlign w:val="top"/>
          </w:tcPr>
          <w:p>
            <w:pPr>
              <w:spacing w:line="400" w:lineRule="exact"/>
              <w:ind w:firstLine="480" w:firstLineChars="200"/>
              <w:jc w:val="left"/>
              <w:rPr>
                <w:rFonts w:hint="eastAsia"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500" w:hRule="atLeast"/>
        </w:trPr>
        <w:tc>
          <w:tcPr>
            <w:tcW w:w="5536" w:type="dxa"/>
            <w:noWrap w:val="0"/>
            <w:vAlign w:val="top"/>
          </w:tcPr>
          <w:p>
            <w:pPr>
              <w:spacing w:line="40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法定代表人或受委托人（签名或盖私章）：     </w:t>
            </w:r>
          </w:p>
        </w:tc>
        <w:tc>
          <w:tcPr>
            <w:tcW w:w="2992" w:type="dxa"/>
            <w:noWrap w:val="0"/>
            <w:vAlign w:val="top"/>
          </w:tcPr>
          <w:p>
            <w:pPr>
              <w:spacing w:line="400" w:lineRule="exact"/>
              <w:ind w:firstLine="480" w:firstLineChars="200"/>
              <w:jc w:val="left"/>
              <w:rPr>
                <w:rFonts w:hint="eastAsia"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c>
          <w:tcPr>
            <w:tcW w:w="5536" w:type="dxa"/>
            <w:noWrap w:val="0"/>
            <w:vAlign w:val="top"/>
          </w:tcPr>
          <w:p>
            <w:pPr>
              <w:spacing w:line="40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日期：   年   月   日</w:t>
            </w:r>
          </w:p>
        </w:tc>
        <w:tc>
          <w:tcPr>
            <w:tcW w:w="2992" w:type="dxa"/>
            <w:noWrap w:val="0"/>
            <w:vAlign w:val="top"/>
          </w:tcPr>
          <w:p>
            <w:pPr>
              <w:spacing w:line="400" w:lineRule="exact"/>
              <w:ind w:firstLine="480" w:firstLineChars="200"/>
              <w:jc w:val="left"/>
              <w:rPr>
                <w:rFonts w:hint="eastAsia" w:ascii="仿宋_GB2312" w:hAnsi="仿宋_GB2312" w:eastAsia="仿宋_GB2312" w:cs="仿宋_GB2312"/>
                <w:color w:val="000000"/>
                <w:sz w:val="24"/>
                <w:szCs w:val="24"/>
                <w:highlight w:val="none"/>
              </w:rPr>
            </w:pPr>
          </w:p>
        </w:tc>
      </w:tr>
    </w:tbl>
    <w:p>
      <w:pPr>
        <w:pStyle w:val="6"/>
        <w:tabs>
          <w:tab w:val="left" w:pos="5580"/>
        </w:tabs>
        <w:spacing w:line="400" w:lineRule="exact"/>
        <w:ind w:left="1080" w:leftChars="257" w:hanging="540"/>
        <w:jc w:val="left"/>
        <w:rPr>
          <w:rFonts w:hint="eastAsia" w:ascii="仿宋_GB2312" w:hAnsi="仿宋_GB2312" w:eastAsia="仿宋_GB2312" w:cs="仿宋_GB2312"/>
          <w:b/>
          <w:bCs/>
          <w:color w:val="000000"/>
          <w:sz w:val="24"/>
          <w:szCs w:val="24"/>
          <w:highlight w:val="none"/>
        </w:rPr>
      </w:pPr>
    </w:p>
    <w:p>
      <w:pPr>
        <w:pStyle w:val="6"/>
        <w:tabs>
          <w:tab w:val="left" w:pos="5580"/>
        </w:tabs>
        <w:spacing w:line="400" w:lineRule="exact"/>
        <w:ind w:left="1080" w:leftChars="257" w:hanging="540"/>
        <w:jc w:val="left"/>
        <w:rPr>
          <w:rFonts w:hint="eastAsia" w:ascii="仿宋_GB2312" w:hAnsi="仿宋_GB2312" w:eastAsia="仿宋_GB2312" w:cs="仿宋_GB2312"/>
          <w:b/>
          <w:bCs/>
          <w:color w:val="000000"/>
          <w:sz w:val="24"/>
          <w:szCs w:val="24"/>
          <w:highlight w:val="none"/>
        </w:rPr>
      </w:pPr>
    </w:p>
    <w:p>
      <w:pPr>
        <w:pStyle w:val="6"/>
        <w:tabs>
          <w:tab w:val="left" w:pos="5580"/>
        </w:tabs>
        <w:spacing w:line="400" w:lineRule="exact"/>
        <w:ind w:left="1080" w:leftChars="257" w:hanging="540"/>
        <w:jc w:val="left"/>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注:此表应按供应商须知的规定装订密封。</w:t>
      </w:r>
    </w:p>
    <w:p>
      <w:pPr>
        <w:pStyle w:val="2"/>
        <w:spacing w:after="0" w:line="560" w:lineRule="exact"/>
        <w:rPr>
          <w:rFonts w:hint="eastAsia" w:ascii="仿宋_GB2312" w:hAnsi="仿宋_GB2312" w:eastAsia="仿宋_GB2312" w:cs="仿宋_GB2312"/>
          <w:color w:val="000000"/>
          <w:sz w:val="24"/>
          <w:szCs w:val="24"/>
          <w:highlight w:val="none"/>
        </w:rPr>
      </w:pPr>
    </w:p>
    <w:p>
      <w:pPr>
        <w:pStyle w:val="3"/>
        <w:jc w:val="center"/>
        <w:rPr>
          <w:rFonts w:hint="eastAsia" w:ascii="仿宋_GB2312" w:hAnsi="仿宋_GB2312" w:eastAsia="仿宋_GB2312" w:cs="仿宋_GB2312"/>
          <w:color w:val="000000"/>
          <w:sz w:val="24"/>
          <w:szCs w:val="24"/>
          <w:highlight w:val="none"/>
        </w:rPr>
      </w:pPr>
      <w:bookmarkStart w:id="152" w:name="_Toc10509"/>
      <w:bookmarkStart w:id="153" w:name="_Toc30220"/>
      <w:bookmarkStart w:id="154" w:name="_Toc15900"/>
      <w:bookmarkStart w:id="155" w:name="_Toc21099"/>
      <w:bookmarkStart w:id="156" w:name="_Toc417050654"/>
      <w:r>
        <w:rPr>
          <w:rFonts w:hint="eastAsia" w:ascii="仿宋_GB2312" w:hAnsi="仿宋_GB2312" w:eastAsia="仿宋_GB2312" w:cs="仿宋_GB2312"/>
          <w:color w:val="000000"/>
          <w:sz w:val="24"/>
          <w:szCs w:val="24"/>
          <w:highlight w:val="none"/>
        </w:rPr>
        <w:t>商务文件</w:t>
      </w:r>
      <w:bookmarkEnd w:id="152"/>
      <w:bookmarkEnd w:id="153"/>
      <w:bookmarkEnd w:id="154"/>
      <w:bookmarkEnd w:id="155"/>
      <w:bookmarkEnd w:id="156"/>
    </w:p>
    <w:p>
      <w:pPr>
        <w:rPr>
          <w:rFonts w:hint="eastAsia"/>
          <w:lang w:eastAsia="zh-CN"/>
        </w:rPr>
      </w:pPr>
    </w:p>
    <w:p>
      <w:pPr>
        <w:jc w:val="center"/>
        <w:rPr>
          <w:rFonts w:hint="eastAsia" w:ascii="仿宋_GB2312" w:hAnsi="仿宋_GB2312" w:eastAsia="仿宋_GB2312" w:cs="仿宋_GB2312"/>
          <w:highlight w:val="none"/>
        </w:rPr>
      </w:pPr>
      <w:r>
        <w:rPr>
          <w:rFonts w:hint="eastAsia" w:ascii="仿宋_GB2312" w:hAnsi="仿宋_GB2312" w:eastAsia="仿宋_GB2312" w:cs="仿宋_GB2312"/>
          <w:b/>
          <w:sz w:val="24"/>
          <w:highlight w:val="none"/>
          <w:lang w:val="en-US" w:eastAsia="zh-CN"/>
        </w:rPr>
        <w:t>1.</w:t>
      </w:r>
      <w:r>
        <w:rPr>
          <w:rFonts w:hint="eastAsia" w:ascii="仿宋_GB2312" w:hAnsi="仿宋_GB2312" w:eastAsia="仿宋_GB2312" w:cs="仿宋_GB2312"/>
          <w:b/>
          <w:sz w:val="24"/>
          <w:highlight w:val="none"/>
        </w:rPr>
        <w:t>询价响应承诺函</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致：</w:t>
      </w:r>
      <w:r>
        <w:rPr>
          <w:rFonts w:hint="eastAsia" w:ascii="仿宋_GB2312" w:hAnsi="仿宋_GB2312" w:eastAsia="仿宋_GB2312" w:cs="仿宋_GB2312"/>
          <w:highlight w:val="none"/>
          <w:u w:val="single"/>
        </w:rPr>
        <w:t>东莞市万江招投标服务所</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你方组织的</w:t>
      </w:r>
      <w:r>
        <w:rPr>
          <w:rFonts w:hint="eastAsia" w:ascii="仿宋_GB2312" w:hAnsi="仿宋_GB2312" w:eastAsia="仿宋_GB2312" w:cs="仿宋_GB2312"/>
          <w:highlight w:val="none"/>
          <w:u w:val="single"/>
          <w:lang w:eastAsia="zh-CN"/>
        </w:rPr>
        <w:t>万江街道办事处网络安全设备采购项目</w:t>
      </w:r>
      <w:r>
        <w:rPr>
          <w:rFonts w:hint="eastAsia" w:ascii="仿宋_GB2312" w:hAnsi="仿宋_GB2312" w:eastAsia="仿宋_GB2312" w:cs="仿宋_GB2312"/>
          <w:highlight w:val="none"/>
        </w:rPr>
        <w:t>项目的询价[采购项目编号为：</w:t>
      </w:r>
      <w:r>
        <w:rPr>
          <w:rFonts w:hint="eastAsia" w:ascii="仿宋_GB2312" w:hAnsi="仿宋_GB2312" w:eastAsia="仿宋_GB2312" w:cs="仿宋_GB2312"/>
          <w:highlight w:val="none"/>
          <w:lang w:val="en-US" w:eastAsia="zh-CN"/>
        </w:rPr>
        <w:t xml:space="preserve">                  </w:t>
      </w:r>
      <w:r>
        <w:rPr>
          <w:rFonts w:hint="eastAsia" w:ascii="仿宋_GB2312" w:hAnsi="仿宋_GB2312" w:eastAsia="仿宋_GB2312" w:cs="仿宋_GB2312"/>
          <w:highlight w:val="none"/>
        </w:rPr>
        <w:t>]，我方愿参与响应。</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我方确认收到贵方提供的</w:t>
      </w:r>
      <w:r>
        <w:rPr>
          <w:rFonts w:hint="eastAsia" w:ascii="仿宋_GB2312" w:hAnsi="仿宋_GB2312" w:eastAsia="仿宋_GB2312" w:cs="仿宋_GB2312"/>
          <w:highlight w:val="none"/>
          <w:u w:val="single"/>
          <w:lang w:eastAsia="zh-CN"/>
        </w:rPr>
        <w:t>万江街道办事处网络安全设备采购项目</w:t>
      </w:r>
      <w:r>
        <w:rPr>
          <w:rFonts w:hint="eastAsia" w:ascii="仿宋_GB2312" w:hAnsi="仿宋_GB2312" w:eastAsia="仿宋_GB2312" w:cs="仿宋_GB2312"/>
          <w:highlight w:val="none"/>
        </w:rPr>
        <w:t>的询价通知书的全部内容。</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我方在参与响应前已详细研究了询价通知书的所有内容，包括澄清、修改文件（如果有）和所有已提供的参考资料以及有关附件，我方完全明白并认为此询价通知书没有倾向性，也不存在排斥潜在供应商的内容，我方同意询价通知书的相关条款，放弃对询价通知书提出误解和质疑的一切权力。</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u w:val="single"/>
        </w:rPr>
        <w:t>(供应商名称)</w:t>
      </w:r>
      <w:r>
        <w:rPr>
          <w:rFonts w:hint="eastAsia" w:ascii="仿宋_GB2312" w:hAnsi="仿宋_GB2312" w:eastAsia="仿宋_GB2312" w:cs="仿宋_GB2312"/>
          <w:highlight w:val="none"/>
        </w:rPr>
        <w:t>作为响应供应商正式授权</w:t>
      </w:r>
      <w:r>
        <w:rPr>
          <w:rFonts w:hint="eastAsia" w:ascii="仿宋_GB2312" w:hAnsi="仿宋_GB2312" w:eastAsia="仿宋_GB2312" w:cs="仿宋_GB2312"/>
          <w:highlight w:val="none"/>
          <w:u w:val="single"/>
        </w:rPr>
        <w:t>(授权代表全名, 职务)</w:t>
      </w:r>
      <w:r>
        <w:rPr>
          <w:rFonts w:hint="eastAsia" w:ascii="仿宋_GB2312" w:hAnsi="仿宋_GB2312" w:eastAsia="仿宋_GB2312" w:cs="仿宋_GB2312"/>
          <w:highlight w:val="none"/>
        </w:rPr>
        <w:t>代表我方全权处理有关本次询价响应的一切事宜。</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我方已完全明白询价通知书的所有条款要求，并申明如下：</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（一）按询价通知书提供的全部货物与相关服务的响应总价详见《报价一览表》。</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（三）我方明白并同意，在规定的开启日之后，响应有效期之内撤回响应或成交后不按规定与采购人签订合同或不提交履约保证金, 则贵方将不予退还响应保证金。</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（四）我方愿意向贵方提供任何与本项报价有关的数据、情况和技术资料。若贵方需要，我方愿意提供我方作出的一切承诺的证明材料。</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（五）我方如果成交，将保证履行询价通知书及其澄清、修改文件（如果有）中的全部责任和义务，按质、按量、按期完成《采购需求》及《合同书》中的全部任务。</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（六）我方作为法律、财务和运作上独立于采购人、采购代理机构的供应商，在此保证所提交的所有文件和全部说明是真实的和正确的。</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（七）我方响应报价已包含应向知识产权所有权人支付的所有相关税费，并保证采购人在中国使用我方提供的货物时，如有第三方提出侵犯其知识产权主张的，责任由我方承担。</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（八）我方接受采购人委托向贵方支付代理服务费，项目总报价已包含代理服务费，如果被确定为成交供应商，承诺向贵方足额支付。</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（九）我方与其他供应商不存在单位负责人为同一人或者存在直接控股、管理关系。</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（十）我方承诺未为本项目提供整体设计、规范编制或者项目管理、监理、检测等服务。</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（十一）我方未被列入法院失信被执行人名单中。</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（十二）我方具备《中华人民共和国政府采购法》第二十二条规定的条件，承诺如下：</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（2）我方符合法律、行政法规规定的其他条件。</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以上内容如有虚假或与事实不符的，询价小组可将我方做无效响应处理，我方愿意承担相应的法律责任。</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（十三）我方对在本函及响应文件中所作的所有承诺承担法律责任。</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（十四）所有与本询价有关的函件请发往下列地址：</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地 址：__________________邮政编码：__________________</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电 话：__________________</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传 真：__________________</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代表姓名：________________</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职 务：__________________</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供应商法定代表人（或法定代表人授权代表）签字或盖章：__________________</w:t>
      </w:r>
    </w:p>
    <w:p>
      <w:pPr>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供应商名称（盖章）：__________________</w:t>
      </w:r>
    </w:p>
    <w:p>
      <w:pPr>
        <w:jc w:val="right"/>
        <w:rPr>
          <w:rFonts w:hint="eastAsia" w:ascii="仿宋_GB2312" w:hAnsi="仿宋_GB2312" w:eastAsia="仿宋_GB2312" w:cs="仿宋_GB2312"/>
          <w:highlight w:val="none"/>
        </w:rPr>
      </w:pPr>
      <w:r>
        <w:rPr>
          <w:rFonts w:hint="eastAsia" w:ascii="仿宋_GB2312" w:hAnsi="仿宋_GB2312" w:eastAsia="仿宋_GB2312" w:cs="仿宋_GB2312"/>
          <w:highlight w:val="none"/>
        </w:rPr>
        <w:t>日期： 年 月 日</w:t>
      </w:r>
    </w:p>
    <w:p>
      <w:pPr>
        <w:pStyle w:val="2"/>
        <w:spacing w:after="0" w:line="560" w:lineRule="exact"/>
        <w:rPr>
          <w:rFonts w:hint="eastAsia" w:ascii="仿宋_GB2312" w:hAnsi="仿宋_GB2312" w:eastAsia="仿宋_GB2312" w:cs="仿宋_GB2312"/>
          <w:color w:val="000000"/>
          <w:sz w:val="24"/>
          <w:szCs w:val="24"/>
          <w:highlight w:val="none"/>
        </w:rPr>
      </w:pPr>
    </w:p>
    <w:p>
      <w:pPr>
        <w:rPr>
          <w:rFonts w:hint="eastAsia" w:ascii="仿宋_GB2312" w:hAnsi="仿宋_GB2312" w:eastAsia="仿宋_GB2312" w:cs="仿宋_GB2312"/>
          <w:b/>
          <w:color w:val="000000"/>
          <w:sz w:val="24"/>
          <w:szCs w:val="24"/>
          <w:highlight w:val="none"/>
        </w:rPr>
      </w:pPr>
      <w:bookmarkStart w:id="157" w:name="_Toc417050656"/>
      <w:bookmarkStart w:id="158" w:name="_Toc88985367"/>
      <w:bookmarkStart w:id="159" w:name="_Toc210188796"/>
      <w:r>
        <w:rPr>
          <w:rFonts w:hint="eastAsia" w:ascii="仿宋_GB2312" w:hAnsi="仿宋_GB2312" w:eastAsia="仿宋_GB2312" w:cs="仿宋_GB2312"/>
          <w:color w:val="000000"/>
          <w:sz w:val="24"/>
          <w:szCs w:val="24"/>
          <w:highlight w:val="none"/>
        </w:rPr>
        <w:br w:type="page"/>
      </w:r>
      <w:r>
        <w:rPr>
          <w:rFonts w:hint="eastAsia" w:ascii="仿宋_GB2312" w:hAnsi="仿宋_GB2312" w:eastAsia="仿宋_GB2312" w:cs="仿宋_GB2312"/>
          <w:b/>
          <w:color w:val="000000"/>
          <w:sz w:val="24"/>
          <w:szCs w:val="24"/>
          <w:highlight w:val="none"/>
        </w:rPr>
        <w:t>2索引表</w:t>
      </w:r>
    </w:p>
    <w:p>
      <w:pPr>
        <w:jc w:val="center"/>
        <w:rPr>
          <w:rFonts w:hint="eastAsia" w:ascii="仿宋_GB2312" w:hAnsi="仿宋_GB2312" w:eastAsia="仿宋_GB2312" w:cs="仿宋_GB2312"/>
          <w:b/>
          <w:color w:val="000000"/>
          <w:sz w:val="24"/>
          <w:szCs w:val="24"/>
          <w:highlight w:val="none"/>
        </w:rPr>
      </w:pPr>
    </w:p>
    <w:p>
      <w:pPr>
        <w:rPr>
          <w:rFonts w:hint="default" w:ascii="仿宋_GB2312" w:hAnsi="仿宋_GB2312" w:eastAsia="仿宋_GB2312" w:cs="仿宋_GB2312"/>
          <w:b/>
          <w:color w:val="000000"/>
          <w:sz w:val="24"/>
          <w:szCs w:val="24"/>
          <w:highlight w:val="none"/>
          <w:lang w:val="en-US" w:eastAsia="zh-CN"/>
        </w:rPr>
      </w:pPr>
      <w:r>
        <w:rPr>
          <w:rFonts w:hint="eastAsia" w:ascii="仿宋_GB2312" w:hAnsi="仿宋_GB2312" w:eastAsia="仿宋_GB2312" w:cs="仿宋_GB2312"/>
          <w:b/>
          <w:color w:val="000000"/>
          <w:sz w:val="24"/>
          <w:szCs w:val="24"/>
          <w:highlight w:val="none"/>
        </w:rPr>
        <w:br w:type="page"/>
      </w:r>
      <w:r>
        <w:rPr>
          <w:rFonts w:hint="eastAsia" w:ascii="仿宋_GB2312" w:hAnsi="仿宋_GB2312" w:eastAsia="仿宋_GB2312" w:cs="仿宋_GB2312"/>
          <w:b/>
          <w:color w:val="000000"/>
          <w:sz w:val="24"/>
          <w:szCs w:val="24"/>
          <w:highlight w:val="none"/>
        </w:rPr>
        <w:t>2.1资格性审查索引表</w:t>
      </w:r>
    </w:p>
    <w:p>
      <w:pPr>
        <w:jc w:val="center"/>
        <w:rPr>
          <w:rFonts w:hint="eastAsia" w:ascii="仿宋_GB2312" w:hAnsi="仿宋_GB2312" w:eastAsia="仿宋_GB2312" w:cs="仿宋_GB2312"/>
          <w:b/>
          <w:color w:val="000000"/>
          <w:sz w:val="24"/>
          <w:szCs w:val="24"/>
          <w:highlight w:val="none"/>
        </w:rPr>
      </w:pPr>
    </w:p>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b/>
          <w:bCs/>
          <w:color w:val="000000"/>
          <w:sz w:val="24"/>
          <w:szCs w:val="24"/>
          <w:highlight w:val="none"/>
        </w:rPr>
        <w:t>资格性审查索引表</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9"/>
        <w:gridCol w:w="1656"/>
        <w:gridCol w:w="3156"/>
        <w:gridCol w:w="37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序号</w:t>
            </w:r>
          </w:p>
        </w:tc>
        <w:tc>
          <w:tcPr>
            <w:tcW w:w="4273" w:type="dxa"/>
            <w:gridSpan w:val="2"/>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资格审查内容</w:t>
            </w:r>
          </w:p>
        </w:tc>
        <w:tc>
          <w:tcPr>
            <w:tcW w:w="4273" w:type="dxa"/>
          </w:tcPr>
          <w:p>
            <w:pPr>
              <w:jc w:val="cente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1</w:t>
            </w:r>
          </w:p>
        </w:tc>
        <w:tc>
          <w:tcPr>
            <w:tcW w:w="1831"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具有独立承担民事责任的能力</w:t>
            </w:r>
          </w:p>
        </w:tc>
        <w:tc>
          <w:tcPr>
            <w:tcW w:w="244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c>
          <w:tcPr>
            <w:tcW w:w="4273" w:type="dxa"/>
          </w:tcPr>
          <w:p>
            <w:pPr>
              <w:rPr>
                <w:rFonts w:hint="eastAsia" w:ascii="仿宋_GB2312" w:hAnsi="仿宋_GB2312" w:eastAsia="仿宋_GB2312" w:cs="仿宋_GB2312"/>
                <w:highlight w:val="none"/>
              </w:rPr>
            </w:pPr>
            <w:r>
              <w:rPr>
                <w:rFonts w:hint="eastAsia" w:ascii="仿宋_GB2312" w:hAnsi="仿宋_GB2312" w:eastAsia="仿宋_GB2312" w:cs="仿宋_GB2312"/>
                <w:color w:val="000000"/>
                <w:sz w:val="24"/>
                <w:szCs w:val="24"/>
                <w:highlight w:val="none"/>
              </w:rPr>
              <w:t>请见响应文件第（）页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2</w:t>
            </w:r>
          </w:p>
        </w:tc>
        <w:tc>
          <w:tcPr>
            <w:tcW w:w="1831"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有依法缴纳税收和社会保障资金的良好记录</w:t>
            </w:r>
          </w:p>
        </w:tc>
        <w:tc>
          <w:tcPr>
            <w:tcW w:w="244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提供投标截止日前6个月内任意1个月依法缴纳税收和社会保障资金的相关材料。 如依法免税或不需要缴纳社会保障资金的， 提供相应证明材料。</w:t>
            </w:r>
          </w:p>
        </w:tc>
        <w:tc>
          <w:tcPr>
            <w:tcW w:w="4273" w:type="dxa"/>
          </w:tcPr>
          <w:p>
            <w:pPr>
              <w:rPr>
                <w:rFonts w:hint="eastAsia" w:ascii="仿宋_GB2312" w:hAnsi="仿宋_GB2312" w:eastAsia="仿宋_GB2312" w:cs="仿宋_GB2312"/>
                <w:highlight w:val="none"/>
              </w:rPr>
            </w:pPr>
            <w:r>
              <w:rPr>
                <w:rFonts w:hint="eastAsia" w:ascii="仿宋_GB2312" w:hAnsi="仿宋_GB2312" w:eastAsia="仿宋_GB2312" w:cs="仿宋_GB2312"/>
                <w:color w:val="000000"/>
                <w:sz w:val="24"/>
                <w:szCs w:val="24"/>
                <w:highlight w:val="none"/>
              </w:rPr>
              <w:t>请见响应文件第（）页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3</w:t>
            </w:r>
          </w:p>
        </w:tc>
        <w:tc>
          <w:tcPr>
            <w:tcW w:w="1831"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具有良好的商业信誉和健全的财务会计制度</w:t>
            </w:r>
          </w:p>
        </w:tc>
        <w:tc>
          <w:tcPr>
            <w:tcW w:w="244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供应商必须具有良好的商业信誉和健全的财务会计制度（提供2021年度财务状况报告或基本开户行出具的资信证明或专业担保机构出具的投标担保函） 。</w:t>
            </w:r>
          </w:p>
        </w:tc>
        <w:tc>
          <w:tcPr>
            <w:tcW w:w="4273" w:type="dxa"/>
          </w:tcPr>
          <w:p>
            <w:pPr>
              <w:rPr>
                <w:rFonts w:hint="eastAsia" w:ascii="仿宋_GB2312" w:hAnsi="仿宋_GB2312" w:eastAsia="仿宋_GB2312" w:cs="仿宋_GB2312"/>
                <w:highlight w:val="none"/>
              </w:rPr>
            </w:pPr>
            <w:r>
              <w:rPr>
                <w:rFonts w:hint="eastAsia" w:ascii="仿宋_GB2312" w:hAnsi="仿宋_GB2312" w:eastAsia="仿宋_GB2312" w:cs="仿宋_GB2312"/>
                <w:color w:val="000000"/>
                <w:sz w:val="24"/>
                <w:szCs w:val="24"/>
                <w:highlight w:val="none"/>
              </w:rPr>
              <w:t>请见响应文件第（）页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4</w:t>
            </w:r>
          </w:p>
        </w:tc>
        <w:tc>
          <w:tcPr>
            <w:tcW w:w="1831"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履行合同所必需的设备和专业技术能力</w:t>
            </w:r>
          </w:p>
        </w:tc>
        <w:tc>
          <w:tcPr>
            <w:tcW w:w="244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按投标（响应）文件格式填报设备及专业技术能力情况，否则视为不符合。</w:t>
            </w:r>
          </w:p>
        </w:tc>
        <w:tc>
          <w:tcPr>
            <w:tcW w:w="4273" w:type="dxa"/>
          </w:tcPr>
          <w:p>
            <w:pPr>
              <w:rPr>
                <w:rFonts w:hint="eastAsia" w:ascii="仿宋_GB2312" w:hAnsi="仿宋_GB2312" w:eastAsia="仿宋_GB2312" w:cs="仿宋_GB2312"/>
                <w:highlight w:val="none"/>
              </w:rPr>
            </w:pPr>
            <w:r>
              <w:rPr>
                <w:rFonts w:hint="eastAsia" w:ascii="仿宋_GB2312" w:hAnsi="仿宋_GB2312" w:eastAsia="仿宋_GB2312" w:cs="仿宋_GB2312"/>
                <w:color w:val="000000"/>
                <w:sz w:val="24"/>
                <w:szCs w:val="24"/>
                <w:highlight w:val="none"/>
              </w:rPr>
              <w:t>请见响应文件第（）页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5</w:t>
            </w:r>
          </w:p>
        </w:tc>
        <w:tc>
          <w:tcPr>
            <w:tcW w:w="1831"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参加采购活动前3年内，在经营活动中没有重大违法记录</w:t>
            </w:r>
          </w:p>
        </w:tc>
        <w:tc>
          <w:tcPr>
            <w:tcW w:w="244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4273" w:type="dxa"/>
          </w:tcPr>
          <w:p>
            <w:pPr>
              <w:rPr>
                <w:rFonts w:hint="eastAsia" w:ascii="仿宋_GB2312" w:hAnsi="仿宋_GB2312" w:eastAsia="仿宋_GB2312" w:cs="仿宋_GB2312"/>
                <w:highlight w:val="none"/>
              </w:rPr>
            </w:pPr>
            <w:r>
              <w:rPr>
                <w:rFonts w:hint="eastAsia" w:ascii="仿宋_GB2312" w:hAnsi="仿宋_GB2312" w:eastAsia="仿宋_GB2312" w:cs="仿宋_GB2312"/>
                <w:color w:val="000000"/>
                <w:sz w:val="24"/>
                <w:szCs w:val="24"/>
                <w:highlight w:val="none"/>
              </w:rPr>
              <w:t>请见响应文件第（）页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6</w:t>
            </w:r>
          </w:p>
        </w:tc>
        <w:tc>
          <w:tcPr>
            <w:tcW w:w="1831"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信用记录</w:t>
            </w:r>
          </w:p>
        </w:tc>
        <w:tc>
          <w:tcPr>
            <w:tcW w:w="244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c>
          <w:tcPr>
            <w:tcW w:w="4273" w:type="dxa"/>
          </w:tcPr>
          <w:p>
            <w:pPr>
              <w:rPr>
                <w:rFonts w:hint="eastAsia" w:ascii="仿宋_GB2312" w:hAnsi="仿宋_GB2312" w:eastAsia="仿宋_GB2312" w:cs="仿宋_GB2312"/>
                <w:highlight w:val="none"/>
              </w:rPr>
            </w:pPr>
            <w:r>
              <w:rPr>
                <w:rFonts w:hint="eastAsia" w:ascii="仿宋_GB2312" w:hAnsi="仿宋_GB2312" w:eastAsia="仿宋_GB2312" w:cs="仿宋_GB2312"/>
                <w:color w:val="000000"/>
                <w:sz w:val="24"/>
                <w:szCs w:val="24"/>
                <w:highlight w:val="none"/>
              </w:rPr>
              <w:t>请见响应文件第（）页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7</w:t>
            </w:r>
          </w:p>
        </w:tc>
        <w:tc>
          <w:tcPr>
            <w:tcW w:w="1831"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供应商必须符合法律、行政法规规定的其他条件</w:t>
            </w:r>
          </w:p>
        </w:tc>
        <w:tc>
          <w:tcPr>
            <w:tcW w:w="244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w:t>
            </w:r>
          </w:p>
        </w:tc>
        <w:tc>
          <w:tcPr>
            <w:tcW w:w="4273" w:type="dxa"/>
          </w:tcPr>
          <w:p>
            <w:pPr>
              <w:rPr>
                <w:rFonts w:hint="eastAsia" w:ascii="仿宋_GB2312" w:hAnsi="仿宋_GB2312" w:eastAsia="仿宋_GB2312" w:cs="仿宋_GB2312"/>
                <w:highlight w:val="none"/>
              </w:rPr>
            </w:pPr>
            <w:r>
              <w:rPr>
                <w:rFonts w:hint="eastAsia" w:ascii="仿宋_GB2312" w:hAnsi="仿宋_GB2312" w:eastAsia="仿宋_GB2312" w:cs="仿宋_GB2312"/>
                <w:color w:val="000000"/>
                <w:sz w:val="24"/>
                <w:szCs w:val="24"/>
                <w:highlight w:val="none"/>
              </w:rPr>
              <w:t>请见响应文件第（）页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8</w:t>
            </w:r>
          </w:p>
        </w:tc>
        <w:tc>
          <w:tcPr>
            <w:tcW w:w="1831"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促进中小企业发展</w:t>
            </w:r>
          </w:p>
        </w:tc>
        <w:tc>
          <w:tcPr>
            <w:tcW w:w="244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采购包</w:t>
            </w:r>
            <w:r>
              <w:rPr>
                <w:rFonts w:hint="eastAsia" w:ascii="仿宋_GB2312" w:hAnsi="仿宋_GB2312" w:eastAsia="仿宋_GB2312" w:cs="仿宋_GB2312"/>
                <w:highlight w:val="none"/>
                <w:lang w:eastAsia="zh-CN"/>
              </w:rPr>
              <w:t>不</w:t>
            </w:r>
            <w:r>
              <w:rPr>
                <w:rFonts w:hint="eastAsia" w:ascii="仿宋_GB2312" w:hAnsi="仿宋_GB2312" w:eastAsia="仿宋_GB2312" w:cs="仿宋_GB2312"/>
                <w:highlight w:val="none"/>
              </w:rPr>
              <w:t>专门面向中小企业</w:t>
            </w:r>
          </w:p>
        </w:tc>
        <w:tc>
          <w:tcPr>
            <w:tcW w:w="4273" w:type="dxa"/>
          </w:tcPr>
          <w:p>
            <w:pPr>
              <w:rPr>
                <w:rFonts w:hint="eastAsia" w:ascii="仿宋_GB2312" w:hAnsi="仿宋_GB2312" w:eastAsia="仿宋_GB2312" w:cs="仿宋_GB2312"/>
                <w:highlight w:val="none"/>
              </w:rPr>
            </w:pPr>
            <w:r>
              <w:rPr>
                <w:rFonts w:hint="eastAsia" w:ascii="仿宋_GB2312" w:hAnsi="仿宋_GB2312" w:eastAsia="仿宋_GB2312" w:cs="仿宋_GB2312"/>
                <w:color w:val="000000"/>
                <w:sz w:val="24"/>
                <w:szCs w:val="24"/>
                <w:highlight w:val="none"/>
              </w:rPr>
              <w:t>请见响应文件第（）页</w:t>
            </w:r>
          </w:p>
        </w:tc>
      </w:tr>
    </w:tbl>
    <w:p>
      <w:pPr>
        <w:rPr>
          <w:rFonts w:hint="eastAsia" w:ascii="仿宋_GB2312" w:hAnsi="仿宋_GB2312" w:eastAsia="仿宋_GB2312" w:cs="仿宋_GB2312"/>
          <w:b/>
          <w:bCs/>
          <w:color w:val="000000"/>
          <w:sz w:val="24"/>
          <w:szCs w:val="24"/>
          <w:highlight w:val="none"/>
        </w:rPr>
      </w:pPr>
    </w:p>
    <w:p>
      <w:pPr>
        <w:rPr>
          <w:rFonts w:hint="eastAsia" w:ascii="仿宋_GB2312" w:hAnsi="仿宋_GB2312" w:eastAsia="仿宋_GB2312" w:cs="仿宋_GB2312"/>
          <w:b/>
          <w:bCs/>
          <w:color w:val="000000"/>
          <w:sz w:val="24"/>
          <w:szCs w:val="24"/>
          <w:highlight w:val="none"/>
        </w:rPr>
      </w:pPr>
    </w:p>
    <w:p>
      <w:pP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 xml:space="preserve">备注：以上材料将作为供应商资格审核的重要内容，供应商必须严格按照其内容要求在响应文件中对应如实提供。 </w:t>
      </w:r>
    </w:p>
    <w:p>
      <w:pPr>
        <w:rPr>
          <w:rFonts w:hint="eastAsia" w:ascii="仿宋_GB2312" w:hAnsi="仿宋_GB2312" w:eastAsia="仿宋_GB2312" w:cs="仿宋_GB2312"/>
          <w:color w:val="000000"/>
          <w:sz w:val="24"/>
          <w:szCs w:val="24"/>
          <w:highlight w:val="none"/>
        </w:rPr>
      </w:pPr>
    </w:p>
    <w:p>
      <w:pP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br w:type="page"/>
      </w:r>
    </w:p>
    <w:p>
      <w:pP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2.2符合性审查索引表</w:t>
      </w:r>
    </w:p>
    <w:p>
      <w:pPr>
        <w:jc w:val="center"/>
        <w:rPr>
          <w:rFonts w:hint="eastAsia" w:ascii="仿宋_GB2312" w:hAnsi="仿宋_GB2312" w:eastAsia="仿宋_GB2312" w:cs="仿宋_GB2312"/>
          <w:b/>
          <w:color w:val="000000"/>
          <w:sz w:val="24"/>
          <w:szCs w:val="24"/>
          <w:highlight w:val="none"/>
        </w:rPr>
      </w:pPr>
    </w:p>
    <w:p>
      <w:pPr>
        <w:jc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符合性审查索引表</w:t>
      </w:r>
    </w:p>
    <w:p>
      <w:pPr>
        <w:jc w:val="center"/>
        <w:rPr>
          <w:rFonts w:hint="eastAsia" w:ascii="仿宋_GB2312" w:hAnsi="仿宋_GB2312" w:eastAsia="仿宋_GB2312" w:cs="仿宋_GB2312"/>
          <w:b/>
          <w:color w:val="000000"/>
          <w:sz w:val="24"/>
          <w:szCs w:val="24"/>
          <w:highlight w:val="none"/>
        </w:rPr>
      </w:pP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2"/>
        <w:gridCol w:w="2295"/>
        <w:gridCol w:w="3060"/>
        <w:gridCol w:w="30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序号</w:t>
            </w:r>
          </w:p>
        </w:tc>
        <w:tc>
          <w:tcPr>
            <w:tcW w:w="2295"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评审点要求概况</w:t>
            </w:r>
          </w:p>
        </w:tc>
        <w:tc>
          <w:tcPr>
            <w:tcW w:w="3060"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评审点具体描述</w:t>
            </w:r>
          </w:p>
        </w:tc>
        <w:tc>
          <w:tcPr>
            <w:tcW w:w="3060" w:type="dxa"/>
          </w:tcPr>
          <w:p>
            <w:pPr>
              <w:jc w:val="cente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1</w:t>
            </w:r>
          </w:p>
        </w:tc>
        <w:tc>
          <w:tcPr>
            <w:tcW w:w="2295"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未按照询价文件规定要求签署和盖章的</w:t>
            </w:r>
          </w:p>
        </w:tc>
        <w:tc>
          <w:tcPr>
            <w:tcW w:w="3060"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未按照询价文件规定要求签署和盖章的</w:t>
            </w:r>
          </w:p>
        </w:tc>
        <w:tc>
          <w:tcPr>
            <w:tcW w:w="3060" w:type="dxa"/>
          </w:tcPr>
          <w:p>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2</w:t>
            </w:r>
          </w:p>
        </w:tc>
        <w:tc>
          <w:tcPr>
            <w:tcW w:w="2295"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报价不是固定价或者响应方案是可选择的</w:t>
            </w:r>
          </w:p>
        </w:tc>
        <w:tc>
          <w:tcPr>
            <w:tcW w:w="3060"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报价不是固定价或者响应方案是可选择的</w:t>
            </w:r>
          </w:p>
        </w:tc>
        <w:tc>
          <w:tcPr>
            <w:tcW w:w="3060" w:type="dxa"/>
          </w:tcPr>
          <w:p>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3</w:t>
            </w:r>
          </w:p>
        </w:tc>
        <w:tc>
          <w:tcPr>
            <w:tcW w:w="2295"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报价超过询价文件中规定的预算金额的，或者分项、分包最高限价的</w:t>
            </w:r>
          </w:p>
        </w:tc>
        <w:tc>
          <w:tcPr>
            <w:tcW w:w="3060"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报价超过询价文件中规定的预算金额的，或者分项、分包最高限价的</w:t>
            </w:r>
          </w:p>
        </w:tc>
        <w:tc>
          <w:tcPr>
            <w:tcW w:w="3060" w:type="dxa"/>
          </w:tcPr>
          <w:p>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4</w:t>
            </w:r>
          </w:p>
        </w:tc>
        <w:tc>
          <w:tcPr>
            <w:tcW w:w="2295"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不满足询价文件用户需求中的带“★”要求的</w:t>
            </w:r>
          </w:p>
        </w:tc>
        <w:tc>
          <w:tcPr>
            <w:tcW w:w="3060"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不满足询价文件用户需求中的带“★”要求的</w:t>
            </w:r>
          </w:p>
        </w:tc>
        <w:tc>
          <w:tcPr>
            <w:tcW w:w="3060" w:type="dxa"/>
          </w:tcPr>
          <w:p>
            <w:pPr>
              <w:rPr>
                <w:rFonts w:hint="eastAsia" w:ascii="仿宋_GB2312" w:hAnsi="仿宋_GB2312" w:eastAsia="仿宋_GB2312" w:cs="仿宋_GB2312"/>
                <w:highlight w:val="none"/>
              </w:rPr>
            </w:pPr>
            <w:r>
              <w:rPr>
                <w:rFonts w:hint="eastAsia" w:ascii="仿宋_GB2312" w:hAnsi="仿宋_GB2312" w:eastAsia="仿宋_GB2312" w:cs="仿宋_GB2312"/>
                <w:color w:val="000000"/>
                <w:sz w:val="24"/>
                <w:szCs w:val="24"/>
                <w:highlight w:val="none"/>
              </w:rPr>
              <w:t>请见响应文件第（）页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5</w:t>
            </w:r>
          </w:p>
        </w:tc>
        <w:tc>
          <w:tcPr>
            <w:tcW w:w="2295"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响应文件含有采购人不能接受的附加条件的</w:t>
            </w:r>
          </w:p>
        </w:tc>
        <w:tc>
          <w:tcPr>
            <w:tcW w:w="3060"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响应文件含有采购人不能接受的附加条件的</w:t>
            </w:r>
          </w:p>
        </w:tc>
        <w:tc>
          <w:tcPr>
            <w:tcW w:w="3060" w:type="dxa"/>
          </w:tcPr>
          <w:p>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2"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6</w:t>
            </w:r>
          </w:p>
        </w:tc>
        <w:tc>
          <w:tcPr>
            <w:tcW w:w="2295"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属于法律、法规及询价文件规定的其他无效情形的</w:t>
            </w:r>
          </w:p>
        </w:tc>
        <w:tc>
          <w:tcPr>
            <w:tcW w:w="3060" w:type="dxa"/>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属于法律、法规及询价文件规定的其他无效情形的</w:t>
            </w:r>
          </w:p>
        </w:tc>
        <w:tc>
          <w:tcPr>
            <w:tcW w:w="3060" w:type="dxa"/>
          </w:tcPr>
          <w:p>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w:t>
            </w:r>
          </w:p>
        </w:tc>
      </w:tr>
    </w:tbl>
    <w:p>
      <w:pPr>
        <w:rPr>
          <w:rFonts w:hint="eastAsia" w:ascii="仿宋_GB2312" w:hAnsi="仿宋_GB2312" w:eastAsia="仿宋_GB2312" w:cs="仿宋_GB2312"/>
          <w:color w:val="000000"/>
          <w:sz w:val="24"/>
          <w:szCs w:val="24"/>
          <w:highlight w:val="none"/>
        </w:rPr>
      </w:pPr>
    </w:p>
    <w:p>
      <w:pP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 xml:space="preserve">备注：以上材料将作为供应商符合性审核的重要内容，供应商必须严格按照其内容要求在响应文件中对应如实提供。 </w:t>
      </w:r>
    </w:p>
    <w:p>
      <w:pPr>
        <w:pStyle w:val="13"/>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br w:type="page"/>
      </w:r>
      <w:bookmarkStart w:id="160" w:name="_Toc26868"/>
      <w:bookmarkStart w:id="161" w:name="_Toc20055"/>
      <w:bookmarkStart w:id="162" w:name="_Toc24704"/>
      <w:bookmarkStart w:id="163" w:name="_Toc21657"/>
      <w:r>
        <w:rPr>
          <w:rFonts w:hint="eastAsia" w:ascii="仿宋_GB2312" w:hAnsi="仿宋_GB2312" w:eastAsia="仿宋_GB2312" w:cs="仿宋_GB2312"/>
          <w:color w:val="000000"/>
          <w:sz w:val="24"/>
          <w:szCs w:val="24"/>
          <w:highlight w:val="none"/>
        </w:rPr>
        <w:t>（二）资格证明文件</w:t>
      </w:r>
      <w:bookmarkEnd w:id="157"/>
      <w:bookmarkEnd w:id="160"/>
      <w:bookmarkEnd w:id="161"/>
      <w:bookmarkEnd w:id="162"/>
      <w:bookmarkEnd w:id="163"/>
    </w:p>
    <w:p>
      <w:pPr>
        <w:pStyle w:val="13"/>
        <w:outlineLvl w:val="9"/>
        <w:rPr>
          <w:rFonts w:hint="eastAsia" w:ascii="仿宋_GB2312" w:hAnsi="仿宋_GB2312" w:eastAsia="仿宋_GB2312" w:cs="仿宋_GB2312"/>
          <w:color w:val="000000"/>
          <w:sz w:val="24"/>
          <w:szCs w:val="24"/>
          <w:highlight w:val="none"/>
        </w:rPr>
      </w:pPr>
    </w:p>
    <w:p>
      <w:pPr>
        <w:pStyle w:val="13"/>
        <w:numPr>
          <w:ilvl w:val="0"/>
          <w:numId w:val="1"/>
        </w:numPr>
        <w:rPr>
          <w:rFonts w:hint="eastAsia" w:ascii="仿宋_GB2312" w:hAnsi="仿宋_GB2312" w:eastAsia="仿宋_GB2312" w:cs="仿宋_GB2312"/>
          <w:color w:val="000000"/>
          <w:sz w:val="24"/>
          <w:szCs w:val="24"/>
          <w:highlight w:val="none"/>
        </w:rPr>
      </w:pPr>
      <w:bookmarkStart w:id="164" w:name="_Toc20634"/>
      <w:bookmarkStart w:id="165" w:name="_Toc3667"/>
      <w:bookmarkStart w:id="166" w:name="_Toc417050657"/>
      <w:bookmarkStart w:id="167" w:name="_Toc26223"/>
      <w:bookmarkStart w:id="168" w:name="_Toc7430"/>
      <w:r>
        <w:rPr>
          <w:rFonts w:hint="eastAsia" w:ascii="仿宋_GB2312" w:hAnsi="仿宋_GB2312" w:eastAsia="仿宋_GB2312" w:cs="仿宋_GB2312"/>
          <w:color w:val="000000"/>
          <w:sz w:val="24"/>
          <w:szCs w:val="24"/>
          <w:highlight w:val="none"/>
        </w:rPr>
        <w:t>供应商资格声明函</w:t>
      </w:r>
      <w:bookmarkEnd w:id="164"/>
      <w:bookmarkEnd w:id="165"/>
      <w:bookmarkEnd w:id="166"/>
      <w:bookmarkEnd w:id="167"/>
      <w:bookmarkEnd w:id="168"/>
    </w:p>
    <w:p>
      <w:pPr>
        <w:pStyle w:val="13"/>
        <w:numPr>
          <w:ilvl w:val="0"/>
          <w:numId w:val="0"/>
        </w:numPr>
        <w:jc w:val="both"/>
        <w:outlineLvl w:val="9"/>
        <w:rPr>
          <w:rFonts w:hint="eastAsia" w:ascii="仿宋_GB2312" w:hAnsi="仿宋_GB2312" w:eastAsia="仿宋_GB2312" w:cs="仿宋_GB2312"/>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致：东莞市万江招投标服务所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本公司参加</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采购项目（采购编号：</w:t>
      </w:r>
      <w:r>
        <w:rPr>
          <w:rFonts w:hint="eastAsia" w:ascii="仿宋_GB2312" w:hAnsi="仿宋_GB2312" w:eastAsia="仿宋_GB2312" w:cs="仿宋_GB2312"/>
          <w:color w:val="000000"/>
          <w:sz w:val="24"/>
          <w:szCs w:val="24"/>
          <w:highlight w:val="none"/>
          <w:u w:val="single"/>
        </w:rPr>
        <w:t>　　　　</w:t>
      </w:r>
      <w:r>
        <w:rPr>
          <w:rFonts w:hint="eastAsia" w:ascii="仿宋_GB2312" w:hAnsi="仿宋_GB2312" w:eastAsia="仿宋_GB2312" w:cs="仿宋_GB2312"/>
          <w:color w:val="000000"/>
          <w:sz w:val="24"/>
          <w:szCs w:val="24"/>
          <w:highlight w:val="none"/>
        </w:rPr>
        <w:t>）的政府采购活动，并声明：</w:t>
      </w:r>
    </w:p>
    <w:p>
      <w:pPr>
        <w:keepNext w:val="0"/>
        <w:keepLines w:val="0"/>
        <w:pageBreakBefore w:val="0"/>
        <w:widowControl w:val="0"/>
        <w:kinsoku/>
        <w:wordWrap/>
        <w:overflowPunct/>
        <w:topLinePunct w:val="0"/>
        <w:autoSpaceDE/>
        <w:autoSpaceDN/>
        <w:bidi w:val="0"/>
        <w:adjustRightInd/>
        <w:snapToGrid/>
        <w:spacing w:line="460" w:lineRule="exact"/>
        <w:ind w:firstLine="57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本公司具备《中华人民共和国政府采购法》第二十二条资格条件，已清楚询价通知书所有要求及有关规定；并承诺参加本次政府采购活动中，如有违法、违规、弄虚作假行为，所造成的损失、不良后果及法律责任，一律由本公司承担。</w:t>
      </w:r>
    </w:p>
    <w:p>
      <w:pPr>
        <w:keepNext w:val="0"/>
        <w:keepLines w:val="0"/>
        <w:pageBreakBefore w:val="0"/>
        <w:widowControl w:val="0"/>
        <w:kinsoku/>
        <w:wordWrap/>
        <w:overflowPunct/>
        <w:topLinePunct w:val="0"/>
        <w:autoSpaceDE/>
        <w:autoSpaceDN/>
        <w:bidi w:val="0"/>
        <w:adjustRightInd/>
        <w:snapToGrid/>
        <w:spacing w:line="460" w:lineRule="exact"/>
        <w:ind w:firstLine="57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特此声明！</w:t>
      </w:r>
    </w:p>
    <w:p>
      <w:pPr>
        <w:pStyle w:val="14"/>
        <w:ind w:firstLine="577"/>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cr/>
      </w:r>
    </w:p>
    <w:p>
      <w:pPr>
        <w:pStyle w:val="14"/>
        <w:ind w:firstLine="577"/>
        <w:rPr>
          <w:rFonts w:hint="eastAsia" w:ascii="仿宋_GB2312" w:hAnsi="仿宋_GB2312" w:eastAsia="仿宋_GB2312" w:cs="仿宋_GB2312"/>
          <w:color w:val="000000"/>
          <w:sz w:val="24"/>
          <w:szCs w:val="24"/>
          <w:highlight w:val="none"/>
        </w:rPr>
      </w:pPr>
    </w:p>
    <w:p>
      <w:pPr>
        <w:pStyle w:val="14"/>
        <w:ind w:firstLine="579"/>
        <w:rPr>
          <w:rFonts w:hint="eastAsia" w:ascii="仿宋_GB2312" w:hAnsi="仿宋_GB2312" w:eastAsia="仿宋_GB2312" w:cs="仿宋_GB2312"/>
          <w:b/>
          <w:color w:val="000000"/>
          <w:sz w:val="24"/>
          <w:szCs w:val="24"/>
          <w:highlight w:val="none"/>
        </w:rPr>
      </w:pPr>
    </w:p>
    <w:tbl>
      <w:tblPr>
        <w:tblStyle w:val="9"/>
        <w:tblW w:w="0" w:type="auto"/>
        <w:tblInd w:w="0" w:type="dxa"/>
        <w:tblLayout w:type="fixed"/>
        <w:tblCellMar>
          <w:top w:w="0" w:type="dxa"/>
          <w:left w:w="108" w:type="dxa"/>
          <w:bottom w:w="0" w:type="dxa"/>
          <w:right w:w="108" w:type="dxa"/>
        </w:tblCellMar>
      </w:tblPr>
      <w:tblGrid>
        <w:gridCol w:w="5536"/>
        <w:gridCol w:w="2992"/>
      </w:tblGrid>
      <w:tr>
        <w:tblPrEx>
          <w:tblCellMar>
            <w:top w:w="0" w:type="dxa"/>
            <w:left w:w="108" w:type="dxa"/>
            <w:bottom w:w="0" w:type="dxa"/>
            <w:right w:w="108" w:type="dxa"/>
          </w:tblCellMar>
        </w:tblPrEx>
        <w:trPr>
          <w:trHeight w:val="545" w:hRule="atLeast"/>
        </w:trPr>
        <w:tc>
          <w:tcPr>
            <w:tcW w:w="5536" w:type="dxa"/>
            <w:noWrap w:val="0"/>
            <w:vAlign w:val="top"/>
          </w:tcPr>
          <w:p>
            <w:pPr>
              <w:spacing w:line="40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供应商名称（加盖公章）：                         </w:t>
            </w:r>
          </w:p>
        </w:tc>
        <w:tc>
          <w:tcPr>
            <w:tcW w:w="2992" w:type="dxa"/>
            <w:noWrap w:val="0"/>
            <w:vAlign w:val="top"/>
          </w:tcPr>
          <w:p>
            <w:pPr>
              <w:spacing w:line="400" w:lineRule="exact"/>
              <w:ind w:firstLine="480" w:firstLineChars="200"/>
              <w:jc w:val="left"/>
              <w:rPr>
                <w:rFonts w:hint="eastAsia"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500" w:hRule="atLeast"/>
        </w:trPr>
        <w:tc>
          <w:tcPr>
            <w:tcW w:w="5536" w:type="dxa"/>
            <w:noWrap w:val="0"/>
            <w:vAlign w:val="top"/>
          </w:tcPr>
          <w:p>
            <w:pPr>
              <w:spacing w:line="40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法定代表人或受委托人（签名或盖私章）：     </w:t>
            </w:r>
          </w:p>
        </w:tc>
        <w:tc>
          <w:tcPr>
            <w:tcW w:w="2992" w:type="dxa"/>
            <w:noWrap w:val="0"/>
            <w:vAlign w:val="top"/>
          </w:tcPr>
          <w:p>
            <w:pPr>
              <w:spacing w:line="400" w:lineRule="exact"/>
              <w:ind w:firstLine="480" w:firstLineChars="200"/>
              <w:jc w:val="left"/>
              <w:rPr>
                <w:rFonts w:hint="eastAsia"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c>
          <w:tcPr>
            <w:tcW w:w="5536" w:type="dxa"/>
            <w:noWrap w:val="0"/>
            <w:vAlign w:val="top"/>
          </w:tcPr>
          <w:p>
            <w:pPr>
              <w:spacing w:line="40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日期：   年   月   日</w:t>
            </w:r>
          </w:p>
        </w:tc>
        <w:tc>
          <w:tcPr>
            <w:tcW w:w="2992" w:type="dxa"/>
            <w:noWrap w:val="0"/>
            <w:vAlign w:val="top"/>
          </w:tcPr>
          <w:p>
            <w:pPr>
              <w:spacing w:line="400" w:lineRule="exact"/>
              <w:ind w:firstLine="480" w:firstLineChars="200"/>
              <w:jc w:val="left"/>
              <w:rPr>
                <w:rFonts w:hint="eastAsia" w:ascii="仿宋_GB2312" w:hAnsi="仿宋_GB2312" w:eastAsia="仿宋_GB2312" w:cs="仿宋_GB2312"/>
                <w:color w:val="000000"/>
                <w:sz w:val="24"/>
                <w:szCs w:val="24"/>
                <w:highlight w:val="none"/>
              </w:rPr>
            </w:pPr>
          </w:p>
        </w:tc>
      </w:tr>
    </w:tbl>
    <w:p>
      <w:pPr>
        <w:spacing w:line="600" w:lineRule="exact"/>
        <w:ind w:right="560"/>
        <w:rPr>
          <w:rFonts w:hint="eastAsia" w:ascii="仿宋_GB2312" w:hAnsi="仿宋_GB2312" w:eastAsia="仿宋_GB2312" w:cs="仿宋_GB2312"/>
          <w:color w:val="000000"/>
          <w:sz w:val="24"/>
          <w:szCs w:val="24"/>
          <w:highlight w:val="none"/>
        </w:rPr>
      </w:pPr>
    </w:p>
    <w:p>
      <w:pPr>
        <w:spacing w:line="600" w:lineRule="exact"/>
        <w:ind w:right="560"/>
        <w:rPr>
          <w:rFonts w:hint="eastAsia" w:ascii="仿宋_GB2312" w:hAnsi="仿宋_GB2312" w:eastAsia="仿宋_GB2312" w:cs="仿宋_GB2312"/>
          <w:color w:val="000000"/>
          <w:sz w:val="24"/>
          <w:szCs w:val="24"/>
          <w:highlight w:val="none"/>
        </w:rPr>
      </w:pPr>
    </w:p>
    <w:p>
      <w:pPr>
        <w:spacing w:line="600" w:lineRule="exact"/>
        <w:ind w:right="560"/>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13"/>
        <w:rPr>
          <w:rFonts w:hint="eastAsia" w:ascii="仿宋_GB2312" w:hAnsi="仿宋_GB2312" w:eastAsia="仿宋_GB2312" w:cs="仿宋_GB2312"/>
          <w:color w:val="000000"/>
          <w:sz w:val="24"/>
          <w:szCs w:val="24"/>
          <w:highlight w:val="none"/>
        </w:rPr>
      </w:pPr>
      <w:bookmarkStart w:id="169" w:name="_Toc9915"/>
      <w:bookmarkStart w:id="170" w:name="_Toc27210"/>
      <w:bookmarkStart w:id="171" w:name="_Toc27119"/>
      <w:bookmarkStart w:id="172" w:name="_Toc22721"/>
      <w:bookmarkStart w:id="173" w:name="_Toc417050658"/>
      <w:r>
        <w:rPr>
          <w:rFonts w:hint="eastAsia" w:ascii="仿宋_GB2312" w:hAnsi="仿宋_GB2312" w:eastAsia="仿宋_GB2312" w:cs="仿宋_GB2312"/>
          <w:color w:val="000000"/>
          <w:sz w:val="24"/>
          <w:szCs w:val="24"/>
          <w:highlight w:val="none"/>
        </w:rPr>
        <w:t>2.在经营活动中没有重大违法记录的书面声明</w:t>
      </w:r>
      <w:bookmarkEnd w:id="169"/>
      <w:bookmarkEnd w:id="170"/>
      <w:bookmarkEnd w:id="171"/>
      <w:bookmarkEnd w:id="172"/>
      <w:bookmarkEnd w:id="173"/>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致：东莞市万江招投标服务所</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本公司参加</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采购项目（采购编号：</w:t>
      </w:r>
      <w:r>
        <w:rPr>
          <w:rFonts w:hint="eastAsia" w:ascii="仿宋_GB2312" w:hAnsi="仿宋_GB2312" w:eastAsia="仿宋_GB2312" w:cs="仿宋_GB2312"/>
          <w:color w:val="000000"/>
          <w:sz w:val="24"/>
          <w:szCs w:val="24"/>
          <w:highlight w:val="none"/>
          <w:u w:val="single"/>
        </w:rPr>
        <w:t>　　　　</w:t>
      </w:r>
      <w:r>
        <w:rPr>
          <w:rFonts w:hint="eastAsia" w:ascii="仿宋_GB2312" w:hAnsi="仿宋_GB2312" w:eastAsia="仿宋_GB2312" w:cs="仿宋_GB2312"/>
          <w:color w:val="000000"/>
          <w:sz w:val="24"/>
          <w:szCs w:val="24"/>
          <w:highlight w:val="none"/>
        </w:rPr>
        <w:t>）的政府采购活动，并声明：</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ascii="仿宋_GB2312" w:hAnsi="仿宋_GB2312" w:eastAsia="仿宋_GB2312" w:cs="仿宋_GB2312"/>
          <w:color w:val="000000"/>
          <w:spacing w:val="29"/>
          <w:sz w:val="24"/>
          <w:szCs w:val="24"/>
          <w:highlight w:val="none"/>
        </w:rPr>
      </w:pPr>
      <w:r>
        <w:rPr>
          <w:rFonts w:hint="eastAsia" w:ascii="仿宋_GB2312" w:hAnsi="仿宋_GB2312" w:eastAsia="仿宋_GB2312" w:cs="仿宋_GB2312"/>
          <w:color w:val="000000"/>
          <w:sz w:val="24"/>
          <w:szCs w:val="24"/>
          <w:highlight w:val="none"/>
        </w:rPr>
        <w:t>本公司</w:t>
      </w:r>
      <w:r>
        <w:rPr>
          <w:rFonts w:hint="eastAsia" w:ascii="仿宋_GB2312" w:hAnsi="仿宋_GB2312" w:eastAsia="仿宋_GB2312" w:cs="仿宋_GB2312"/>
          <w:color w:val="000000"/>
          <w:spacing w:val="29"/>
          <w:sz w:val="24"/>
          <w:szCs w:val="24"/>
          <w:highlight w:val="none"/>
        </w:rPr>
        <w:t>参加本采购项目政府采购前3年内在经营活动中没有因违法经营受到刑事处罚或者责令停产停业、吊销许可证或者执照、较大数额罚款等行政处罚。</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特此声明！</w:t>
      </w:r>
    </w:p>
    <w:p>
      <w:pPr>
        <w:pStyle w:val="17"/>
        <w:shd w:val="clear" w:color="auto" w:fill="FFFFFF"/>
        <w:spacing w:before="0" w:beforeAutospacing="0" w:after="0" w:afterAutospacing="0" w:line="600" w:lineRule="exact"/>
        <w:rPr>
          <w:rFonts w:hint="eastAsia" w:ascii="仿宋_GB2312" w:hAnsi="仿宋_GB2312" w:eastAsia="仿宋_GB2312" w:cs="仿宋_GB2312"/>
          <w:color w:val="000000"/>
          <w:sz w:val="24"/>
          <w:szCs w:val="24"/>
          <w:highlight w:val="none"/>
        </w:rPr>
      </w:pPr>
    </w:p>
    <w:p>
      <w:pPr>
        <w:pStyle w:val="17"/>
        <w:shd w:val="clear" w:color="auto" w:fill="FFFFFF"/>
        <w:spacing w:before="0" w:beforeAutospacing="0" w:after="0" w:afterAutospacing="0" w:line="600" w:lineRule="exact"/>
        <w:rPr>
          <w:rFonts w:hint="eastAsia" w:ascii="仿宋_GB2312" w:hAnsi="仿宋_GB2312" w:eastAsia="仿宋_GB2312" w:cs="仿宋_GB2312"/>
          <w:color w:val="000000"/>
          <w:sz w:val="24"/>
          <w:szCs w:val="24"/>
          <w:highlight w:val="none"/>
        </w:rPr>
      </w:pPr>
    </w:p>
    <w:tbl>
      <w:tblPr>
        <w:tblStyle w:val="9"/>
        <w:tblW w:w="0" w:type="auto"/>
        <w:tblInd w:w="0" w:type="dxa"/>
        <w:tblLayout w:type="fixed"/>
        <w:tblCellMar>
          <w:top w:w="0" w:type="dxa"/>
          <w:left w:w="108" w:type="dxa"/>
          <w:bottom w:w="0" w:type="dxa"/>
          <w:right w:w="108" w:type="dxa"/>
        </w:tblCellMar>
      </w:tblPr>
      <w:tblGrid>
        <w:gridCol w:w="5536"/>
        <w:gridCol w:w="2992"/>
      </w:tblGrid>
      <w:tr>
        <w:tblPrEx>
          <w:tblCellMar>
            <w:top w:w="0" w:type="dxa"/>
            <w:left w:w="108" w:type="dxa"/>
            <w:bottom w:w="0" w:type="dxa"/>
            <w:right w:w="108" w:type="dxa"/>
          </w:tblCellMar>
        </w:tblPrEx>
        <w:trPr>
          <w:trHeight w:val="545" w:hRule="atLeast"/>
        </w:trPr>
        <w:tc>
          <w:tcPr>
            <w:tcW w:w="5536" w:type="dxa"/>
            <w:noWrap w:val="0"/>
            <w:vAlign w:val="top"/>
          </w:tcPr>
          <w:p>
            <w:pPr>
              <w:spacing w:line="40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供应商名称（加盖公章）：                         </w:t>
            </w:r>
          </w:p>
        </w:tc>
        <w:tc>
          <w:tcPr>
            <w:tcW w:w="2992" w:type="dxa"/>
            <w:noWrap w:val="0"/>
            <w:vAlign w:val="top"/>
          </w:tcPr>
          <w:p>
            <w:pPr>
              <w:spacing w:line="400" w:lineRule="exact"/>
              <w:ind w:firstLine="480" w:firstLineChars="200"/>
              <w:jc w:val="left"/>
              <w:rPr>
                <w:rFonts w:hint="eastAsia"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500" w:hRule="atLeast"/>
        </w:trPr>
        <w:tc>
          <w:tcPr>
            <w:tcW w:w="5536" w:type="dxa"/>
            <w:noWrap w:val="0"/>
            <w:vAlign w:val="top"/>
          </w:tcPr>
          <w:p>
            <w:pPr>
              <w:spacing w:line="40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法定代表人或受委托人（签名或盖私章）：     </w:t>
            </w:r>
          </w:p>
        </w:tc>
        <w:tc>
          <w:tcPr>
            <w:tcW w:w="2992" w:type="dxa"/>
            <w:noWrap w:val="0"/>
            <w:vAlign w:val="top"/>
          </w:tcPr>
          <w:p>
            <w:pPr>
              <w:spacing w:line="400" w:lineRule="exact"/>
              <w:ind w:firstLine="480" w:firstLineChars="200"/>
              <w:jc w:val="left"/>
              <w:rPr>
                <w:rFonts w:hint="eastAsia"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c>
          <w:tcPr>
            <w:tcW w:w="5536" w:type="dxa"/>
            <w:noWrap w:val="0"/>
            <w:vAlign w:val="top"/>
          </w:tcPr>
          <w:p>
            <w:pPr>
              <w:spacing w:line="40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日期：   年   月   日</w:t>
            </w:r>
          </w:p>
        </w:tc>
        <w:tc>
          <w:tcPr>
            <w:tcW w:w="2992" w:type="dxa"/>
            <w:noWrap w:val="0"/>
            <w:vAlign w:val="top"/>
          </w:tcPr>
          <w:p>
            <w:pPr>
              <w:spacing w:line="400" w:lineRule="exact"/>
              <w:ind w:firstLine="480" w:firstLineChars="200"/>
              <w:jc w:val="left"/>
              <w:rPr>
                <w:rFonts w:hint="eastAsia" w:ascii="仿宋_GB2312" w:hAnsi="仿宋_GB2312" w:eastAsia="仿宋_GB2312" w:cs="仿宋_GB2312"/>
                <w:color w:val="000000"/>
                <w:sz w:val="24"/>
                <w:szCs w:val="24"/>
                <w:highlight w:val="none"/>
              </w:rPr>
            </w:pPr>
          </w:p>
        </w:tc>
      </w:tr>
    </w:tbl>
    <w:p>
      <w:pPr>
        <w:pStyle w:val="2"/>
        <w:rPr>
          <w:rFonts w:hint="eastAsia" w:ascii="仿宋_GB2312" w:hAnsi="仿宋_GB2312" w:eastAsia="仿宋_GB2312" w:cs="仿宋_GB2312"/>
          <w:color w:val="000000"/>
          <w:sz w:val="24"/>
          <w:szCs w:val="24"/>
          <w:highlight w:val="none"/>
        </w:rPr>
      </w:pPr>
    </w:p>
    <w:p>
      <w:pPr>
        <w:spacing w:line="600" w:lineRule="exact"/>
        <w:ind w:right="560"/>
        <w:rPr>
          <w:rFonts w:hint="eastAsia" w:ascii="仿宋_GB2312" w:hAnsi="仿宋_GB2312" w:eastAsia="仿宋_GB2312" w:cs="仿宋_GB2312"/>
          <w:color w:val="000000"/>
          <w:sz w:val="24"/>
          <w:szCs w:val="24"/>
          <w:highlight w:val="none"/>
        </w:rPr>
      </w:pPr>
    </w:p>
    <w:p>
      <w:pPr>
        <w:spacing w:line="600" w:lineRule="exact"/>
        <w:ind w:right="560"/>
        <w:rPr>
          <w:rFonts w:hint="eastAsia" w:ascii="仿宋_GB2312" w:hAnsi="仿宋_GB2312" w:eastAsia="仿宋_GB2312" w:cs="仿宋_GB2312"/>
          <w:color w:val="000000"/>
          <w:sz w:val="24"/>
          <w:szCs w:val="24"/>
          <w:highlight w:val="none"/>
        </w:rPr>
      </w:pPr>
    </w:p>
    <w:p>
      <w:pPr>
        <w:spacing w:line="600" w:lineRule="exact"/>
        <w:ind w:right="560"/>
        <w:rPr>
          <w:rFonts w:hint="eastAsia" w:ascii="仿宋_GB2312" w:hAnsi="仿宋_GB2312" w:eastAsia="仿宋_GB2312" w:cs="仿宋_GB2312"/>
          <w:color w:val="000000"/>
          <w:sz w:val="24"/>
          <w:szCs w:val="24"/>
          <w:highlight w:val="none"/>
        </w:rPr>
      </w:pPr>
    </w:p>
    <w:p>
      <w:pPr>
        <w:spacing w:line="600" w:lineRule="exact"/>
        <w:ind w:right="560"/>
        <w:rPr>
          <w:rFonts w:hint="eastAsia" w:ascii="仿宋_GB2312" w:hAnsi="仿宋_GB2312" w:eastAsia="仿宋_GB2312" w:cs="仿宋_GB2312"/>
          <w:color w:val="000000"/>
          <w:sz w:val="24"/>
          <w:szCs w:val="24"/>
          <w:highlight w:val="none"/>
        </w:rPr>
      </w:pPr>
    </w:p>
    <w:p>
      <w:pPr>
        <w:spacing w:line="600" w:lineRule="exact"/>
        <w:ind w:right="560"/>
        <w:rPr>
          <w:rFonts w:hint="eastAsia" w:ascii="仿宋_GB2312" w:hAnsi="仿宋_GB2312" w:eastAsia="仿宋_GB2312" w:cs="仿宋_GB2312"/>
          <w:color w:val="000000"/>
          <w:sz w:val="24"/>
          <w:szCs w:val="24"/>
          <w:highlight w:val="none"/>
        </w:rPr>
      </w:pPr>
    </w:p>
    <w:p>
      <w:pPr>
        <w:spacing w:line="600" w:lineRule="exact"/>
        <w:ind w:right="560"/>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13"/>
        <w:ind w:firstLine="0" w:firstLineChars="0"/>
        <w:jc w:val="both"/>
        <w:rPr>
          <w:rFonts w:hint="eastAsia" w:ascii="仿宋_GB2312" w:hAnsi="仿宋_GB2312" w:eastAsia="仿宋_GB2312" w:cs="仿宋_GB2312"/>
          <w:color w:val="000000"/>
          <w:sz w:val="24"/>
          <w:szCs w:val="24"/>
          <w:highlight w:val="none"/>
        </w:rPr>
      </w:pPr>
      <w:bookmarkStart w:id="174" w:name="_Toc9794"/>
      <w:bookmarkStart w:id="175" w:name="_Toc22321"/>
      <w:bookmarkStart w:id="176" w:name="_Toc2956"/>
      <w:bookmarkStart w:id="177" w:name="_Toc417050659"/>
      <w:bookmarkStart w:id="178" w:name="_Toc4067"/>
      <w:r>
        <w:rPr>
          <w:rFonts w:hint="eastAsia" w:ascii="仿宋_GB2312" w:hAnsi="仿宋_GB2312" w:eastAsia="仿宋_GB2312" w:cs="仿宋_GB2312"/>
          <w:color w:val="000000"/>
          <w:sz w:val="24"/>
          <w:szCs w:val="24"/>
          <w:highlight w:val="none"/>
        </w:rPr>
        <w:br w:type="textWrapping"/>
      </w:r>
    </w:p>
    <w:p>
      <w:pPr>
        <w:pStyle w:val="13"/>
        <w:ind w:firstLine="0" w:firstLineChars="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3.供应商法人或其他组织的营业执照等证明文件，或自然人的身份证</w:t>
      </w:r>
      <w:bookmarkEnd w:id="174"/>
      <w:bookmarkEnd w:id="175"/>
      <w:bookmarkEnd w:id="176"/>
      <w:bookmarkEnd w:id="177"/>
      <w:bookmarkEnd w:id="178"/>
    </w:p>
    <w:p>
      <w:pPr>
        <w:pStyle w:val="14"/>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3.1提供《营业执照》或《事业单位法人证书》、《税务登记证》、《组织机构代码证》复印件，如“三证合一”的营业执照，则不需要提供税务登记证和组织机构代码证。</w:t>
      </w:r>
    </w:p>
    <w:p>
      <w:pPr>
        <w:pStyle w:val="14"/>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3.2提供自然人的身份证复印件（如自然人参加政府采购活动的话）。</w:t>
      </w:r>
    </w:p>
    <w:p>
      <w:pPr>
        <w:pStyle w:val="14"/>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color w:val="000000"/>
          <w:sz w:val="24"/>
          <w:szCs w:val="24"/>
          <w:highlight w:val="none"/>
        </w:rPr>
        <w:t>3.3  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提供报价截止日前6个月内任意1个月依法缴纳税收和社会保障资金的相关材料。如依法免税或不需要缴纳社会保障资金的，须提供相应证明材料。</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说明：复印件上应加盖本单位公章。</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w:t>
      </w:r>
      <w:bookmarkStart w:id="179" w:name="_Toc417050661"/>
      <w:bookmarkStart w:id="180" w:name="_Toc30311"/>
    </w:p>
    <w:p>
      <w:pPr>
        <w:pStyle w:val="13"/>
        <w:ind w:firstLine="0" w:firstLineChars="0"/>
        <w:jc w:val="both"/>
        <w:outlineLvl w:val="9"/>
        <w:rPr>
          <w:rFonts w:hint="eastAsia" w:ascii="仿宋_GB2312" w:hAnsi="仿宋_GB2312" w:eastAsia="仿宋_GB2312" w:cs="仿宋_GB2312"/>
          <w:color w:val="000000"/>
          <w:sz w:val="24"/>
          <w:szCs w:val="24"/>
          <w:highlight w:val="none"/>
        </w:rPr>
      </w:pPr>
    </w:p>
    <w:p>
      <w:pPr>
        <w:pStyle w:val="13"/>
        <w:ind w:firstLine="0" w:firstLineChars="0"/>
        <w:jc w:val="both"/>
        <w:outlineLvl w:val="9"/>
        <w:rPr>
          <w:rFonts w:hint="eastAsia" w:ascii="仿宋_GB2312" w:hAnsi="仿宋_GB2312" w:eastAsia="仿宋_GB2312" w:cs="仿宋_GB2312"/>
          <w:color w:val="000000"/>
          <w:sz w:val="24"/>
          <w:szCs w:val="24"/>
          <w:highlight w:val="none"/>
        </w:rPr>
      </w:pPr>
    </w:p>
    <w:p>
      <w:pPr>
        <w:pStyle w:val="13"/>
        <w:ind w:firstLine="0" w:firstLineChars="0"/>
        <w:jc w:val="both"/>
        <w:outlineLvl w:val="9"/>
        <w:rPr>
          <w:rFonts w:hint="eastAsia" w:ascii="仿宋_GB2312" w:hAnsi="仿宋_GB2312" w:eastAsia="仿宋_GB2312" w:cs="仿宋_GB2312"/>
          <w:color w:val="000000"/>
          <w:sz w:val="24"/>
          <w:szCs w:val="24"/>
          <w:highlight w:val="none"/>
        </w:rPr>
      </w:pPr>
    </w:p>
    <w:p>
      <w:pPr>
        <w:pStyle w:val="13"/>
        <w:ind w:firstLine="0" w:firstLineChars="0"/>
        <w:jc w:val="both"/>
        <w:outlineLvl w:val="9"/>
        <w:rPr>
          <w:rFonts w:hint="eastAsia" w:ascii="仿宋_GB2312" w:hAnsi="仿宋_GB2312" w:eastAsia="仿宋_GB2312" w:cs="仿宋_GB2312"/>
          <w:color w:val="000000"/>
          <w:sz w:val="24"/>
          <w:szCs w:val="24"/>
          <w:highlight w:val="none"/>
        </w:rPr>
      </w:pPr>
    </w:p>
    <w:p>
      <w:pPr>
        <w:pStyle w:val="13"/>
        <w:ind w:firstLine="0" w:firstLineChars="0"/>
        <w:jc w:val="both"/>
        <w:outlineLvl w:val="9"/>
        <w:rPr>
          <w:rFonts w:hint="eastAsia" w:ascii="仿宋_GB2312" w:hAnsi="仿宋_GB2312" w:eastAsia="仿宋_GB2312" w:cs="仿宋_GB2312"/>
          <w:color w:val="000000"/>
          <w:sz w:val="24"/>
          <w:szCs w:val="24"/>
          <w:highlight w:val="none"/>
        </w:rPr>
      </w:pPr>
    </w:p>
    <w:p>
      <w:pPr>
        <w:pStyle w:val="13"/>
        <w:ind w:firstLine="0" w:firstLineChars="0"/>
        <w:jc w:val="both"/>
        <w:outlineLvl w:val="9"/>
        <w:rPr>
          <w:rFonts w:hint="eastAsia" w:ascii="仿宋_GB2312" w:hAnsi="仿宋_GB2312" w:eastAsia="仿宋_GB2312" w:cs="仿宋_GB2312"/>
          <w:color w:val="000000"/>
          <w:sz w:val="24"/>
          <w:szCs w:val="24"/>
          <w:highlight w:val="none"/>
        </w:rPr>
      </w:pPr>
    </w:p>
    <w:p>
      <w:pPr>
        <w:pStyle w:val="13"/>
        <w:ind w:firstLine="0" w:firstLineChars="0"/>
        <w:jc w:val="both"/>
        <w:outlineLvl w:val="9"/>
        <w:rPr>
          <w:rFonts w:hint="eastAsia" w:ascii="仿宋_GB2312" w:hAnsi="仿宋_GB2312" w:eastAsia="仿宋_GB2312" w:cs="仿宋_GB2312"/>
          <w:color w:val="000000"/>
          <w:sz w:val="24"/>
          <w:szCs w:val="24"/>
          <w:highlight w:val="none"/>
        </w:rPr>
      </w:pPr>
      <w:bookmarkStart w:id="181" w:name="_Toc22511"/>
      <w:bookmarkStart w:id="182" w:name="_Toc29687"/>
      <w:bookmarkStart w:id="183" w:name="_Toc666"/>
      <w:r>
        <w:rPr>
          <w:rFonts w:hint="eastAsia" w:ascii="仿宋_GB2312" w:hAnsi="仿宋_GB2312" w:eastAsia="仿宋_GB2312" w:cs="仿宋_GB2312"/>
          <w:color w:val="000000"/>
          <w:sz w:val="24"/>
          <w:szCs w:val="24"/>
          <w:highlight w:val="none"/>
        </w:rPr>
        <w:br w:type="page"/>
      </w:r>
      <w:r>
        <w:rPr>
          <w:rFonts w:hint="eastAsia" w:ascii="仿宋_GB2312" w:hAnsi="仿宋_GB2312" w:eastAsia="仿宋_GB2312" w:cs="仿宋_GB2312"/>
          <w:color w:val="000000"/>
          <w:sz w:val="24"/>
          <w:szCs w:val="24"/>
          <w:highlight w:val="none"/>
        </w:rPr>
        <w:t>4.供应商资格条件的证明材料</w:t>
      </w:r>
      <w:bookmarkEnd w:id="179"/>
      <w:bookmarkEnd w:id="180"/>
      <w:bookmarkEnd w:id="181"/>
      <w:bookmarkEnd w:id="182"/>
      <w:bookmarkEnd w:id="183"/>
    </w:p>
    <w:p>
      <w:pPr>
        <w:pStyle w:val="14"/>
        <w:ind w:firstLine="0" w:firstLineChars="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请按照供应商的资格条件相关条款提供证明材料。</w:t>
      </w:r>
    </w:p>
    <w:p>
      <w:pPr>
        <w:pStyle w:val="14"/>
        <w:ind w:firstLine="0" w:firstLineChars="0"/>
        <w:rPr>
          <w:rFonts w:hint="eastAsia" w:ascii="仿宋_GB2312" w:hAnsi="仿宋_GB2312" w:eastAsia="仿宋_GB2312" w:cs="仿宋_GB2312"/>
          <w:color w:val="000000"/>
          <w:sz w:val="24"/>
          <w:szCs w:val="24"/>
          <w:highlight w:val="none"/>
        </w:rPr>
      </w:pPr>
    </w:p>
    <w:p>
      <w:pPr>
        <w:pStyle w:val="14"/>
        <w:ind w:firstLine="577"/>
        <w:rPr>
          <w:rFonts w:hint="eastAsia" w:ascii="仿宋_GB2312" w:hAnsi="仿宋_GB2312" w:eastAsia="仿宋_GB2312" w:cs="仿宋_GB2312"/>
          <w:color w:val="000000"/>
          <w:sz w:val="24"/>
          <w:szCs w:val="24"/>
          <w:highlight w:val="none"/>
        </w:rPr>
      </w:pPr>
    </w:p>
    <w:p>
      <w:pPr>
        <w:pStyle w:val="14"/>
        <w:ind w:firstLine="577"/>
        <w:rPr>
          <w:rFonts w:hint="eastAsia" w:ascii="仿宋_GB2312" w:hAnsi="仿宋_GB2312" w:eastAsia="仿宋_GB2312" w:cs="仿宋_GB2312"/>
          <w:color w:val="000000"/>
          <w:sz w:val="24"/>
          <w:szCs w:val="24"/>
          <w:highlight w:val="none"/>
        </w:rPr>
      </w:pPr>
    </w:p>
    <w:p>
      <w:pPr>
        <w:pStyle w:val="14"/>
        <w:ind w:firstLine="577"/>
        <w:rPr>
          <w:rFonts w:hint="eastAsia" w:ascii="仿宋_GB2312" w:hAnsi="仿宋_GB2312" w:eastAsia="仿宋_GB2312" w:cs="仿宋_GB2312"/>
          <w:color w:val="000000"/>
          <w:sz w:val="24"/>
          <w:szCs w:val="24"/>
          <w:highlight w:val="none"/>
        </w:rPr>
      </w:pPr>
    </w:p>
    <w:p>
      <w:pPr>
        <w:spacing w:line="600" w:lineRule="exact"/>
        <w:ind w:right="560"/>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highlight w:val="none"/>
        </w:rPr>
      </w:pPr>
    </w:p>
    <w:p>
      <w:pPr>
        <w:pStyle w:val="13"/>
        <w:rPr>
          <w:rFonts w:hint="eastAsia" w:ascii="仿宋_GB2312" w:hAnsi="仿宋_GB2312" w:eastAsia="仿宋_GB2312" w:cs="仿宋_GB2312"/>
          <w:color w:val="000000"/>
          <w:sz w:val="24"/>
          <w:szCs w:val="24"/>
          <w:highlight w:val="none"/>
        </w:rPr>
      </w:pPr>
      <w:bookmarkStart w:id="184" w:name="_Toc28199"/>
      <w:bookmarkStart w:id="185" w:name="_Toc417050663"/>
      <w:bookmarkStart w:id="186" w:name="_Toc20501"/>
      <w:bookmarkStart w:id="187" w:name="_Toc27375"/>
      <w:bookmarkStart w:id="188" w:name="_Toc20483"/>
      <w:r>
        <w:rPr>
          <w:rFonts w:hint="eastAsia" w:ascii="仿宋_GB2312" w:hAnsi="仿宋_GB2312" w:eastAsia="仿宋_GB2312" w:cs="仿宋_GB2312"/>
          <w:color w:val="000000"/>
          <w:sz w:val="24"/>
          <w:szCs w:val="24"/>
          <w:highlight w:val="none"/>
        </w:rPr>
        <w:br w:type="page"/>
      </w:r>
      <w:r>
        <w:rPr>
          <w:rFonts w:hint="eastAsia" w:ascii="仿宋_GB2312" w:hAnsi="仿宋_GB2312" w:eastAsia="仿宋_GB2312" w:cs="仿宋_GB2312"/>
          <w:color w:val="000000"/>
          <w:sz w:val="24"/>
          <w:szCs w:val="24"/>
          <w:highlight w:val="none"/>
        </w:rPr>
        <w:t>5.法定代表人身份证明书</w:t>
      </w:r>
      <w:bookmarkEnd w:id="158"/>
      <w:bookmarkEnd w:id="159"/>
      <w:bookmarkEnd w:id="184"/>
      <w:bookmarkEnd w:id="185"/>
      <w:bookmarkEnd w:id="186"/>
      <w:bookmarkEnd w:id="187"/>
      <w:bookmarkEnd w:id="188"/>
    </w:p>
    <w:p>
      <w:pPr>
        <w:spacing w:line="600" w:lineRule="exact"/>
        <w:rPr>
          <w:rFonts w:hint="eastAsia" w:ascii="仿宋_GB2312" w:hAnsi="仿宋_GB2312" w:eastAsia="仿宋_GB2312" w:cs="仿宋_GB2312"/>
          <w:color w:val="000000"/>
          <w:sz w:val="24"/>
          <w:szCs w:val="24"/>
          <w:highlight w:val="none"/>
        </w:rPr>
      </w:pPr>
    </w:p>
    <w:p>
      <w:pPr>
        <w:spacing w:line="60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致：东莞市万江招投标服务所</w:t>
      </w:r>
    </w:p>
    <w:p>
      <w:pPr>
        <w:pStyle w:val="14"/>
        <w:ind w:firstLine="577"/>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本证明书声明：注册于</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（国家名称）的</w:t>
      </w:r>
      <w:r>
        <w:rPr>
          <w:rFonts w:hint="eastAsia" w:ascii="仿宋_GB2312" w:hAnsi="仿宋_GB2312" w:eastAsia="仿宋_GB2312" w:cs="仿宋_GB2312"/>
          <w:color w:val="000000"/>
          <w:sz w:val="24"/>
          <w:szCs w:val="24"/>
          <w:highlight w:val="none"/>
          <w:u w:val="single"/>
        </w:rPr>
        <w:t>　           　</w:t>
      </w:r>
      <w:r>
        <w:rPr>
          <w:rFonts w:hint="eastAsia" w:ascii="仿宋_GB2312" w:hAnsi="仿宋_GB2312" w:eastAsia="仿宋_GB2312" w:cs="仿宋_GB2312"/>
          <w:color w:val="000000"/>
          <w:sz w:val="24"/>
          <w:szCs w:val="24"/>
          <w:highlight w:val="none"/>
        </w:rPr>
        <w:t>（供应商名称）在下面签字的</w:t>
      </w:r>
      <w:r>
        <w:rPr>
          <w:rFonts w:hint="eastAsia" w:ascii="仿宋_GB2312" w:hAnsi="仿宋_GB2312" w:eastAsia="仿宋_GB2312" w:cs="仿宋_GB2312"/>
          <w:color w:val="000000"/>
          <w:sz w:val="24"/>
          <w:szCs w:val="24"/>
          <w:highlight w:val="none"/>
          <w:u w:val="single"/>
        </w:rPr>
        <w:t>　　　　　</w:t>
      </w:r>
      <w:r>
        <w:rPr>
          <w:rFonts w:hint="eastAsia" w:ascii="仿宋_GB2312" w:hAnsi="仿宋_GB2312" w:eastAsia="仿宋_GB2312" w:cs="仿宋_GB2312"/>
          <w:color w:val="000000"/>
          <w:sz w:val="24"/>
          <w:szCs w:val="24"/>
          <w:highlight w:val="none"/>
        </w:rPr>
        <w:t>（法定代表人姓名、职务）为本公司的合法代表人</w:t>
      </w:r>
      <w:r>
        <w:rPr>
          <w:rFonts w:hint="eastAsia" w:ascii="仿宋_GB2312" w:hAnsi="仿宋_GB2312" w:eastAsia="仿宋_GB2312" w:cs="仿宋_GB2312"/>
          <w:b/>
          <w:color w:val="000000"/>
          <w:sz w:val="24"/>
          <w:szCs w:val="24"/>
          <w:highlight w:val="none"/>
        </w:rPr>
        <w:t>（须提供法定代表人身份证复印件）。</w:t>
      </w:r>
    </w:p>
    <w:p>
      <w:pPr>
        <w:spacing w:line="6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特此证明。</w:t>
      </w:r>
    </w:p>
    <w:p>
      <w:pPr>
        <w:spacing w:line="600" w:lineRule="exact"/>
        <w:rPr>
          <w:rFonts w:hint="eastAsia" w:ascii="仿宋_GB2312" w:hAnsi="仿宋_GB2312" w:eastAsia="仿宋_GB2312" w:cs="仿宋_GB2312"/>
          <w:color w:val="000000"/>
          <w:sz w:val="24"/>
          <w:szCs w:val="24"/>
          <w:highlight w:val="none"/>
        </w:rPr>
      </w:pPr>
    </w:p>
    <w:tbl>
      <w:tblPr>
        <w:tblStyle w:val="9"/>
        <w:tblpPr w:leftFromText="180" w:rightFromText="180" w:vertAnchor="text" w:horzAnchor="margin" w:tblpXSpec="center" w:tblpY="3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4991" w:type="dxa"/>
            <w:noWrap w:val="0"/>
            <w:vAlign w:val="top"/>
          </w:tcPr>
          <w:p>
            <w:pPr>
              <w:autoSpaceDE w:val="0"/>
              <w:autoSpaceDN w:val="0"/>
              <w:adjustRightInd w:val="0"/>
              <w:spacing w:line="60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法定代表人身份证复印件（正、反面）粘贴处</w:t>
            </w:r>
          </w:p>
        </w:tc>
      </w:tr>
    </w:tbl>
    <w:p>
      <w:pPr>
        <w:spacing w:line="600" w:lineRule="exact"/>
        <w:rPr>
          <w:rFonts w:hint="eastAsia" w:ascii="仿宋_GB2312" w:hAnsi="仿宋_GB2312" w:eastAsia="仿宋_GB2312" w:cs="仿宋_GB2312"/>
          <w:color w:val="000000"/>
          <w:sz w:val="24"/>
          <w:szCs w:val="24"/>
          <w:highlight w:val="none"/>
        </w:rPr>
      </w:pPr>
    </w:p>
    <w:p>
      <w:pPr>
        <w:spacing w:line="600" w:lineRule="exact"/>
        <w:rPr>
          <w:rFonts w:hint="eastAsia" w:ascii="仿宋_GB2312" w:hAnsi="仿宋_GB2312" w:eastAsia="仿宋_GB2312" w:cs="仿宋_GB2312"/>
          <w:color w:val="000000"/>
          <w:sz w:val="24"/>
          <w:szCs w:val="24"/>
          <w:highlight w:val="none"/>
        </w:rPr>
      </w:pPr>
    </w:p>
    <w:p>
      <w:pPr>
        <w:spacing w:line="600" w:lineRule="exact"/>
        <w:rPr>
          <w:rFonts w:hint="eastAsia" w:ascii="仿宋_GB2312" w:hAnsi="仿宋_GB2312" w:eastAsia="仿宋_GB2312" w:cs="仿宋_GB2312"/>
          <w:color w:val="000000"/>
          <w:sz w:val="24"/>
          <w:szCs w:val="24"/>
          <w:highlight w:val="none"/>
        </w:rPr>
      </w:pPr>
    </w:p>
    <w:p>
      <w:pPr>
        <w:spacing w:line="600" w:lineRule="exact"/>
        <w:rPr>
          <w:rFonts w:hint="eastAsia" w:ascii="仿宋_GB2312" w:hAnsi="仿宋_GB2312" w:eastAsia="仿宋_GB2312" w:cs="仿宋_GB2312"/>
          <w:color w:val="000000"/>
          <w:sz w:val="24"/>
          <w:szCs w:val="24"/>
          <w:highlight w:val="none"/>
        </w:rPr>
      </w:pPr>
    </w:p>
    <w:p>
      <w:pPr>
        <w:spacing w:line="600" w:lineRule="exact"/>
        <w:rPr>
          <w:rFonts w:hint="eastAsia" w:ascii="仿宋_GB2312" w:hAnsi="仿宋_GB2312" w:eastAsia="仿宋_GB2312" w:cs="仿宋_GB2312"/>
          <w:color w:val="000000"/>
          <w:sz w:val="24"/>
          <w:szCs w:val="24"/>
          <w:highlight w:val="none"/>
        </w:rPr>
      </w:pPr>
    </w:p>
    <w:p>
      <w:pPr>
        <w:spacing w:line="600" w:lineRule="exact"/>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highlight w:val="none"/>
        </w:rPr>
      </w:pPr>
    </w:p>
    <w:p>
      <w:pPr>
        <w:pStyle w:val="2"/>
        <w:rPr>
          <w:rFonts w:hint="eastAsia" w:ascii="仿宋_GB2312" w:hAnsi="仿宋_GB2312" w:eastAsia="仿宋_GB2312" w:cs="仿宋_GB2312"/>
          <w:color w:val="000000"/>
          <w:highlight w:val="none"/>
        </w:rPr>
      </w:pPr>
    </w:p>
    <w:tbl>
      <w:tblPr>
        <w:tblStyle w:val="9"/>
        <w:tblW w:w="0" w:type="auto"/>
        <w:tblInd w:w="0" w:type="dxa"/>
        <w:tblLayout w:type="fixed"/>
        <w:tblCellMar>
          <w:top w:w="0" w:type="dxa"/>
          <w:left w:w="108" w:type="dxa"/>
          <w:bottom w:w="0" w:type="dxa"/>
          <w:right w:w="108" w:type="dxa"/>
        </w:tblCellMar>
      </w:tblPr>
      <w:tblGrid>
        <w:gridCol w:w="5536"/>
        <w:gridCol w:w="2992"/>
      </w:tblGrid>
      <w:tr>
        <w:tblPrEx>
          <w:tblCellMar>
            <w:top w:w="0" w:type="dxa"/>
            <w:left w:w="108" w:type="dxa"/>
            <w:bottom w:w="0" w:type="dxa"/>
            <w:right w:w="108" w:type="dxa"/>
          </w:tblCellMar>
        </w:tblPrEx>
        <w:trPr>
          <w:trHeight w:val="545" w:hRule="atLeast"/>
        </w:trPr>
        <w:tc>
          <w:tcPr>
            <w:tcW w:w="5536" w:type="dxa"/>
            <w:noWrap w:val="0"/>
            <w:vAlign w:val="top"/>
          </w:tcPr>
          <w:p>
            <w:pPr>
              <w:spacing w:line="40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供应商名称（加盖公章）：                         </w:t>
            </w:r>
          </w:p>
        </w:tc>
        <w:tc>
          <w:tcPr>
            <w:tcW w:w="2992" w:type="dxa"/>
            <w:noWrap w:val="0"/>
            <w:vAlign w:val="top"/>
          </w:tcPr>
          <w:p>
            <w:pPr>
              <w:spacing w:line="400" w:lineRule="exact"/>
              <w:ind w:firstLine="480" w:firstLineChars="200"/>
              <w:jc w:val="left"/>
              <w:rPr>
                <w:rFonts w:hint="eastAsia"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500" w:hRule="atLeast"/>
        </w:trPr>
        <w:tc>
          <w:tcPr>
            <w:tcW w:w="5536" w:type="dxa"/>
            <w:noWrap w:val="0"/>
            <w:vAlign w:val="top"/>
          </w:tcPr>
          <w:p>
            <w:pPr>
              <w:spacing w:line="40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法定代表人（签名或盖私章）：     </w:t>
            </w:r>
          </w:p>
        </w:tc>
        <w:tc>
          <w:tcPr>
            <w:tcW w:w="2992" w:type="dxa"/>
            <w:noWrap w:val="0"/>
            <w:vAlign w:val="top"/>
          </w:tcPr>
          <w:p>
            <w:pPr>
              <w:spacing w:line="400" w:lineRule="exact"/>
              <w:ind w:firstLine="480" w:firstLineChars="200"/>
              <w:jc w:val="left"/>
              <w:rPr>
                <w:rFonts w:hint="eastAsia"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c>
          <w:tcPr>
            <w:tcW w:w="5536" w:type="dxa"/>
            <w:noWrap w:val="0"/>
            <w:vAlign w:val="top"/>
          </w:tcPr>
          <w:p>
            <w:pPr>
              <w:spacing w:line="40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日期：   年   月   日</w:t>
            </w:r>
          </w:p>
        </w:tc>
        <w:tc>
          <w:tcPr>
            <w:tcW w:w="2992" w:type="dxa"/>
            <w:noWrap w:val="0"/>
            <w:vAlign w:val="top"/>
          </w:tcPr>
          <w:p>
            <w:pPr>
              <w:spacing w:line="400" w:lineRule="exact"/>
              <w:ind w:firstLine="480" w:firstLineChars="200"/>
              <w:jc w:val="left"/>
              <w:rPr>
                <w:rFonts w:hint="eastAsia" w:ascii="仿宋_GB2312" w:hAnsi="仿宋_GB2312" w:eastAsia="仿宋_GB2312" w:cs="仿宋_GB2312"/>
                <w:color w:val="000000"/>
                <w:sz w:val="24"/>
                <w:szCs w:val="24"/>
                <w:highlight w:val="none"/>
              </w:rPr>
            </w:pPr>
          </w:p>
        </w:tc>
      </w:tr>
    </w:tbl>
    <w:p>
      <w:pPr>
        <w:pStyle w:val="14"/>
        <w:ind w:firstLine="0" w:firstLineChars="0"/>
        <w:rPr>
          <w:rFonts w:hint="eastAsia" w:ascii="仿宋_GB2312" w:hAnsi="仿宋_GB2312" w:eastAsia="仿宋_GB2312" w:cs="仿宋_GB2312"/>
          <w:color w:val="000000"/>
          <w:sz w:val="24"/>
          <w:szCs w:val="24"/>
          <w:highlight w:val="none"/>
        </w:rPr>
      </w:pPr>
    </w:p>
    <w:p>
      <w:pPr>
        <w:pStyle w:val="14"/>
        <w:ind w:firstLine="0" w:firstLineChars="0"/>
        <w:rPr>
          <w:rFonts w:hint="eastAsia" w:ascii="仿宋_GB2312" w:hAnsi="仿宋_GB2312" w:eastAsia="仿宋_GB2312" w:cs="仿宋_GB2312"/>
          <w:color w:val="000000"/>
          <w:sz w:val="24"/>
          <w:szCs w:val="24"/>
          <w:highlight w:val="none"/>
        </w:rPr>
      </w:pPr>
    </w:p>
    <w:p>
      <w:pPr>
        <w:pStyle w:val="14"/>
        <w:ind w:firstLine="0" w:firstLineChars="0"/>
        <w:rPr>
          <w:rFonts w:hint="eastAsia" w:ascii="仿宋_GB2312" w:hAnsi="仿宋_GB2312" w:eastAsia="仿宋_GB2312" w:cs="仿宋_GB2312"/>
          <w:color w:val="000000"/>
          <w:sz w:val="24"/>
          <w:szCs w:val="24"/>
          <w:highlight w:val="none"/>
        </w:rPr>
      </w:pPr>
    </w:p>
    <w:p>
      <w:pPr>
        <w:pStyle w:val="14"/>
        <w:ind w:firstLine="0" w:firstLineChars="0"/>
        <w:rPr>
          <w:rFonts w:hint="eastAsia" w:ascii="仿宋_GB2312" w:hAnsi="仿宋_GB2312" w:eastAsia="仿宋_GB2312" w:cs="仿宋_GB2312"/>
          <w:color w:val="000000"/>
          <w:sz w:val="24"/>
          <w:szCs w:val="24"/>
          <w:highlight w:val="none"/>
        </w:rPr>
      </w:pPr>
    </w:p>
    <w:p>
      <w:pPr>
        <w:pStyle w:val="13"/>
        <w:rPr>
          <w:rFonts w:hint="eastAsia" w:ascii="仿宋_GB2312" w:hAnsi="仿宋_GB2312" w:eastAsia="仿宋_GB2312" w:cs="仿宋_GB2312"/>
          <w:color w:val="000000"/>
          <w:sz w:val="24"/>
          <w:szCs w:val="24"/>
          <w:highlight w:val="none"/>
        </w:rPr>
      </w:pPr>
      <w:bookmarkStart w:id="189" w:name="_Toc11829"/>
      <w:bookmarkStart w:id="190" w:name="_Toc417050664"/>
      <w:bookmarkStart w:id="191" w:name="_Toc22510"/>
      <w:bookmarkStart w:id="192" w:name="_Toc26090"/>
      <w:bookmarkStart w:id="193" w:name="_Toc210188797"/>
      <w:bookmarkStart w:id="194" w:name="_Toc88985368"/>
      <w:bookmarkStart w:id="195" w:name="_Toc18002"/>
      <w:r>
        <w:rPr>
          <w:rFonts w:hint="eastAsia" w:ascii="仿宋_GB2312" w:hAnsi="仿宋_GB2312" w:eastAsia="仿宋_GB2312" w:cs="仿宋_GB2312"/>
          <w:color w:val="000000"/>
          <w:sz w:val="24"/>
          <w:szCs w:val="24"/>
          <w:highlight w:val="none"/>
        </w:rPr>
        <w:t>6.法定代表人授权委托书</w:t>
      </w:r>
      <w:bookmarkEnd w:id="189"/>
      <w:bookmarkEnd w:id="190"/>
      <w:bookmarkEnd w:id="191"/>
      <w:bookmarkEnd w:id="192"/>
      <w:bookmarkEnd w:id="193"/>
      <w:bookmarkEnd w:id="194"/>
      <w:bookmarkEnd w:id="195"/>
    </w:p>
    <w:p>
      <w:pPr>
        <w:rPr>
          <w:rFonts w:hint="eastAsia" w:ascii="仿宋_GB2312" w:hAnsi="仿宋_GB2312" w:eastAsia="仿宋_GB2312" w:cs="仿宋_GB2312"/>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致：东莞市万江招投标服务所</w:t>
      </w:r>
    </w:p>
    <w:p>
      <w:pPr>
        <w:pStyle w:val="14"/>
        <w:keepNext w:val="0"/>
        <w:keepLines w:val="0"/>
        <w:pageBreakBefore w:val="0"/>
        <w:widowControl w:val="0"/>
        <w:kinsoku/>
        <w:wordWrap/>
        <w:overflowPunct/>
        <w:topLinePunct w:val="0"/>
        <w:autoSpaceDE/>
        <w:autoSpaceDN/>
        <w:bidi w:val="0"/>
        <w:adjustRightInd/>
        <w:snapToGrid/>
        <w:spacing w:line="460" w:lineRule="exact"/>
        <w:ind w:firstLine="577"/>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本委托书声明：在下面签字的</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（法定代表人姓名、职务）代表</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（供应商名称）委托在下面签字的</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（授权代表的姓名、职务）为本公司的合法代表人，就</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采购项目（采购编号：</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）采购的相关服务的报价和合同的执行，以本公司的名义处理一切与之有关的事宜（</w:t>
      </w:r>
      <w:r>
        <w:rPr>
          <w:rFonts w:hint="eastAsia" w:ascii="仿宋_GB2312" w:hAnsi="仿宋_GB2312" w:eastAsia="仿宋_GB2312" w:cs="仿宋_GB2312"/>
          <w:b/>
          <w:color w:val="000000"/>
          <w:sz w:val="24"/>
          <w:szCs w:val="24"/>
          <w:highlight w:val="none"/>
        </w:rPr>
        <w:t>须提供授权代表身份证复印件</w:t>
      </w:r>
      <w:r>
        <w:rPr>
          <w:rFonts w:hint="eastAsia" w:ascii="仿宋_GB2312" w:hAnsi="仿宋_GB2312" w:eastAsia="仿宋_GB2312" w:cs="仿宋_GB2312"/>
          <w:color w:val="000000"/>
          <w:sz w:val="24"/>
          <w:szCs w:val="24"/>
          <w:highlight w:val="none"/>
        </w:rPr>
        <w:t>）。</w:t>
      </w:r>
    </w:p>
    <w:p>
      <w:pPr>
        <w:pStyle w:val="14"/>
        <w:keepNext w:val="0"/>
        <w:keepLines w:val="0"/>
        <w:pageBreakBefore w:val="0"/>
        <w:widowControl w:val="0"/>
        <w:kinsoku/>
        <w:wordWrap/>
        <w:overflowPunct/>
        <w:topLinePunct w:val="0"/>
        <w:autoSpaceDE/>
        <w:autoSpaceDN/>
        <w:bidi w:val="0"/>
        <w:adjustRightInd/>
        <w:snapToGrid/>
        <w:spacing w:line="460" w:lineRule="exact"/>
        <w:ind w:firstLine="577"/>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本委托书于</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年</w:t>
      </w:r>
      <w:r>
        <w:rPr>
          <w:rFonts w:hint="eastAsia" w:ascii="仿宋_GB2312" w:hAnsi="仿宋_GB2312" w:eastAsia="仿宋_GB2312" w:cs="仿宋_GB2312"/>
          <w:color w:val="000000"/>
          <w:sz w:val="24"/>
          <w:szCs w:val="24"/>
          <w:highlight w:val="none"/>
          <w:u w:val="single"/>
        </w:rPr>
        <w:t>　</w:t>
      </w:r>
      <w:r>
        <w:rPr>
          <w:rFonts w:hint="eastAsia" w:ascii="仿宋_GB2312" w:hAnsi="仿宋_GB2312" w:eastAsia="仿宋_GB2312" w:cs="仿宋_GB2312"/>
          <w:color w:val="000000"/>
          <w:sz w:val="24"/>
          <w:szCs w:val="24"/>
          <w:highlight w:val="none"/>
        </w:rPr>
        <w:t>月</w:t>
      </w:r>
      <w:r>
        <w:rPr>
          <w:rFonts w:hint="eastAsia" w:ascii="仿宋_GB2312" w:hAnsi="仿宋_GB2312" w:eastAsia="仿宋_GB2312" w:cs="仿宋_GB2312"/>
          <w:color w:val="000000"/>
          <w:sz w:val="24"/>
          <w:szCs w:val="24"/>
          <w:highlight w:val="none"/>
          <w:u w:val="single"/>
        </w:rPr>
        <w:t>　</w:t>
      </w:r>
      <w:r>
        <w:rPr>
          <w:rFonts w:hint="eastAsia" w:ascii="仿宋_GB2312" w:hAnsi="仿宋_GB2312" w:eastAsia="仿宋_GB2312" w:cs="仿宋_GB2312"/>
          <w:color w:val="000000"/>
          <w:sz w:val="24"/>
          <w:szCs w:val="24"/>
          <w:highlight w:val="none"/>
        </w:rPr>
        <w:t>日签字生效。</w:t>
      </w:r>
    </w:p>
    <w:p>
      <w:pPr>
        <w:pStyle w:val="14"/>
        <w:ind w:firstLine="577"/>
        <w:rPr>
          <w:rFonts w:hint="eastAsia" w:ascii="仿宋_GB2312" w:hAnsi="仿宋_GB2312" w:eastAsia="仿宋_GB2312" w:cs="仿宋_GB2312"/>
          <w:color w:val="000000"/>
          <w:sz w:val="24"/>
          <w:szCs w:val="24"/>
          <w:highlight w:val="none"/>
        </w:rPr>
      </w:pPr>
    </w:p>
    <w:tbl>
      <w:tblPr>
        <w:tblStyle w:val="9"/>
        <w:tblpPr w:leftFromText="180" w:rightFromText="180" w:vertAnchor="text" w:horzAnchor="margin" w:tblpXSpec="center" w:tblpY="3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4991" w:type="dxa"/>
            <w:noWrap w:val="0"/>
            <w:vAlign w:val="top"/>
          </w:tcPr>
          <w:p>
            <w:pPr>
              <w:autoSpaceDE w:val="0"/>
              <w:autoSpaceDN w:val="0"/>
              <w:adjustRightInd w:val="0"/>
              <w:spacing w:line="60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授权代表人身份证复印件（正、反面）粘贴处</w:t>
            </w:r>
          </w:p>
        </w:tc>
      </w:tr>
    </w:tbl>
    <w:p>
      <w:pPr>
        <w:pStyle w:val="14"/>
        <w:ind w:firstLine="577"/>
        <w:rPr>
          <w:rFonts w:hint="eastAsia" w:ascii="仿宋_GB2312" w:hAnsi="仿宋_GB2312" w:eastAsia="仿宋_GB2312" w:cs="仿宋_GB2312"/>
          <w:color w:val="000000"/>
          <w:sz w:val="24"/>
          <w:szCs w:val="24"/>
          <w:highlight w:val="none"/>
        </w:rPr>
      </w:pPr>
    </w:p>
    <w:p>
      <w:pPr>
        <w:pStyle w:val="14"/>
        <w:ind w:firstLine="577"/>
        <w:rPr>
          <w:rFonts w:hint="eastAsia" w:ascii="仿宋_GB2312" w:hAnsi="仿宋_GB2312" w:eastAsia="仿宋_GB2312" w:cs="仿宋_GB2312"/>
          <w:color w:val="000000"/>
          <w:sz w:val="24"/>
          <w:szCs w:val="24"/>
          <w:highlight w:val="none"/>
        </w:rPr>
      </w:pPr>
    </w:p>
    <w:p>
      <w:pPr>
        <w:pStyle w:val="14"/>
        <w:ind w:firstLine="577"/>
        <w:rPr>
          <w:rFonts w:hint="eastAsia" w:ascii="仿宋_GB2312" w:hAnsi="仿宋_GB2312" w:eastAsia="仿宋_GB2312" w:cs="仿宋_GB2312"/>
          <w:color w:val="000000"/>
          <w:sz w:val="24"/>
          <w:szCs w:val="24"/>
          <w:highlight w:val="none"/>
        </w:rPr>
      </w:pPr>
    </w:p>
    <w:p>
      <w:pPr>
        <w:pStyle w:val="14"/>
        <w:ind w:firstLine="577"/>
        <w:rPr>
          <w:rFonts w:hint="eastAsia" w:ascii="仿宋_GB2312" w:hAnsi="仿宋_GB2312" w:eastAsia="仿宋_GB2312" w:cs="仿宋_GB2312"/>
          <w:color w:val="000000"/>
          <w:sz w:val="24"/>
          <w:szCs w:val="24"/>
          <w:highlight w:val="none"/>
        </w:rPr>
      </w:pPr>
    </w:p>
    <w:p>
      <w:pPr>
        <w:pStyle w:val="14"/>
        <w:ind w:firstLine="577"/>
        <w:rPr>
          <w:rFonts w:hint="eastAsia" w:ascii="仿宋_GB2312" w:hAnsi="仿宋_GB2312" w:eastAsia="仿宋_GB2312" w:cs="仿宋_GB2312"/>
          <w:color w:val="000000"/>
          <w:sz w:val="24"/>
          <w:szCs w:val="24"/>
          <w:highlight w:val="none"/>
        </w:rPr>
      </w:pPr>
    </w:p>
    <w:p>
      <w:pPr>
        <w:pStyle w:val="14"/>
        <w:ind w:firstLine="577"/>
        <w:rPr>
          <w:rFonts w:hint="eastAsia" w:ascii="仿宋_GB2312" w:hAnsi="仿宋_GB2312" w:eastAsia="仿宋_GB2312" w:cs="仿宋_GB2312"/>
          <w:color w:val="000000"/>
          <w:sz w:val="24"/>
          <w:szCs w:val="24"/>
          <w:highlight w:val="none"/>
        </w:rPr>
      </w:pPr>
    </w:p>
    <w:p>
      <w:pPr>
        <w:pStyle w:val="14"/>
        <w:ind w:firstLine="577"/>
        <w:rPr>
          <w:rFonts w:hint="eastAsia" w:ascii="仿宋_GB2312" w:hAnsi="仿宋_GB2312" w:eastAsia="仿宋_GB2312" w:cs="仿宋_GB2312"/>
          <w:color w:val="000000"/>
          <w:sz w:val="24"/>
          <w:szCs w:val="24"/>
          <w:highlight w:val="none"/>
        </w:rPr>
      </w:pPr>
    </w:p>
    <w:tbl>
      <w:tblPr>
        <w:tblStyle w:val="9"/>
        <w:tblW w:w="0" w:type="auto"/>
        <w:tblInd w:w="0" w:type="dxa"/>
        <w:tblLayout w:type="fixed"/>
        <w:tblCellMar>
          <w:top w:w="0" w:type="dxa"/>
          <w:left w:w="108" w:type="dxa"/>
          <w:bottom w:w="0" w:type="dxa"/>
          <w:right w:w="108" w:type="dxa"/>
        </w:tblCellMar>
      </w:tblPr>
      <w:tblGrid>
        <w:gridCol w:w="5536"/>
        <w:gridCol w:w="2992"/>
      </w:tblGrid>
      <w:tr>
        <w:tblPrEx>
          <w:tblCellMar>
            <w:top w:w="0" w:type="dxa"/>
            <w:left w:w="108" w:type="dxa"/>
            <w:bottom w:w="0" w:type="dxa"/>
            <w:right w:w="108" w:type="dxa"/>
          </w:tblCellMar>
        </w:tblPrEx>
        <w:trPr>
          <w:trHeight w:val="545" w:hRule="atLeast"/>
        </w:trPr>
        <w:tc>
          <w:tcPr>
            <w:tcW w:w="5536" w:type="dxa"/>
            <w:noWrap w:val="0"/>
            <w:vAlign w:val="top"/>
          </w:tcPr>
          <w:p>
            <w:pPr>
              <w:spacing w:line="40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供应商名称（加盖公章）：                         </w:t>
            </w:r>
          </w:p>
        </w:tc>
        <w:tc>
          <w:tcPr>
            <w:tcW w:w="2992" w:type="dxa"/>
            <w:noWrap w:val="0"/>
            <w:vAlign w:val="top"/>
          </w:tcPr>
          <w:p>
            <w:pPr>
              <w:spacing w:line="400" w:lineRule="exact"/>
              <w:ind w:firstLine="480" w:firstLineChars="200"/>
              <w:jc w:val="left"/>
              <w:rPr>
                <w:rFonts w:hint="eastAsia"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500" w:hRule="atLeast"/>
        </w:trPr>
        <w:tc>
          <w:tcPr>
            <w:tcW w:w="5536" w:type="dxa"/>
            <w:noWrap w:val="0"/>
            <w:vAlign w:val="top"/>
          </w:tcPr>
          <w:p>
            <w:pPr>
              <w:spacing w:line="40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法定代表人或受委托人（签名或盖私章）：     </w:t>
            </w:r>
          </w:p>
        </w:tc>
        <w:tc>
          <w:tcPr>
            <w:tcW w:w="2992" w:type="dxa"/>
            <w:noWrap w:val="0"/>
            <w:vAlign w:val="top"/>
          </w:tcPr>
          <w:p>
            <w:pPr>
              <w:spacing w:line="400" w:lineRule="exact"/>
              <w:ind w:firstLine="480" w:firstLineChars="200"/>
              <w:jc w:val="left"/>
              <w:rPr>
                <w:rFonts w:hint="eastAsia"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500" w:hRule="atLeast"/>
        </w:trPr>
        <w:tc>
          <w:tcPr>
            <w:tcW w:w="5536" w:type="dxa"/>
            <w:noWrap w:val="0"/>
            <w:vAlign w:val="top"/>
          </w:tcPr>
          <w:p>
            <w:pPr>
              <w:spacing w:line="40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受委托人（签名或盖私章）：</w:t>
            </w:r>
          </w:p>
        </w:tc>
        <w:tc>
          <w:tcPr>
            <w:tcW w:w="2992" w:type="dxa"/>
            <w:noWrap w:val="0"/>
            <w:vAlign w:val="top"/>
          </w:tcPr>
          <w:p>
            <w:pPr>
              <w:spacing w:line="400" w:lineRule="exact"/>
              <w:ind w:firstLine="480" w:firstLineChars="200"/>
              <w:jc w:val="left"/>
              <w:rPr>
                <w:rFonts w:hint="eastAsia"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c>
          <w:tcPr>
            <w:tcW w:w="5536" w:type="dxa"/>
            <w:noWrap w:val="0"/>
            <w:vAlign w:val="top"/>
          </w:tcPr>
          <w:p>
            <w:pPr>
              <w:spacing w:line="40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日期：   年   月   日</w:t>
            </w:r>
          </w:p>
        </w:tc>
        <w:tc>
          <w:tcPr>
            <w:tcW w:w="2992" w:type="dxa"/>
            <w:noWrap w:val="0"/>
            <w:vAlign w:val="top"/>
          </w:tcPr>
          <w:p>
            <w:pPr>
              <w:spacing w:line="400" w:lineRule="exact"/>
              <w:ind w:firstLine="480" w:firstLineChars="200"/>
              <w:jc w:val="left"/>
              <w:rPr>
                <w:rFonts w:hint="eastAsia" w:ascii="仿宋_GB2312" w:hAnsi="仿宋_GB2312" w:eastAsia="仿宋_GB2312" w:cs="仿宋_GB2312"/>
                <w:color w:val="000000"/>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highlight w:val="none"/>
        </w:rPr>
      </w:pPr>
      <w:bookmarkStart w:id="196" w:name="_Toc29681"/>
      <w:bookmarkStart w:id="197" w:name="_Toc417050665"/>
      <w:bookmarkStart w:id="198" w:name="_Toc210188799"/>
      <w:bookmarkStart w:id="199" w:name="_Toc88985370"/>
      <w:r>
        <w:rPr>
          <w:rFonts w:hint="eastAsia" w:ascii="仿宋_GB2312" w:hAnsi="仿宋_GB2312" w:eastAsia="仿宋_GB2312" w:cs="仿宋_GB2312"/>
          <w:color w:val="000000"/>
          <w:sz w:val="24"/>
          <w:szCs w:val="24"/>
          <w:highlight w:val="none"/>
        </w:rPr>
        <w:br w:type="page"/>
      </w:r>
      <w:r>
        <w:rPr>
          <w:rFonts w:hint="eastAsia" w:ascii="仿宋_GB2312" w:hAnsi="仿宋_GB2312" w:eastAsia="仿宋_GB2312" w:cs="仿宋_GB2312"/>
          <w:b/>
          <w:bCs/>
          <w:color w:val="000000"/>
          <w:sz w:val="24"/>
          <w:szCs w:val="24"/>
          <w:highlight w:val="none"/>
        </w:rPr>
        <w:t>7.供应商具有履行合同所必需的设备和专业技术能力情况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具备履行合同所必需的设备和专业技术能力的证明材料，须提供《供应商具有履行合同所必需的设备和专业技术能力情况》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说明：供应商按照询价通知书提供的《供应商具有履行合同所必需的设备和专业技术能力情况》格式填写，否则不良后果供应商自行承担。</w:t>
      </w:r>
    </w:p>
    <w:p>
      <w:pPr>
        <w:rPr>
          <w:rFonts w:hint="eastAsia" w:ascii="仿宋_GB2312" w:hAnsi="仿宋_GB2312" w:eastAsia="仿宋_GB2312" w:cs="仿宋_GB2312"/>
          <w:b/>
          <w:color w:val="000000"/>
          <w:sz w:val="24"/>
          <w:szCs w:val="24"/>
          <w:highlight w:val="none"/>
        </w:rPr>
      </w:pPr>
    </w:p>
    <w:p>
      <w:pPr>
        <w:jc w:val="left"/>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br w:type="page"/>
      </w:r>
      <w:r>
        <w:rPr>
          <w:rFonts w:hint="eastAsia" w:ascii="仿宋_GB2312" w:hAnsi="仿宋_GB2312" w:eastAsia="仿宋_GB2312" w:cs="仿宋_GB2312"/>
          <w:b/>
          <w:color w:val="000000"/>
          <w:sz w:val="24"/>
          <w:szCs w:val="24"/>
          <w:highlight w:val="none"/>
        </w:rPr>
        <w:t>7.1供应商具有履行合同所必需的设备和专业技术能力情况</w:t>
      </w:r>
    </w:p>
    <w:p>
      <w:pPr>
        <w:jc w:val="center"/>
        <w:rPr>
          <w:rFonts w:hint="eastAsia" w:ascii="仿宋_GB2312" w:hAnsi="仿宋_GB2312" w:eastAsia="仿宋_GB2312" w:cs="仿宋_GB2312"/>
          <w:b/>
          <w:color w:val="000000"/>
          <w:sz w:val="24"/>
          <w:szCs w:val="24"/>
          <w:highlight w:val="none"/>
        </w:rPr>
      </w:pPr>
    </w:p>
    <w:p>
      <w:pPr>
        <w:jc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供应商具有履行合同所必需的设备和专业技术能力情况</w:t>
      </w:r>
    </w:p>
    <w:p>
      <w:pPr>
        <w:jc w:val="center"/>
        <w:rPr>
          <w:rFonts w:hint="eastAsia" w:ascii="仿宋_GB2312" w:hAnsi="仿宋_GB2312" w:eastAsia="仿宋_GB2312" w:cs="仿宋_GB2312"/>
          <w:b/>
          <w:color w:val="000000"/>
          <w:sz w:val="24"/>
          <w:szCs w:val="24"/>
          <w:highlight w:val="none"/>
        </w:rPr>
      </w:pPr>
    </w:p>
    <w:p>
      <w:pP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一、设备情况</w:t>
      </w:r>
    </w:p>
    <w:p>
      <w:pPr>
        <w:rPr>
          <w:rFonts w:hint="eastAsia" w:ascii="仿宋_GB2312" w:hAnsi="仿宋_GB2312" w:eastAsia="仿宋_GB2312" w:cs="仿宋_GB2312"/>
          <w:color w:val="000000"/>
          <w:sz w:val="24"/>
          <w:szCs w:val="24"/>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2868"/>
        <w:gridCol w:w="1693"/>
        <w:gridCol w:w="1721"/>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84" w:type="dxa"/>
            <w:noWrap w:val="0"/>
            <w:vAlign w:val="center"/>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序号</w:t>
            </w:r>
          </w:p>
        </w:tc>
        <w:tc>
          <w:tcPr>
            <w:tcW w:w="2868" w:type="dxa"/>
            <w:noWrap w:val="0"/>
            <w:vAlign w:val="center"/>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设备名称</w:t>
            </w:r>
          </w:p>
        </w:tc>
        <w:tc>
          <w:tcPr>
            <w:tcW w:w="1693" w:type="dxa"/>
            <w:noWrap w:val="0"/>
            <w:vAlign w:val="center"/>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数量</w:t>
            </w:r>
          </w:p>
        </w:tc>
        <w:tc>
          <w:tcPr>
            <w:tcW w:w="1721" w:type="dxa"/>
            <w:noWrap w:val="0"/>
            <w:vAlign w:val="center"/>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运行状况</w:t>
            </w:r>
          </w:p>
        </w:tc>
        <w:tc>
          <w:tcPr>
            <w:tcW w:w="1576" w:type="dxa"/>
            <w:noWrap w:val="0"/>
            <w:vAlign w:val="center"/>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84" w:type="dxa"/>
            <w:noWrap w:val="0"/>
            <w:vAlign w:val="center"/>
          </w:tcPr>
          <w:p>
            <w:pPr>
              <w:rPr>
                <w:rFonts w:hint="eastAsia" w:ascii="仿宋_GB2312" w:hAnsi="仿宋_GB2312" w:eastAsia="仿宋_GB2312" w:cs="仿宋_GB2312"/>
                <w:color w:val="000000"/>
                <w:sz w:val="24"/>
                <w:szCs w:val="24"/>
                <w:highlight w:val="none"/>
              </w:rPr>
            </w:pPr>
          </w:p>
        </w:tc>
        <w:tc>
          <w:tcPr>
            <w:tcW w:w="2868" w:type="dxa"/>
            <w:noWrap w:val="0"/>
            <w:vAlign w:val="center"/>
          </w:tcPr>
          <w:p>
            <w:pPr>
              <w:rPr>
                <w:rFonts w:hint="eastAsia" w:ascii="仿宋_GB2312" w:hAnsi="仿宋_GB2312" w:eastAsia="仿宋_GB2312" w:cs="仿宋_GB2312"/>
                <w:color w:val="000000"/>
                <w:sz w:val="24"/>
                <w:szCs w:val="24"/>
                <w:highlight w:val="none"/>
              </w:rPr>
            </w:pPr>
          </w:p>
        </w:tc>
        <w:tc>
          <w:tcPr>
            <w:tcW w:w="1693" w:type="dxa"/>
            <w:noWrap w:val="0"/>
            <w:vAlign w:val="top"/>
          </w:tcPr>
          <w:p>
            <w:pPr>
              <w:rPr>
                <w:rFonts w:hint="eastAsia" w:ascii="仿宋_GB2312" w:hAnsi="仿宋_GB2312" w:eastAsia="仿宋_GB2312" w:cs="仿宋_GB2312"/>
                <w:color w:val="000000"/>
                <w:sz w:val="24"/>
                <w:szCs w:val="24"/>
                <w:highlight w:val="none"/>
              </w:rPr>
            </w:pPr>
          </w:p>
        </w:tc>
        <w:tc>
          <w:tcPr>
            <w:tcW w:w="1721" w:type="dxa"/>
            <w:noWrap w:val="0"/>
            <w:vAlign w:val="center"/>
          </w:tcPr>
          <w:p>
            <w:pPr>
              <w:rPr>
                <w:rFonts w:hint="eastAsia" w:ascii="仿宋_GB2312" w:hAnsi="仿宋_GB2312" w:eastAsia="仿宋_GB2312" w:cs="仿宋_GB2312"/>
                <w:color w:val="000000"/>
                <w:sz w:val="24"/>
                <w:szCs w:val="24"/>
                <w:highlight w:val="none"/>
              </w:rPr>
            </w:pPr>
          </w:p>
        </w:tc>
        <w:tc>
          <w:tcPr>
            <w:tcW w:w="1576" w:type="dxa"/>
            <w:noWrap w:val="0"/>
            <w:vAlign w:val="top"/>
          </w:tcPr>
          <w:p>
            <w:pP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84" w:type="dxa"/>
            <w:noWrap w:val="0"/>
            <w:vAlign w:val="center"/>
          </w:tcPr>
          <w:p>
            <w:pPr>
              <w:rPr>
                <w:rFonts w:hint="eastAsia" w:ascii="仿宋_GB2312" w:hAnsi="仿宋_GB2312" w:eastAsia="仿宋_GB2312" w:cs="仿宋_GB2312"/>
                <w:color w:val="000000"/>
                <w:sz w:val="24"/>
                <w:szCs w:val="24"/>
                <w:highlight w:val="none"/>
              </w:rPr>
            </w:pPr>
          </w:p>
        </w:tc>
        <w:tc>
          <w:tcPr>
            <w:tcW w:w="2868" w:type="dxa"/>
            <w:noWrap w:val="0"/>
            <w:vAlign w:val="center"/>
          </w:tcPr>
          <w:p>
            <w:pPr>
              <w:rPr>
                <w:rFonts w:hint="eastAsia" w:ascii="仿宋_GB2312" w:hAnsi="仿宋_GB2312" w:eastAsia="仿宋_GB2312" w:cs="仿宋_GB2312"/>
                <w:color w:val="000000"/>
                <w:sz w:val="24"/>
                <w:szCs w:val="24"/>
                <w:highlight w:val="none"/>
              </w:rPr>
            </w:pPr>
          </w:p>
        </w:tc>
        <w:tc>
          <w:tcPr>
            <w:tcW w:w="1693" w:type="dxa"/>
            <w:noWrap w:val="0"/>
            <w:vAlign w:val="top"/>
          </w:tcPr>
          <w:p>
            <w:pPr>
              <w:rPr>
                <w:rFonts w:hint="eastAsia" w:ascii="仿宋_GB2312" w:hAnsi="仿宋_GB2312" w:eastAsia="仿宋_GB2312" w:cs="仿宋_GB2312"/>
                <w:color w:val="000000"/>
                <w:sz w:val="24"/>
                <w:szCs w:val="24"/>
                <w:highlight w:val="none"/>
              </w:rPr>
            </w:pPr>
          </w:p>
        </w:tc>
        <w:tc>
          <w:tcPr>
            <w:tcW w:w="1721" w:type="dxa"/>
            <w:noWrap w:val="0"/>
            <w:vAlign w:val="center"/>
          </w:tcPr>
          <w:p>
            <w:pPr>
              <w:rPr>
                <w:rFonts w:hint="eastAsia" w:ascii="仿宋_GB2312" w:hAnsi="仿宋_GB2312" w:eastAsia="仿宋_GB2312" w:cs="仿宋_GB2312"/>
                <w:color w:val="000000"/>
                <w:sz w:val="24"/>
                <w:szCs w:val="24"/>
                <w:highlight w:val="none"/>
              </w:rPr>
            </w:pPr>
          </w:p>
        </w:tc>
        <w:tc>
          <w:tcPr>
            <w:tcW w:w="1576" w:type="dxa"/>
            <w:noWrap w:val="0"/>
            <w:vAlign w:val="top"/>
          </w:tcPr>
          <w:p>
            <w:pP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84" w:type="dxa"/>
            <w:noWrap w:val="0"/>
            <w:vAlign w:val="center"/>
          </w:tcPr>
          <w:p>
            <w:pPr>
              <w:rPr>
                <w:rFonts w:hint="eastAsia" w:ascii="仿宋_GB2312" w:hAnsi="仿宋_GB2312" w:eastAsia="仿宋_GB2312" w:cs="仿宋_GB2312"/>
                <w:color w:val="000000"/>
                <w:sz w:val="24"/>
                <w:szCs w:val="24"/>
                <w:highlight w:val="none"/>
              </w:rPr>
            </w:pPr>
          </w:p>
        </w:tc>
        <w:tc>
          <w:tcPr>
            <w:tcW w:w="2868" w:type="dxa"/>
            <w:noWrap w:val="0"/>
            <w:vAlign w:val="center"/>
          </w:tcPr>
          <w:p>
            <w:pPr>
              <w:rPr>
                <w:rFonts w:hint="eastAsia" w:ascii="仿宋_GB2312" w:hAnsi="仿宋_GB2312" w:eastAsia="仿宋_GB2312" w:cs="仿宋_GB2312"/>
                <w:color w:val="000000"/>
                <w:sz w:val="24"/>
                <w:szCs w:val="24"/>
                <w:highlight w:val="none"/>
              </w:rPr>
            </w:pPr>
          </w:p>
        </w:tc>
        <w:tc>
          <w:tcPr>
            <w:tcW w:w="1693" w:type="dxa"/>
            <w:noWrap w:val="0"/>
            <w:vAlign w:val="top"/>
          </w:tcPr>
          <w:p>
            <w:pPr>
              <w:rPr>
                <w:rFonts w:hint="eastAsia" w:ascii="仿宋_GB2312" w:hAnsi="仿宋_GB2312" w:eastAsia="仿宋_GB2312" w:cs="仿宋_GB2312"/>
                <w:color w:val="000000"/>
                <w:sz w:val="24"/>
                <w:szCs w:val="24"/>
                <w:highlight w:val="none"/>
              </w:rPr>
            </w:pPr>
          </w:p>
        </w:tc>
        <w:tc>
          <w:tcPr>
            <w:tcW w:w="1721" w:type="dxa"/>
            <w:noWrap w:val="0"/>
            <w:vAlign w:val="center"/>
          </w:tcPr>
          <w:p>
            <w:pPr>
              <w:rPr>
                <w:rFonts w:hint="eastAsia" w:ascii="仿宋_GB2312" w:hAnsi="仿宋_GB2312" w:eastAsia="仿宋_GB2312" w:cs="仿宋_GB2312"/>
                <w:color w:val="000000"/>
                <w:sz w:val="24"/>
                <w:szCs w:val="24"/>
                <w:highlight w:val="none"/>
              </w:rPr>
            </w:pPr>
          </w:p>
        </w:tc>
        <w:tc>
          <w:tcPr>
            <w:tcW w:w="1576" w:type="dxa"/>
            <w:noWrap w:val="0"/>
            <w:vAlign w:val="top"/>
          </w:tcPr>
          <w:p>
            <w:pP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84" w:type="dxa"/>
            <w:noWrap w:val="0"/>
            <w:vAlign w:val="center"/>
          </w:tcPr>
          <w:p>
            <w:pPr>
              <w:rPr>
                <w:rFonts w:hint="eastAsia" w:ascii="仿宋_GB2312" w:hAnsi="仿宋_GB2312" w:eastAsia="仿宋_GB2312" w:cs="仿宋_GB2312"/>
                <w:color w:val="000000"/>
                <w:sz w:val="24"/>
                <w:szCs w:val="24"/>
                <w:highlight w:val="none"/>
              </w:rPr>
            </w:pPr>
          </w:p>
        </w:tc>
        <w:tc>
          <w:tcPr>
            <w:tcW w:w="2868" w:type="dxa"/>
            <w:noWrap w:val="0"/>
            <w:vAlign w:val="center"/>
          </w:tcPr>
          <w:p>
            <w:pPr>
              <w:rPr>
                <w:rFonts w:hint="eastAsia" w:ascii="仿宋_GB2312" w:hAnsi="仿宋_GB2312" w:eastAsia="仿宋_GB2312" w:cs="仿宋_GB2312"/>
                <w:color w:val="000000"/>
                <w:sz w:val="24"/>
                <w:szCs w:val="24"/>
                <w:highlight w:val="none"/>
              </w:rPr>
            </w:pPr>
          </w:p>
        </w:tc>
        <w:tc>
          <w:tcPr>
            <w:tcW w:w="1693" w:type="dxa"/>
            <w:noWrap w:val="0"/>
            <w:vAlign w:val="top"/>
          </w:tcPr>
          <w:p>
            <w:pPr>
              <w:rPr>
                <w:rFonts w:hint="eastAsia" w:ascii="仿宋_GB2312" w:hAnsi="仿宋_GB2312" w:eastAsia="仿宋_GB2312" w:cs="仿宋_GB2312"/>
                <w:color w:val="000000"/>
                <w:sz w:val="24"/>
                <w:szCs w:val="24"/>
                <w:highlight w:val="none"/>
              </w:rPr>
            </w:pPr>
          </w:p>
        </w:tc>
        <w:tc>
          <w:tcPr>
            <w:tcW w:w="1721" w:type="dxa"/>
            <w:noWrap w:val="0"/>
            <w:vAlign w:val="center"/>
          </w:tcPr>
          <w:p>
            <w:pPr>
              <w:rPr>
                <w:rFonts w:hint="eastAsia" w:ascii="仿宋_GB2312" w:hAnsi="仿宋_GB2312" w:eastAsia="仿宋_GB2312" w:cs="仿宋_GB2312"/>
                <w:color w:val="000000"/>
                <w:sz w:val="24"/>
                <w:szCs w:val="24"/>
                <w:highlight w:val="none"/>
              </w:rPr>
            </w:pPr>
          </w:p>
        </w:tc>
        <w:tc>
          <w:tcPr>
            <w:tcW w:w="1576" w:type="dxa"/>
            <w:noWrap w:val="0"/>
            <w:vAlign w:val="top"/>
          </w:tcPr>
          <w:p>
            <w:pP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84" w:type="dxa"/>
            <w:noWrap w:val="0"/>
            <w:vAlign w:val="center"/>
          </w:tcPr>
          <w:p>
            <w:pPr>
              <w:rPr>
                <w:rFonts w:hint="eastAsia" w:ascii="仿宋_GB2312" w:hAnsi="仿宋_GB2312" w:eastAsia="仿宋_GB2312" w:cs="仿宋_GB2312"/>
                <w:color w:val="000000"/>
                <w:sz w:val="24"/>
                <w:szCs w:val="24"/>
                <w:highlight w:val="none"/>
              </w:rPr>
            </w:pPr>
          </w:p>
        </w:tc>
        <w:tc>
          <w:tcPr>
            <w:tcW w:w="2868" w:type="dxa"/>
            <w:noWrap w:val="0"/>
            <w:vAlign w:val="center"/>
          </w:tcPr>
          <w:p>
            <w:pPr>
              <w:rPr>
                <w:rFonts w:hint="eastAsia" w:ascii="仿宋_GB2312" w:hAnsi="仿宋_GB2312" w:eastAsia="仿宋_GB2312" w:cs="仿宋_GB2312"/>
                <w:color w:val="000000"/>
                <w:sz w:val="24"/>
                <w:szCs w:val="24"/>
                <w:highlight w:val="none"/>
              </w:rPr>
            </w:pPr>
          </w:p>
        </w:tc>
        <w:tc>
          <w:tcPr>
            <w:tcW w:w="1693" w:type="dxa"/>
            <w:noWrap w:val="0"/>
            <w:vAlign w:val="top"/>
          </w:tcPr>
          <w:p>
            <w:pPr>
              <w:rPr>
                <w:rFonts w:hint="eastAsia" w:ascii="仿宋_GB2312" w:hAnsi="仿宋_GB2312" w:eastAsia="仿宋_GB2312" w:cs="仿宋_GB2312"/>
                <w:color w:val="000000"/>
                <w:sz w:val="24"/>
                <w:szCs w:val="24"/>
                <w:highlight w:val="none"/>
              </w:rPr>
            </w:pPr>
          </w:p>
        </w:tc>
        <w:tc>
          <w:tcPr>
            <w:tcW w:w="1721" w:type="dxa"/>
            <w:noWrap w:val="0"/>
            <w:vAlign w:val="center"/>
          </w:tcPr>
          <w:p>
            <w:pPr>
              <w:rPr>
                <w:rFonts w:hint="eastAsia" w:ascii="仿宋_GB2312" w:hAnsi="仿宋_GB2312" w:eastAsia="仿宋_GB2312" w:cs="仿宋_GB2312"/>
                <w:color w:val="000000"/>
                <w:sz w:val="24"/>
                <w:szCs w:val="24"/>
                <w:highlight w:val="none"/>
              </w:rPr>
            </w:pPr>
          </w:p>
        </w:tc>
        <w:tc>
          <w:tcPr>
            <w:tcW w:w="1576" w:type="dxa"/>
            <w:noWrap w:val="0"/>
            <w:vAlign w:val="top"/>
          </w:tcPr>
          <w:p>
            <w:pP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84" w:type="dxa"/>
            <w:noWrap w:val="0"/>
            <w:vAlign w:val="center"/>
          </w:tcPr>
          <w:p>
            <w:pPr>
              <w:rPr>
                <w:rFonts w:hint="eastAsia" w:ascii="仿宋_GB2312" w:hAnsi="仿宋_GB2312" w:eastAsia="仿宋_GB2312" w:cs="仿宋_GB2312"/>
                <w:color w:val="000000"/>
                <w:sz w:val="24"/>
                <w:szCs w:val="24"/>
                <w:highlight w:val="none"/>
              </w:rPr>
            </w:pPr>
          </w:p>
        </w:tc>
        <w:tc>
          <w:tcPr>
            <w:tcW w:w="2868" w:type="dxa"/>
            <w:noWrap w:val="0"/>
            <w:vAlign w:val="center"/>
          </w:tcPr>
          <w:p>
            <w:pPr>
              <w:rPr>
                <w:rFonts w:hint="eastAsia" w:ascii="仿宋_GB2312" w:hAnsi="仿宋_GB2312" w:eastAsia="仿宋_GB2312" w:cs="仿宋_GB2312"/>
                <w:color w:val="000000"/>
                <w:sz w:val="24"/>
                <w:szCs w:val="24"/>
                <w:highlight w:val="none"/>
              </w:rPr>
            </w:pPr>
          </w:p>
        </w:tc>
        <w:tc>
          <w:tcPr>
            <w:tcW w:w="1693" w:type="dxa"/>
            <w:noWrap w:val="0"/>
            <w:vAlign w:val="top"/>
          </w:tcPr>
          <w:p>
            <w:pPr>
              <w:rPr>
                <w:rFonts w:hint="eastAsia" w:ascii="仿宋_GB2312" w:hAnsi="仿宋_GB2312" w:eastAsia="仿宋_GB2312" w:cs="仿宋_GB2312"/>
                <w:color w:val="000000"/>
                <w:sz w:val="24"/>
                <w:szCs w:val="24"/>
                <w:highlight w:val="none"/>
              </w:rPr>
            </w:pPr>
          </w:p>
        </w:tc>
        <w:tc>
          <w:tcPr>
            <w:tcW w:w="1721" w:type="dxa"/>
            <w:noWrap w:val="0"/>
            <w:vAlign w:val="center"/>
          </w:tcPr>
          <w:p>
            <w:pPr>
              <w:rPr>
                <w:rFonts w:hint="eastAsia" w:ascii="仿宋_GB2312" w:hAnsi="仿宋_GB2312" w:eastAsia="仿宋_GB2312" w:cs="仿宋_GB2312"/>
                <w:color w:val="000000"/>
                <w:sz w:val="24"/>
                <w:szCs w:val="24"/>
                <w:highlight w:val="none"/>
              </w:rPr>
            </w:pPr>
          </w:p>
        </w:tc>
        <w:tc>
          <w:tcPr>
            <w:tcW w:w="1576" w:type="dxa"/>
            <w:noWrap w:val="0"/>
            <w:vAlign w:val="top"/>
          </w:tcPr>
          <w:p>
            <w:pP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84" w:type="dxa"/>
            <w:noWrap w:val="0"/>
            <w:vAlign w:val="center"/>
          </w:tcPr>
          <w:p>
            <w:pPr>
              <w:rPr>
                <w:rFonts w:hint="eastAsia" w:ascii="仿宋_GB2312" w:hAnsi="仿宋_GB2312" w:eastAsia="仿宋_GB2312" w:cs="仿宋_GB2312"/>
                <w:color w:val="000000"/>
                <w:sz w:val="24"/>
                <w:szCs w:val="24"/>
                <w:highlight w:val="none"/>
              </w:rPr>
            </w:pPr>
          </w:p>
        </w:tc>
        <w:tc>
          <w:tcPr>
            <w:tcW w:w="2868" w:type="dxa"/>
            <w:noWrap w:val="0"/>
            <w:vAlign w:val="center"/>
          </w:tcPr>
          <w:p>
            <w:pPr>
              <w:rPr>
                <w:rFonts w:hint="eastAsia" w:ascii="仿宋_GB2312" w:hAnsi="仿宋_GB2312" w:eastAsia="仿宋_GB2312" w:cs="仿宋_GB2312"/>
                <w:color w:val="000000"/>
                <w:sz w:val="24"/>
                <w:szCs w:val="24"/>
                <w:highlight w:val="none"/>
              </w:rPr>
            </w:pPr>
          </w:p>
        </w:tc>
        <w:tc>
          <w:tcPr>
            <w:tcW w:w="1693" w:type="dxa"/>
            <w:noWrap w:val="0"/>
            <w:vAlign w:val="top"/>
          </w:tcPr>
          <w:p>
            <w:pPr>
              <w:rPr>
                <w:rFonts w:hint="eastAsia" w:ascii="仿宋_GB2312" w:hAnsi="仿宋_GB2312" w:eastAsia="仿宋_GB2312" w:cs="仿宋_GB2312"/>
                <w:color w:val="000000"/>
                <w:sz w:val="24"/>
                <w:szCs w:val="24"/>
                <w:highlight w:val="none"/>
              </w:rPr>
            </w:pPr>
          </w:p>
        </w:tc>
        <w:tc>
          <w:tcPr>
            <w:tcW w:w="1721" w:type="dxa"/>
            <w:noWrap w:val="0"/>
            <w:vAlign w:val="center"/>
          </w:tcPr>
          <w:p>
            <w:pPr>
              <w:rPr>
                <w:rFonts w:hint="eastAsia" w:ascii="仿宋_GB2312" w:hAnsi="仿宋_GB2312" w:eastAsia="仿宋_GB2312" w:cs="仿宋_GB2312"/>
                <w:color w:val="000000"/>
                <w:sz w:val="24"/>
                <w:szCs w:val="24"/>
                <w:highlight w:val="none"/>
              </w:rPr>
            </w:pPr>
          </w:p>
        </w:tc>
        <w:tc>
          <w:tcPr>
            <w:tcW w:w="1576" w:type="dxa"/>
            <w:noWrap w:val="0"/>
            <w:vAlign w:val="top"/>
          </w:tcPr>
          <w:p>
            <w:pPr>
              <w:rPr>
                <w:rFonts w:hint="eastAsia" w:ascii="仿宋_GB2312" w:hAnsi="仿宋_GB2312" w:eastAsia="仿宋_GB2312" w:cs="仿宋_GB2312"/>
                <w:color w:val="000000"/>
                <w:sz w:val="24"/>
                <w:szCs w:val="24"/>
                <w:highlight w:val="none"/>
              </w:rPr>
            </w:pPr>
          </w:p>
        </w:tc>
      </w:tr>
    </w:tbl>
    <w:p>
      <w:pPr>
        <w:rPr>
          <w:rFonts w:hint="eastAsia" w:ascii="仿宋_GB2312" w:hAnsi="仿宋_GB2312" w:eastAsia="仿宋_GB2312" w:cs="仿宋_GB2312"/>
          <w:color w:val="000000"/>
          <w:sz w:val="24"/>
          <w:szCs w:val="24"/>
          <w:highlight w:val="none"/>
        </w:rPr>
      </w:pPr>
    </w:p>
    <w:p>
      <w:pP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二、专业技术能力情况：</w:t>
      </w:r>
    </w:p>
    <w:p>
      <w:pPr>
        <w:rPr>
          <w:rFonts w:hint="eastAsia" w:ascii="仿宋_GB2312" w:hAnsi="仿宋_GB2312" w:eastAsia="仿宋_GB2312" w:cs="仿宋_GB2312"/>
          <w:color w:val="000000"/>
          <w:sz w:val="24"/>
          <w:szCs w:val="24"/>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950"/>
        <w:gridCol w:w="2647"/>
        <w:gridCol w:w="1671"/>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05" w:type="dxa"/>
            <w:noWrap w:val="0"/>
            <w:vAlign w:val="center"/>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序号</w:t>
            </w:r>
          </w:p>
        </w:tc>
        <w:tc>
          <w:tcPr>
            <w:tcW w:w="1950" w:type="dxa"/>
            <w:noWrap w:val="0"/>
            <w:vAlign w:val="center"/>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人员姓名</w:t>
            </w:r>
          </w:p>
        </w:tc>
        <w:tc>
          <w:tcPr>
            <w:tcW w:w="2647" w:type="dxa"/>
            <w:noWrap w:val="0"/>
            <w:vAlign w:val="center"/>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身份证号</w:t>
            </w:r>
          </w:p>
        </w:tc>
        <w:tc>
          <w:tcPr>
            <w:tcW w:w="1671" w:type="dxa"/>
            <w:noWrap w:val="0"/>
            <w:vAlign w:val="center"/>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岗位</w:t>
            </w:r>
          </w:p>
        </w:tc>
        <w:tc>
          <w:tcPr>
            <w:tcW w:w="1530" w:type="dxa"/>
            <w:noWrap w:val="0"/>
            <w:vAlign w:val="center"/>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05" w:type="dxa"/>
            <w:noWrap w:val="0"/>
            <w:vAlign w:val="center"/>
          </w:tcPr>
          <w:p>
            <w:pPr>
              <w:rPr>
                <w:rFonts w:hint="eastAsia" w:ascii="仿宋_GB2312" w:hAnsi="仿宋_GB2312" w:eastAsia="仿宋_GB2312" w:cs="仿宋_GB2312"/>
                <w:color w:val="000000"/>
                <w:sz w:val="24"/>
                <w:szCs w:val="24"/>
                <w:highlight w:val="none"/>
              </w:rPr>
            </w:pPr>
          </w:p>
        </w:tc>
        <w:tc>
          <w:tcPr>
            <w:tcW w:w="1950" w:type="dxa"/>
            <w:noWrap w:val="0"/>
            <w:vAlign w:val="center"/>
          </w:tcPr>
          <w:p>
            <w:pPr>
              <w:rPr>
                <w:rFonts w:hint="eastAsia" w:ascii="仿宋_GB2312" w:hAnsi="仿宋_GB2312" w:eastAsia="仿宋_GB2312" w:cs="仿宋_GB2312"/>
                <w:color w:val="000000"/>
                <w:sz w:val="24"/>
                <w:szCs w:val="24"/>
                <w:highlight w:val="none"/>
              </w:rPr>
            </w:pPr>
          </w:p>
        </w:tc>
        <w:tc>
          <w:tcPr>
            <w:tcW w:w="2647" w:type="dxa"/>
            <w:noWrap w:val="0"/>
            <w:vAlign w:val="center"/>
          </w:tcPr>
          <w:p>
            <w:pPr>
              <w:rPr>
                <w:rFonts w:hint="eastAsia" w:ascii="仿宋_GB2312" w:hAnsi="仿宋_GB2312" w:eastAsia="仿宋_GB2312" w:cs="仿宋_GB2312"/>
                <w:color w:val="000000"/>
                <w:sz w:val="24"/>
                <w:szCs w:val="24"/>
                <w:highlight w:val="none"/>
              </w:rPr>
            </w:pPr>
          </w:p>
        </w:tc>
        <w:tc>
          <w:tcPr>
            <w:tcW w:w="1671" w:type="dxa"/>
            <w:noWrap w:val="0"/>
            <w:vAlign w:val="center"/>
          </w:tcPr>
          <w:p>
            <w:pPr>
              <w:rPr>
                <w:rFonts w:hint="eastAsia" w:ascii="仿宋_GB2312" w:hAnsi="仿宋_GB2312" w:eastAsia="仿宋_GB2312" w:cs="仿宋_GB2312"/>
                <w:color w:val="000000"/>
                <w:sz w:val="24"/>
                <w:szCs w:val="24"/>
                <w:highlight w:val="none"/>
              </w:rPr>
            </w:pPr>
          </w:p>
        </w:tc>
        <w:tc>
          <w:tcPr>
            <w:tcW w:w="1530" w:type="dxa"/>
            <w:noWrap w:val="0"/>
            <w:vAlign w:val="center"/>
          </w:tcPr>
          <w:p>
            <w:pP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05" w:type="dxa"/>
            <w:noWrap w:val="0"/>
            <w:vAlign w:val="center"/>
          </w:tcPr>
          <w:p>
            <w:pPr>
              <w:rPr>
                <w:rFonts w:hint="eastAsia" w:ascii="仿宋_GB2312" w:hAnsi="仿宋_GB2312" w:eastAsia="仿宋_GB2312" w:cs="仿宋_GB2312"/>
                <w:color w:val="000000"/>
                <w:sz w:val="24"/>
                <w:szCs w:val="24"/>
                <w:highlight w:val="none"/>
              </w:rPr>
            </w:pPr>
          </w:p>
        </w:tc>
        <w:tc>
          <w:tcPr>
            <w:tcW w:w="1950" w:type="dxa"/>
            <w:noWrap w:val="0"/>
            <w:vAlign w:val="center"/>
          </w:tcPr>
          <w:p>
            <w:pPr>
              <w:rPr>
                <w:rFonts w:hint="eastAsia" w:ascii="仿宋_GB2312" w:hAnsi="仿宋_GB2312" w:eastAsia="仿宋_GB2312" w:cs="仿宋_GB2312"/>
                <w:color w:val="000000"/>
                <w:sz w:val="24"/>
                <w:szCs w:val="24"/>
                <w:highlight w:val="none"/>
              </w:rPr>
            </w:pPr>
          </w:p>
        </w:tc>
        <w:tc>
          <w:tcPr>
            <w:tcW w:w="2647" w:type="dxa"/>
            <w:noWrap w:val="0"/>
            <w:vAlign w:val="center"/>
          </w:tcPr>
          <w:p>
            <w:pPr>
              <w:rPr>
                <w:rFonts w:hint="eastAsia" w:ascii="仿宋_GB2312" w:hAnsi="仿宋_GB2312" w:eastAsia="仿宋_GB2312" w:cs="仿宋_GB2312"/>
                <w:color w:val="000000"/>
                <w:sz w:val="24"/>
                <w:szCs w:val="24"/>
                <w:highlight w:val="none"/>
              </w:rPr>
            </w:pPr>
          </w:p>
        </w:tc>
        <w:tc>
          <w:tcPr>
            <w:tcW w:w="1671" w:type="dxa"/>
            <w:noWrap w:val="0"/>
            <w:vAlign w:val="center"/>
          </w:tcPr>
          <w:p>
            <w:pPr>
              <w:rPr>
                <w:rFonts w:hint="eastAsia" w:ascii="仿宋_GB2312" w:hAnsi="仿宋_GB2312" w:eastAsia="仿宋_GB2312" w:cs="仿宋_GB2312"/>
                <w:color w:val="000000"/>
                <w:sz w:val="24"/>
                <w:szCs w:val="24"/>
                <w:highlight w:val="none"/>
              </w:rPr>
            </w:pPr>
          </w:p>
        </w:tc>
        <w:tc>
          <w:tcPr>
            <w:tcW w:w="1530" w:type="dxa"/>
            <w:noWrap w:val="0"/>
            <w:vAlign w:val="center"/>
          </w:tcPr>
          <w:p>
            <w:pP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05" w:type="dxa"/>
            <w:noWrap w:val="0"/>
            <w:vAlign w:val="center"/>
          </w:tcPr>
          <w:p>
            <w:pPr>
              <w:rPr>
                <w:rFonts w:hint="eastAsia" w:ascii="仿宋_GB2312" w:hAnsi="仿宋_GB2312" w:eastAsia="仿宋_GB2312" w:cs="仿宋_GB2312"/>
                <w:color w:val="000000"/>
                <w:sz w:val="24"/>
                <w:szCs w:val="24"/>
                <w:highlight w:val="none"/>
              </w:rPr>
            </w:pPr>
          </w:p>
        </w:tc>
        <w:tc>
          <w:tcPr>
            <w:tcW w:w="1950" w:type="dxa"/>
            <w:noWrap w:val="0"/>
            <w:vAlign w:val="center"/>
          </w:tcPr>
          <w:p>
            <w:pPr>
              <w:rPr>
                <w:rFonts w:hint="eastAsia" w:ascii="仿宋_GB2312" w:hAnsi="仿宋_GB2312" w:eastAsia="仿宋_GB2312" w:cs="仿宋_GB2312"/>
                <w:color w:val="000000"/>
                <w:sz w:val="24"/>
                <w:szCs w:val="24"/>
                <w:highlight w:val="none"/>
              </w:rPr>
            </w:pPr>
          </w:p>
        </w:tc>
        <w:tc>
          <w:tcPr>
            <w:tcW w:w="2647" w:type="dxa"/>
            <w:noWrap w:val="0"/>
            <w:vAlign w:val="center"/>
          </w:tcPr>
          <w:p>
            <w:pPr>
              <w:rPr>
                <w:rFonts w:hint="eastAsia" w:ascii="仿宋_GB2312" w:hAnsi="仿宋_GB2312" w:eastAsia="仿宋_GB2312" w:cs="仿宋_GB2312"/>
                <w:color w:val="000000"/>
                <w:sz w:val="24"/>
                <w:szCs w:val="24"/>
                <w:highlight w:val="none"/>
              </w:rPr>
            </w:pPr>
          </w:p>
        </w:tc>
        <w:tc>
          <w:tcPr>
            <w:tcW w:w="1671" w:type="dxa"/>
            <w:noWrap w:val="0"/>
            <w:vAlign w:val="center"/>
          </w:tcPr>
          <w:p>
            <w:pPr>
              <w:rPr>
                <w:rFonts w:hint="eastAsia" w:ascii="仿宋_GB2312" w:hAnsi="仿宋_GB2312" w:eastAsia="仿宋_GB2312" w:cs="仿宋_GB2312"/>
                <w:color w:val="000000"/>
                <w:sz w:val="24"/>
                <w:szCs w:val="24"/>
                <w:highlight w:val="none"/>
              </w:rPr>
            </w:pPr>
          </w:p>
        </w:tc>
        <w:tc>
          <w:tcPr>
            <w:tcW w:w="1530" w:type="dxa"/>
            <w:noWrap w:val="0"/>
            <w:vAlign w:val="center"/>
          </w:tcPr>
          <w:p>
            <w:pP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05" w:type="dxa"/>
            <w:noWrap w:val="0"/>
            <w:vAlign w:val="center"/>
          </w:tcPr>
          <w:p>
            <w:pPr>
              <w:rPr>
                <w:rFonts w:hint="eastAsia" w:ascii="仿宋_GB2312" w:hAnsi="仿宋_GB2312" w:eastAsia="仿宋_GB2312" w:cs="仿宋_GB2312"/>
                <w:color w:val="000000"/>
                <w:sz w:val="24"/>
                <w:szCs w:val="24"/>
                <w:highlight w:val="none"/>
              </w:rPr>
            </w:pPr>
          </w:p>
        </w:tc>
        <w:tc>
          <w:tcPr>
            <w:tcW w:w="1950" w:type="dxa"/>
            <w:noWrap w:val="0"/>
            <w:vAlign w:val="center"/>
          </w:tcPr>
          <w:p>
            <w:pPr>
              <w:rPr>
                <w:rFonts w:hint="eastAsia" w:ascii="仿宋_GB2312" w:hAnsi="仿宋_GB2312" w:eastAsia="仿宋_GB2312" w:cs="仿宋_GB2312"/>
                <w:color w:val="000000"/>
                <w:sz w:val="24"/>
                <w:szCs w:val="24"/>
                <w:highlight w:val="none"/>
              </w:rPr>
            </w:pPr>
          </w:p>
        </w:tc>
        <w:tc>
          <w:tcPr>
            <w:tcW w:w="2647" w:type="dxa"/>
            <w:noWrap w:val="0"/>
            <w:vAlign w:val="center"/>
          </w:tcPr>
          <w:p>
            <w:pPr>
              <w:rPr>
                <w:rFonts w:hint="eastAsia" w:ascii="仿宋_GB2312" w:hAnsi="仿宋_GB2312" w:eastAsia="仿宋_GB2312" w:cs="仿宋_GB2312"/>
                <w:color w:val="000000"/>
                <w:sz w:val="24"/>
                <w:szCs w:val="24"/>
                <w:highlight w:val="none"/>
              </w:rPr>
            </w:pPr>
          </w:p>
        </w:tc>
        <w:tc>
          <w:tcPr>
            <w:tcW w:w="1671" w:type="dxa"/>
            <w:noWrap w:val="0"/>
            <w:vAlign w:val="center"/>
          </w:tcPr>
          <w:p>
            <w:pPr>
              <w:rPr>
                <w:rFonts w:hint="eastAsia" w:ascii="仿宋_GB2312" w:hAnsi="仿宋_GB2312" w:eastAsia="仿宋_GB2312" w:cs="仿宋_GB2312"/>
                <w:color w:val="000000"/>
                <w:sz w:val="24"/>
                <w:szCs w:val="24"/>
                <w:highlight w:val="none"/>
              </w:rPr>
            </w:pPr>
          </w:p>
        </w:tc>
        <w:tc>
          <w:tcPr>
            <w:tcW w:w="1530" w:type="dxa"/>
            <w:noWrap w:val="0"/>
            <w:vAlign w:val="center"/>
          </w:tcPr>
          <w:p>
            <w:pP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05" w:type="dxa"/>
            <w:noWrap w:val="0"/>
            <w:vAlign w:val="center"/>
          </w:tcPr>
          <w:p>
            <w:pPr>
              <w:rPr>
                <w:rFonts w:hint="eastAsia" w:ascii="仿宋_GB2312" w:hAnsi="仿宋_GB2312" w:eastAsia="仿宋_GB2312" w:cs="仿宋_GB2312"/>
                <w:color w:val="000000"/>
                <w:sz w:val="24"/>
                <w:szCs w:val="24"/>
                <w:highlight w:val="none"/>
              </w:rPr>
            </w:pPr>
          </w:p>
        </w:tc>
        <w:tc>
          <w:tcPr>
            <w:tcW w:w="1950" w:type="dxa"/>
            <w:noWrap w:val="0"/>
            <w:vAlign w:val="center"/>
          </w:tcPr>
          <w:p>
            <w:pPr>
              <w:rPr>
                <w:rFonts w:hint="eastAsia" w:ascii="仿宋_GB2312" w:hAnsi="仿宋_GB2312" w:eastAsia="仿宋_GB2312" w:cs="仿宋_GB2312"/>
                <w:color w:val="000000"/>
                <w:sz w:val="24"/>
                <w:szCs w:val="24"/>
                <w:highlight w:val="none"/>
              </w:rPr>
            </w:pPr>
          </w:p>
        </w:tc>
        <w:tc>
          <w:tcPr>
            <w:tcW w:w="2647" w:type="dxa"/>
            <w:noWrap w:val="0"/>
            <w:vAlign w:val="center"/>
          </w:tcPr>
          <w:p>
            <w:pPr>
              <w:rPr>
                <w:rFonts w:hint="eastAsia" w:ascii="仿宋_GB2312" w:hAnsi="仿宋_GB2312" w:eastAsia="仿宋_GB2312" w:cs="仿宋_GB2312"/>
                <w:color w:val="000000"/>
                <w:sz w:val="24"/>
                <w:szCs w:val="24"/>
                <w:highlight w:val="none"/>
              </w:rPr>
            </w:pPr>
          </w:p>
        </w:tc>
        <w:tc>
          <w:tcPr>
            <w:tcW w:w="1671" w:type="dxa"/>
            <w:noWrap w:val="0"/>
            <w:vAlign w:val="center"/>
          </w:tcPr>
          <w:p>
            <w:pPr>
              <w:rPr>
                <w:rFonts w:hint="eastAsia" w:ascii="仿宋_GB2312" w:hAnsi="仿宋_GB2312" w:eastAsia="仿宋_GB2312" w:cs="仿宋_GB2312"/>
                <w:color w:val="000000"/>
                <w:sz w:val="24"/>
                <w:szCs w:val="24"/>
                <w:highlight w:val="none"/>
              </w:rPr>
            </w:pPr>
          </w:p>
        </w:tc>
        <w:tc>
          <w:tcPr>
            <w:tcW w:w="1530" w:type="dxa"/>
            <w:noWrap w:val="0"/>
            <w:vAlign w:val="center"/>
          </w:tcPr>
          <w:p>
            <w:pPr>
              <w:rPr>
                <w:rFonts w:hint="eastAsia" w:ascii="仿宋_GB2312" w:hAnsi="仿宋_GB2312" w:eastAsia="仿宋_GB2312" w:cs="仿宋_GB2312"/>
                <w:color w:val="000000"/>
                <w:sz w:val="24"/>
                <w:szCs w:val="24"/>
                <w:highlight w:val="none"/>
              </w:rPr>
            </w:pPr>
          </w:p>
        </w:tc>
      </w:tr>
    </w:tbl>
    <w:p>
      <w:pP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本公司承诺上述材料真实有效且具备履行合同所必需的设备和专业技术能力。</w:t>
      </w:r>
    </w:p>
    <w:p>
      <w:pPr>
        <w:rPr>
          <w:rFonts w:hint="eastAsia" w:ascii="仿宋_GB2312" w:hAnsi="仿宋_GB2312" w:eastAsia="仿宋_GB2312" w:cs="仿宋_GB2312"/>
          <w:color w:val="000000"/>
          <w:sz w:val="24"/>
          <w:szCs w:val="24"/>
          <w:highlight w:val="none"/>
        </w:rPr>
      </w:pPr>
    </w:p>
    <w:p>
      <w:pPr>
        <w:rPr>
          <w:rFonts w:hint="eastAsia" w:ascii="仿宋_GB2312" w:hAnsi="仿宋_GB2312" w:eastAsia="仿宋_GB2312" w:cs="仿宋_GB2312"/>
          <w:color w:val="000000"/>
          <w:sz w:val="24"/>
          <w:szCs w:val="24"/>
          <w:highlight w:val="none"/>
        </w:rPr>
      </w:pPr>
    </w:p>
    <w:p>
      <w:pP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供应商名称（加盖公章）：</w:t>
      </w:r>
    </w:p>
    <w:p>
      <w:pP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日    期： </w:t>
      </w:r>
    </w:p>
    <w:p>
      <w:pPr>
        <w:pStyle w:val="13"/>
        <w:ind w:firstLine="0" w:firstLineChars="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br w:type="page"/>
      </w:r>
      <w:bookmarkStart w:id="200" w:name="_Toc29956"/>
      <w:bookmarkStart w:id="201" w:name="_Toc23311"/>
      <w:bookmarkStart w:id="202" w:name="_Toc17334"/>
      <w:r>
        <w:rPr>
          <w:rFonts w:hint="eastAsia" w:ascii="仿宋_GB2312" w:hAnsi="仿宋_GB2312" w:eastAsia="仿宋_GB2312" w:cs="仿宋_GB2312"/>
          <w:color w:val="000000"/>
          <w:sz w:val="24"/>
          <w:szCs w:val="24"/>
          <w:highlight w:val="none"/>
        </w:rPr>
        <w:t>（三）业绩表</w:t>
      </w:r>
      <w:bookmarkEnd w:id="196"/>
      <w:bookmarkEnd w:id="197"/>
      <w:bookmarkEnd w:id="200"/>
      <w:bookmarkEnd w:id="201"/>
      <w:bookmarkEnd w:id="202"/>
    </w:p>
    <w:tbl>
      <w:tblPr>
        <w:tblStyle w:val="9"/>
        <w:tblW w:w="0" w:type="auto"/>
        <w:tblInd w:w="26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3"/>
        <w:gridCol w:w="1701"/>
        <w:gridCol w:w="1417"/>
        <w:gridCol w:w="1559"/>
        <w:gridCol w:w="1418"/>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0" w:hRule="exact"/>
        </w:trPr>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使用单位名称</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项目名称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合同总价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完成时间</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54" w:hRule="exact"/>
        </w:trPr>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54" w:hRule="exact"/>
        </w:trPr>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54" w:hRule="exact"/>
        </w:trPr>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54" w:hRule="exact"/>
        </w:trPr>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54" w:hRule="exact"/>
        </w:trPr>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54" w:hRule="exact"/>
        </w:trPr>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54" w:hRule="exact"/>
        </w:trPr>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54" w:hRule="exact"/>
        </w:trPr>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54" w:hRule="exact"/>
        </w:trPr>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54" w:hRule="exact"/>
        </w:trPr>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4"/>
                <w:szCs w:val="24"/>
                <w:highlight w:val="none"/>
              </w:rPr>
            </w:pPr>
          </w:p>
        </w:tc>
      </w:tr>
    </w:tbl>
    <w:p>
      <w:pPr>
        <w:pStyle w:val="14"/>
        <w:ind w:firstLine="120" w:firstLineChars="50"/>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注：请按照要求提供相关业绩等证明材料。</w:t>
      </w:r>
    </w:p>
    <w:p>
      <w:pPr>
        <w:pStyle w:val="14"/>
        <w:ind w:firstLine="0" w:firstLineChars="0"/>
        <w:rPr>
          <w:rFonts w:hint="eastAsia" w:ascii="仿宋_GB2312" w:hAnsi="仿宋_GB2312" w:eastAsia="仿宋_GB2312" w:cs="仿宋_GB2312"/>
          <w:color w:val="000000"/>
          <w:sz w:val="24"/>
          <w:szCs w:val="24"/>
          <w:highlight w:val="none"/>
        </w:rPr>
      </w:pPr>
    </w:p>
    <w:p>
      <w:pPr>
        <w:pStyle w:val="14"/>
        <w:ind w:firstLine="577"/>
        <w:rPr>
          <w:rFonts w:hint="eastAsia" w:ascii="仿宋_GB2312" w:hAnsi="仿宋_GB2312" w:eastAsia="仿宋_GB2312" w:cs="仿宋_GB2312"/>
          <w:color w:val="000000"/>
          <w:sz w:val="24"/>
          <w:szCs w:val="24"/>
          <w:highlight w:val="none"/>
        </w:rPr>
      </w:pPr>
    </w:p>
    <w:p>
      <w:pPr>
        <w:pStyle w:val="14"/>
        <w:ind w:firstLine="577"/>
        <w:rPr>
          <w:rFonts w:hint="eastAsia" w:ascii="仿宋_GB2312" w:hAnsi="仿宋_GB2312" w:eastAsia="仿宋_GB2312" w:cs="仿宋_GB2312"/>
          <w:color w:val="000000"/>
          <w:sz w:val="24"/>
          <w:szCs w:val="24"/>
          <w:highlight w:val="none"/>
        </w:rPr>
      </w:pPr>
    </w:p>
    <w:p>
      <w:pPr>
        <w:pStyle w:val="14"/>
        <w:ind w:firstLine="577"/>
        <w:rPr>
          <w:rFonts w:hint="eastAsia" w:ascii="仿宋_GB2312" w:hAnsi="仿宋_GB2312" w:eastAsia="仿宋_GB2312" w:cs="仿宋_GB2312"/>
          <w:color w:val="000000"/>
          <w:sz w:val="24"/>
          <w:szCs w:val="24"/>
          <w:highlight w:val="none"/>
        </w:rPr>
      </w:pPr>
    </w:p>
    <w:p>
      <w:pPr>
        <w:pStyle w:val="14"/>
        <w:ind w:firstLine="577"/>
        <w:rPr>
          <w:rFonts w:hint="eastAsia" w:ascii="仿宋_GB2312" w:hAnsi="仿宋_GB2312" w:eastAsia="仿宋_GB2312" w:cs="仿宋_GB2312"/>
          <w:color w:val="000000"/>
          <w:sz w:val="24"/>
          <w:szCs w:val="24"/>
          <w:highlight w:val="none"/>
        </w:rPr>
      </w:pPr>
    </w:p>
    <w:p>
      <w:pPr>
        <w:pStyle w:val="14"/>
        <w:ind w:firstLine="577"/>
        <w:rPr>
          <w:rFonts w:hint="eastAsia" w:ascii="仿宋_GB2312" w:hAnsi="仿宋_GB2312" w:eastAsia="仿宋_GB2312" w:cs="仿宋_GB2312"/>
          <w:color w:val="000000"/>
          <w:sz w:val="24"/>
          <w:szCs w:val="24"/>
          <w:highlight w:val="none"/>
        </w:rPr>
      </w:pPr>
    </w:p>
    <w:p>
      <w:pPr>
        <w:pStyle w:val="14"/>
        <w:ind w:firstLine="577"/>
        <w:rPr>
          <w:rFonts w:hint="eastAsia" w:ascii="仿宋_GB2312" w:hAnsi="仿宋_GB2312" w:eastAsia="仿宋_GB2312" w:cs="仿宋_GB2312"/>
          <w:color w:val="000000"/>
          <w:sz w:val="24"/>
          <w:szCs w:val="24"/>
          <w:highlight w:val="none"/>
        </w:rPr>
      </w:pPr>
    </w:p>
    <w:p>
      <w:pPr>
        <w:pStyle w:val="14"/>
        <w:ind w:firstLine="577"/>
        <w:rPr>
          <w:rFonts w:hint="eastAsia" w:ascii="仿宋_GB2312" w:hAnsi="仿宋_GB2312" w:eastAsia="仿宋_GB2312" w:cs="仿宋_GB2312"/>
          <w:color w:val="000000"/>
          <w:sz w:val="24"/>
          <w:szCs w:val="24"/>
          <w:highlight w:val="none"/>
        </w:rPr>
      </w:pPr>
    </w:p>
    <w:p>
      <w:pPr>
        <w:pStyle w:val="13"/>
        <w:numPr>
          <w:ilvl w:val="0"/>
          <w:numId w:val="2"/>
        </w:numPr>
        <w:ind w:left="0" w:leftChars="0" w:firstLine="0" w:firstLineChars="0"/>
        <w:jc w:val="center"/>
        <w:rPr>
          <w:rFonts w:hint="eastAsia" w:ascii="仿宋_GB2312" w:hAnsi="仿宋_GB2312" w:eastAsia="仿宋_GB2312" w:cs="仿宋_GB2312"/>
          <w:color w:val="000000"/>
          <w:sz w:val="24"/>
          <w:szCs w:val="24"/>
          <w:highlight w:val="none"/>
        </w:rPr>
      </w:pPr>
      <w:bookmarkStart w:id="203" w:name="_Toc28308"/>
      <w:bookmarkStart w:id="204" w:name="_Toc25309"/>
      <w:bookmarkStart w:id="205" w:name="_Toc417050666"/>
      <w:bookmarkStart w:id="206" w:name="_Toc226862178"/>
      <w:bookmarkStart w:id="207" w:name="_Toc222651008"/>
      <w:bookmarkStart w:id="208" w:name="_Toc15877"/>
      <w:bookmarkStart w:id="209" w:name="_Toc27741"/>
      <w:r>
        <w:rPr>
          <w:rFonts w:hint="eastAsia" w:ascii="仿宋_GB2312" w:hAnsi="仿宋_GB2312" w:eastAsia="仿宋_GB2312" w:cs="仿宋_GB2312"/>
          <w:color w:val="000000"/>
          <w:sz w:val="24"/>
          <w:szCs w:val="24"/>
          <w:highlight w:val="none"/>
        </w:rPr>
        <w:t>商务差异表</w:t>
      </w:r>
      <w:bookmarkEnd w:id="203"/>
      <w:bookmarkEnd w:id="204"/>
      <w:bookmarkEnd w:id="205"/>
      <w:bookmarkEnd w:id="206"/>
      <w:bookmarkEnd w:id="207"/>
      <w:bookmarkEnd w:id="208"/>
      <w:bookmarkEnd w:id="209"/>
    </w:p>
    <w:p>
      <w:pPr>
        <w:pStyle w:val="13"/>
        <w:numPr>
          <w:ilvl w:val="0"/>
          <w:numId w:val="0"/>
        </w:numPr>
        <w:ind w:leftChars="0"/>
        <w:jc w:val="both"/>
        <w:outlineLvl w:val="9"/>
        <w:rPr>
          <w:rFonts w:hint="eastAsia" w:ascii="仿宋_GB2312" w:hAnsi="仿宋_GB2312" w:eastAsia="仿宋_GB2312" w:cs="仿宋_GB2312"/>
          <w:color w:val="000000"/>
          <w:sz w:val="24"/>
          <w:szCs w:val="24"/>
          <w:highlight w:val="none"/>
        </w:rPr>
      </w:pPr>
    </w:p>
    <w:p>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供应商应按照询价通知书要求，对询价通知书的用户需求中的商务要求作出全面响应。对响应有差异的，则在差异表中写明实际响应的具体内容。不论出于何种原因此表未填写，供应商都被认为已清楚了解询价通知书要求并对询价通知书所需的商务要求作全面响应，供应商必须承担完成用户需求所描述的内容的义务。</w:t>
      </w:r>
    </w:p>
    <w:p>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_GB2312" w:hAnsi="仿宋_GB2312" w:eastAsia="仿宋_GB2312" w:cs="仿宋_GB2312"/>
          <w:color w:val="000000"/>
          <w:sz w:val="24"/>
          <w:szCs w:val="24"/>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236"/>
        <w:gridCol w:w="2119"/>
        <w:gridCol w:w="1236"/>
        <w:gridCol w:w="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883"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序号</w:t>
            </w:r>
          </w:p>
        </w:tc>
        <w:tc>
          <w:tcPr>
            <w:tcW w:w="3355"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询价通知书要求</w:t>
            </w:r>
          </w:p>
        </w:tc>
        <w:tc>
          <w:tcPr>
            <w:tcW w:w="4244"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响应文件内容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883" w:type="dxa"/>
            <w:vMerge w:val="continue"/>
            <w:noWrap w:val="0"/>
            <w:vAlign w:val="top"/>
          </w:tcPr>
          <w:p>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4"/>
                <w:szCs w:val="24"/>
                <w:highlight w:val="none"/>
              </w:rPr>
            </w:pPr>
          </w:p>
        </w:tc>
        <w:tc>
          <w:tcPr>
            <w:tcW w:w="1236" w:type="dxa"/>
            <w:noWrap w:val="0"/>
            <w:vAlign w:val="top"/>
          </w:tcPr>
          <w:p>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条款号</w:t>
            </w:r>
          </w:p>
        </w:tc>
        <w:tc>
          <w:tcPr>
            <w:tcW w:w="2119" w:type="dxa"/>
            <w:noWrap w:val="0"/>
            <w:vAlign w:val="top"/>
          </w:tcPr>
          <w:p>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简要内容</w:t>
            </w:r>
          </w:p>
        </w:tc>
        <w:tc>
          <w:tcPr>
            <w:tcW w:w="1236" w:type="dxa"/>
            <w:noWrap w:val="0"/>
            <w:vAlign w:val="top"/>
          </w:tcPr>
          <w:p>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条款号</w:t>
            </w:r>
          </w:p>
        </w:tc>
        <w:tc>
          <w:tcPr>
            <w:tcW w:w="3008" w:type="dxa"/>
            <w:noWrap w:val="0"/>
            <w:vAlign w:val="top"/>
          </w:tcPr>
          <w:p>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实际响应的具体内容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83" w:type="dxa"/>
            <w:noWrap w:val="0"/>
            <w:vAlign w:val="top"/>
          </w:tcPr>
          <w:p>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一</w:t>
            </w:r>
          </w:p>
        </w:tc>
        <w:tc>
          <w:tcPr>
            <w:tcW w:w="3355"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用户需求书的商务条件</w:t>
            </w:r>
          </w:p>
        </w:tc>
        <w:tc>
          <w:tcPr>
            <w:tcW w:w="4244" w:type="dxa"/>
            <w:gridSpan w:val="2"/>
            <w:noWrap w:val="0"/>
            <w:vAlign w:val="top"/>
          </w:tcPr>
          <w:p>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83" w:type="dxa"/>
            <w:noWrap w:val="0"/>
            <w:vAlign w:val="top"/>
          </w:tcPr>
          <w:p>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w:t>
            </w:r>
          </w:p>
        </w:tc>
        <w:tc>
          <w:tcPr>
            <w:tcW w:w="1236" w:type="dxa"/>
            <w:noWrap w:val="0"/>
            <w:vAlign w:val="top"/>
          </w:tcPr>
          <w:p>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质保期/服务期</w:t>
            </w:r>
          </w:p>
        </w:tc>
        <w:tc>
          <w:tcPr>
            <w:tcW w:w="2119" w:type="dxa"/>
            <w:noWrap w:val="0"/>
            <w:vAlign w:val="top"/>
          </w:tcPr>
          <w:p>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color w:val="000000"/>
                <w:sz w:val="24"/>
                <w:szCs w:val="24"/>
                <w:highlight w:val="none"/>
              </w:rPr>
            </w:pPr>
          </w:p>
        </w:tc>
        <w:tc>
          <w:tcPr>
            <w:tcW w:w="1236" w:type="dxa"/>
            <w:noWrap w:val="0"/>
            <w:vAlign w:val="top"/>
          </w:tcPr>
          <w:p>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color w:val="000000"/>
                <w:sz w:val="24"/>
                <w:szCs w:val="24"/>
                <w:highlight w:val="none"/>
              </w:rPr>
            </w:pPr>
          </w:p>
        </w:tc>
        <w:tc>
          <w:tcPr>
            <w:tcW w:w="3008" w:type="dxa"/>
            <w:noWrap w:val="0"/>
            <w:vAlign w:val="top"/>
          </w:tcPr>
          <w:p>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83" w:type="dxa"/>
            <w:noWrap w:val="0"/>
            <w:vAlign w:val="top"/>
          </w:tcPr>
          <w:p>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w:t>
            </w:r>
          </w:p>
        </w:tc>
        <w:tc>
          <w:tcPr>
            <w:tcW w:w="1236" w:type="dxa"/>
            <w:noWrap w:val="0"/>
            <w:vAlign w:val="top"/>
          </w:tcPr>
          <w:p>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服务要求</w:t>
            </w:r>
          </w:p>
        </w:tc>
        <w:tc>
          <w:tcPr>
            <w:tcW w:w="2119" w:type="dxa"/>
            <w:noWrap w:val="0"/>
            <w:vAlign w:val="top"/>
          </w:tcPr>
          <w:p>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color w:val="000000"/>
                <w:sz w:val="24"/>
                <w:szCs w:val="24"/>
                <w:highlight w:val="none"/>
              </w:rPr>
            </w:pPr>
          </w:p>
        </w:tc>
        <w:tc>
          <w:tcPr>
            <w:tcW w:w="1236" w:type="dxa"/>
            <w:noWrap w:val="0"/>
            <w:vAlign w:val="top"/>
          </w:tcPr>
          <w:p>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color w:val="000000"/>
                <w:sz w:val="24"/>
                <w:szCs w:val="24"/>
                <w:highlight w:val="none"/>
              </w:rPr>
            </w:pPr>
          </w:p>
        </w:tc>
        <w:tc>
          <w:tcPr>
            <w:tcW w:w="3008" w:type="dxa"/>
            <w:noWrap w:val="0"/>
            <w:vAlign w:val="top"/>
          </w:tcPr>
          <w:p>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color w:val="000000"/>
                <w:sz w:val="24"/>
                <w:szCs w:val="24"/>
                <w:highlight w:val="none"/>
              </w:rPr>
            </w:pPr>
          </w:p>
        </w:tc>
      </w:tr>
    </w:tbl>
    <w:p>
      <w:pPr>
        <w:pStyle w:val="14"/>
        <w:keepNext w:val="0"/>
        <w:keepLines w:val="0"/>
        <w:pageBreakBefore w:val="0"/>
        <w:widowControl w:val="0"/>
        <w:kinsoku/>
        <w:wordWrap/>
        <w:overflowPunct/>
        <w:topLinePunct w:val="0"/>
        <w:autoSpaceDE/>
        <w:autoSpaceDN/>
        <w:bidi w:val="0"/>
        <w:adjustRightInd/>
        <w:snapToGrid/>
        <w:spacing w:line="500" w:lineRule="exact"/>
        <w:ind w:firstLine="577"/>
        <w:textAlignment w:val="auto"/>
        <w:rPr>
          <w:rFonts w:hint="eastAsia" w:ascii="仿宋_GB2312" w:hAnsi="仿宋_GB2312" w:eastAsia="仿宋_GB2312" w:cs="仿宋_GB2312"/>
          <w:color w:val="000000"/>
          <w:sz w:val="24"/>
          <w:szCs w:val="24"/>
          <w:highlight w:val="none"/>
        </w:rPr>
      </w:pPr>
    </w:p>
    <w:p>
      <w:pPr>
        <w:pStyle w:val="14"/>
        <w:keepNext w:val="0"/>
        <w:keepLines w:val="0"/>
        <w:pageBreakBefore w:val="0"/>
        <w:widowControl w:val="0"/>
        <w:kinsoku/>
        <w:wordWrap/>
        <w:overflowPunct/>
        <w:topLinePunct w:val="0"/>
        <w:autoSpaceDE/>
        <w:autoSpaceDN/>
        <w:bidi w:val="0"/>
        <w:adjustRightInd/>
        <w:snapToGrid/>
        <w:spacing w:line="500" w:lineRule="exact"/>
        <w:ind w:firstLine="577"/>
        <w:textAlignment w:val="auto"/>
        <w:rPr>
          <w:rFonts w:hint="eastAsia" w:ascii="仿宋_GB2312" w:hAnsi="仿宋_GB2312" w:eastAsia="仿宋_GB2312" w:cs="仿宋_GB2312"/>
          <w:color w:val="000000"/>
          <w:sz w:val="24"/>
          <w:szCs w:val="24"/>
          <w:highlight w:val="none"/>
        </w:rPr>
      </w:pPr>
    </w:p>
    <w:p>
      <w:pPr>
        <w:pStyle w:val="14"/>
        <w:ind w:firstLine="577"/>
        <w:rPr>
          <w:rFonts w:hint="eastAsia" w:ascii="仿宋_GB2312" w:hAnsi="仿宋_GB2312" w:eastAsia="仿宋_GB2312" w:cs="仿宋_GB2312"/>
          <w:color w:val="000000"/>
          <w:sz w:val="24"/>
          <w:szCs w:val="24"/>
          <w:highlight w:val="none"/>
        </w:rPr>
      </w:pPr>
    </w:p>
    <w:p>
      <w:pPr>
        <w:pStyle w:val="14"/>
        <w:ind w:firstLine="577"/>
        <w:rPr>
          <w:rFonts w:hint="eastAsia" w:ascii="仿宋_GB2312" w:hAnsi="仿宋_GB2312" w:eastAsia="仿宋_GB2312" w:cs="仿宋_GB2312"/>
          <w:color w:val="000000"/>
          <w:sz w:val="24"/>
          <w:szCs w:val="24"/>
          <w:highlight w:val="none"/>
        </w:rPr>
      </w:pPr>
    </w:p>
    <w:p>
      <w:pPr>
        <w:pStyle w:val="14"/>
        <w:ind w:firstLine="577"/>
        <w:rPr>
          <w:rFonts w:hint="eastAsia" w:ascii="仿宋_GB2312" w:hAnsi="仿宋_GB2312" w:eastAsia="仿宋_GB2312" w:cs="仿宋_GB2312"/>
          <w:color w:val="000000"/>
          <w:sz w:val="24"/>
          <w:szCs w:val="24"/>
          <w:highlight w:val="none"/>
        </w:rPr>
      </w:pPr>
    </w:p>
    <w:p>
      <w:pPr>
        <w:pStyle w:val="14"/>
        <w:ind w:firstLine="577"/>
        <w:rPr>
          <w:rFonts w:hint="eastAsia" w:ascii="仿宋_GB2312" w:hAnsi="仿宋_GB2312" w:eastAsia="仿宋_GB2312" w:cs="仿宋_GB2312"/>
          <w:color w:val="000000"/>
          <w:sz w:val="24"/>
          <w:szCs w:val="24"/>
          <w:highlight w:val="none"/>
        </w:rPr>
      </w:pPr>
    </w:p>
    <w:p>
      <w:pPr>
        <w:pStyle w:val="14"/>
        <w:ind w:firstLine="577"/>
        <w:rPr>
          <w:rFonts w:hint="eastAsia" w:ascii="仿宋_GB2312" w:hAnsi="仿宋_GB2312" w:eastAsia="仿宋_GB2312" w:cs="仿宋_GB2312"/>
          <w:color w:val="000000"/>
          <w:sz w:val="24"/>
          <w:szCs w:val="24"/>
          <w:highlight w:val="none"/>
        </w:rPr>
      </w:pPr>
    </w:p>
    <w:p>
      <w:pPr>
        <w:pStyle w:val="14"/>
        <w:ind w:firstLine="577"/>
        <w:rPr>
          <w:rFonts w:hint="eastAsia" w:ascii="仿宋_GB2312" w:hAnsi="仿宋_GB2312" w:eastAsia="仿宋_GB2312" w:cs="仿宋_GB2312"/>
          <w:color w:val="000000"/>
          <w:sz w:val="24"/>
          <w:szCs w:val="24"/>
          <w:highlight w:val="none"/>
        </w:rPr>
      </w:pPr>
    </w:p>
    <w:p>
      <w:pPr>
        <w:pStyle w:val="13"/>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color w:val="000000"/>
          <w:sz w:val="24"/>
          <w:szCs w:val="24"/>
          <w:highlight w:val="none"/>
        </w:rPr>
      </w:pPr>
      <w:bookmarkStart w:id="210" w:name="_Toc417050667"/>
      <w:r>
        <w:rPr>
          <w:rFonts w:hint="eastAsia" w:ascii="仿宋_GB2312" w:hAnsi="仿宋_GB2312" w:eastAsia="仿宋_GB2312" w:cs="仿宋_GB2312"/>
          <w:color w:val="000000"/>
          <w:sz w:val="24"/>
          <w:szCs w:val="24"/>
          <w:highlight w:val="none"/>
        </w:rPr>
        <w:br w:type="page"/>
      </w:r>
      <w:bookmarkStart w:id="211" w:name="_Toc12881"/>
      <w:bookmarkStart w:id="212" w:name="_Toc21554"/>
      <w:bookmarkStart w:id="213" w:name="_Toc17050"/>
      <w:bookmarkStart w:id="214" w:name="_Toc5358"/>
      <w:r>
        <w:rPr>
          <w:rFonts w:hint="eastAsia" w:ascii="仿宋_GB2312" w:hAnsi="仿宋_GB2312" w:eastAsia="仿宋_GB2312" w:cs="仿宋_GB2312"/>
          <w:color w:val="000000"/>
          <w:sz w:val="24"/>
          <w:szCs w:val="24"/>
          <w:highlight w:val="none"/>
        </w:rPr>
        <w:t>供应商认为需要提供其他证明文件</w:t>
      </w:r>
      <w:bookmarkEnd w:id="210"/>
      <w:bookmarkEnd w:id="211"/>
      <w:bookmarkEnd w:id="212"/>
      <w:bookmarkEnd w:id="213"/>
      <w:bookmarkEnd w:id="214"/>
    </w:p>
    <w:p>
      <w:pPr>
        <w:pStyle w:val="13"/>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outlineLvl w:val="9"/>
        <w:rPr>
          <w:rFonts w:hint="eastAsia" w:ascii="仿宋_GB2312" w:hAnsi="仿宋_GB2312" w:eastAsia="仿宋_GB2312" w:cs="仿宋_GB2312"/>
          <w:color w:val="000000"/>
          <w:sz w:val="24"/>
          <w:szCs w:val="24"/>
          <w:highlight w:val="none"/>
        </w:rPr>
      </w:pPr>
    </w:p>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说明：1.应提供供应商须知资料表要求的其他资格证明文件。</w:t>
      </w:r>
    </w:p>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2.复印件上应加盖本单位公章。</w:t>
      </w:r>
    </w:p>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w:t>
      </w:r>
    </w:p>
    <w:p>
      <w:pPr>
        <w:spacing w:line="440" w:lineRule="exact"/>
        <w:rPr>
          <w:rFonts w:hint="eastAsia" w:ascii="仿宋_GB2312" w:hAnsi="仿宋_GB2312" w:eastAsia="仿宋_GB2312" w:cs="仿宋_GB2312"/>
          <w:color w:val="000000"/>
          <w:sz w:val="24"/>
          <w:szCs w:val="24"/>
          <w:highlight w:val="none"/>
        </w:rPr>
      </w:pPr>
    </w:p>
    <w:p>
      <w:pPr>
        <w:spacing w:line="440" w:lineRule="exact"/>
        <w:rPr>
          <w:rFonts w:hint="eastAsia" w:ascii="仿宋_GB2312" w:hAnsi="仿宋_GB2312" w:eastAsia="仿宋_GB2312" w:cs="仿宋_GB2312"/>
          <w:color w:val="000000"/>
          <w:sz w:val="24"/>
          <w:szCs w:val="24"/>
          <w:highlight w:val="none"/>
        </w:rPr>
      </w:pPr>
    </w:p>
    <w:p>
      <w:pPr>
        <w:spacing w:line="440" w:lineRule="exact"/>
        <w:rPr>
          <w:rFonts w:hint="eastAsia" w:ascii="仿宋_GB2312" w:hAnsi="仿宋_GB2312" w:eastAsia="仿宋_GB2312" w:cs="仿宋_GB2312"/>
          <w:color w:val="000000"/>
          <w:sz w:val="24"/>
          <w:szCs w:val="24"/>
          <w:highlight w:val="none"/>
        </w:rPr>
      </w:pPr>
    </w:p>
    <w:p>
      <w:pPr>
        <w:spacing w:line="440" w:lineRule="exact"/>
        <w:rPr>
          <w:rFonts w:hint="eastAsia" w:ascii="仿宋_GB2312" w:hAnsi="仿宋_GB2312" w:eastAsia="仿宋_GB2312" w:cs="仿宋_GB2312"/>
          <w:color w:val="000000"/>
          <w:sz w:val="24"/>
          <w:szCs w:val="24"/>
          <w:highlight w:val="none"/>
        </w:rPr>
      </w:pPr>
    </w:p>
    <w:p>
      <w:pPr>
        <w:spacing w:line="440" w:lineRule="exact"/>
        <w:rPr>
          <w:rFonts w:hint="eastAsia" w:ascii="仿宋_GB2312" w:hAnsi="仿宋_GB2312" w:eastAsia="仿宋_GB2312" w:cs="仿宋_GB2312"/>
          <w:color w:val="000000"/>
          <w:sz w:val="24"/>
          <w:szCs w:val="24"/>
          <w:highlight w:val="none"/>
        </w:rPr>
      </w:pPr>
    </w:p>
    <w:p>
      <w:pPr>
        <w:spacing w:line="440" w:lineRule="exact"/>
        <w:rPr>
          <w:rFonts w:hint="eastAsia" w:ascii="仿宋_GB2312" w:hAnsi="仿宋_GB2312" w:eastAsia="仿宋_GB2312" w:cs="仿宋_GB2312"/>
          <w:color w:val="000000"/>
          <w:sz w:val="24"/>
          <w:szCs w:val="24"/>
          <w:highlight w:val="none"/>
        </w:rPr>
      </w:pPr>
    </w:p>
    <w:p>
      <w:pPr>
        <w:spacing w:line="440" w:lineRule="exact"/>
        <w:rPr>
          <w:rFonts w:hint="eastAsia" w:ascii="仿宋_GB2312" w:hAnsi="仿宋_GB2312" w:eastAsia="仿宋_GB2312" w:cs="仿宋_GB2312"/>
          <w:color w:val="000000"/>
          <w:sz w:val="24"/>
          <w:szCs w:val="24"/>
          <w:highlight w:val="none"/>
        </w:rPr>
      </w:pPr>
    </w:p>
    <w:p>
      <w:pPr>
        <w:spacing w:line="440" w:lineRule="exact"/>
        <w:rPr>
          <w:rFonts w:hint="eastAsia" w:ascii="仿宋_GB2312" w:hAnsi="仿宋_GB2312" w:eastAsia="仿宋_GB2312" w:cs="仿宋_GB2312"/>
          <w:color w:val="000000"/>
          <w:sz w:val="24"/>
          <w:szCs w:val="24"/>
          <w:highlight w:val="none"/>
        </w:rPr>
      </w:pPr>
    </w:p>
    <w:p>
      <w:pPr>
        <w:spacing w:line="440" w:lineRule="exact"/>
        <w:rPr>
          <w:rFonts w:hint="eastAsia" w:ascii="仿宋_GB2312" w:hAnsi="仿宋_GB2312" w:eastAsia="仿宋_GB2312" w:cs="仿宋_GB2312"/>
          <w:color w:val="000000"/>
          <w:sz w:val="24"/>
          <w:szCs w:val="24"/>
          <w:highlight w:val="none"/>
        </w:rPr>
      </w:pPr>
    </w:p>
    <w:p>
      <w:pPr>
        <w:spacing w:line="440" w:lineRule="exact"/>
        <w:rPr>
          <w:rFonts w:hint="eastAsia" w:ascii="仿宋_GB2312" w:hAnsi="仿宋_GB2312" w:eastAsia="仿宋_GB2312" w:cs="仿宋_GB2312"/>
          <w:color w:val="000000"/>
          <w:sz w:val="24"/>
          <w:szCs w:val="24"/>
          <w:highlight w:val="none"/>
        </w:rPr>
      </w:pPr>
    </w:p>
    <w:p>
      <w:pPr>
        <w:spacing w:line="440" w:lineRule="exact"/>
        <w:rPr>
          <w:rFonts w:hint="eastAsia" w:ascii="仿宋_GB2312" w:hAnsi="仿宋_GB2312" w:eastAsia="仿宋_GB2312" w:cs="仿宋_GB2312"/>
          <w:color w:val="000000"/>
          <w:sz w:val="24"/>
          <w:szCs w:val="24"/>
          <w:highlight w:val="none"/>
        </w:rPr>
      </w:pPr>
    </w:p>
    <w:p>
      <w:pPr>
        <w:spacing w:line="440" w:lineRule="exact"/>
        <w:rPr>
          <w:rFonts w:hint="eastAsia" w:ascii="仿宋_GB2312" w:hAnsi="仿宋_GB2312" w:eastAsia="仿宋_GB2312" w:cs="仿宋_GB2312"/>
          <w:color w:val="000000"/>
          <w:sz w:val="24"/>
          <w:szCs w:val="24"/>
          <w:highlight w:val="none"/>
        </w:rPr>
      </w:pPr>
    </w:p>
    <w:p>
      <w:pPr>
        <w:spacing w:line="440" w:lineRule="exact"/>
        <w:rPr>
          <w:rFonts w:hint="eastAsia" w:ascii="仿宋_GB2312" w:hAnsi="仿宋_GB2312" w:eastAsia="仿宋_GB2312" w:cs="仿宋_GB2312"/>
          <w:color w:val="000000"/>
          <w:sz w:val="24"/>
          <w:szCs w:val="24"/>
          <w:highlight w:val="none"/>
        </w:rPr>
      </w:pPr>
    </w:p>
    <w:p>
      <w:pPr>
        <w:spacing w:line="440" w:lineRule="exact"/>
        <w:rPr>
          <w:rFonts w:hint="eastAsia" w:ascii="仿宋_GB2312" w:hAnsi="仿宋_GB2312" w:eastAsia="仿宋_GB2312" w:cs="仿宋_GB2312"/>
          <w:color w:val="000000"/>
          <w:sz w:val="24"/>
          <w:szCs w:val="24"/>
          <w:highlight w:val="none"/>
        </w:rPr>
      </w:pPr>
    </w:p>
    <w:bookmarkEnd w:id="198"/>
    <w:bookmarkEnd w:id="199"/>
    <w:p>
      <w:pPr>
        <w:pStyle w:val="3"/>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bookmarkStart w:id="215" w:name="_Toc417050668"/>
      <w:bookmarkStart w:id="216" w:name="_Toc222651010"/>
      <w:bookmarkStart w:id="217" w:name="_Toc226862180"/>
      <w:r>
        <w:rPr>
          <w:rFonts w:hint="eastAsia" w:ascii="仿宋_GB2312" w:hAnsi="仿宋_GB2312" w:eastAsia="仿宋_GB2312" w:cs="仿宋_GB2312"/>
          <w:color w:val="000000"/>
          <w:sz w:val="24"/>
          <w:szCs w:val="24"/>
          <w:highlight w:val="none"/>
        </w:rPr>
        <w:br w:type="page"/>
      </w:r>
      <w:bookmarkStart w:id="218" w:name="_Toc25754"/>
      <w:bookmarkStart w:id="219" w:name="_Toc465"/>
      <w:bookmarkStart w:id="220" w:name="_Toc6542"/>
      <w:bookmarkStart w:id="221" w:name="_Toc10988"/>
      <w:r>
        <w:rPr>
          <w:rFonts w:hint="eastAsia" w:ascii="仿宋_GB2312" w:hAnsi="仿宋_GB2312" w:eastAsia="仿宋_GB2312" w:cs="仿宋_GB2312"/>
          <w:color w:val="000000"/>
          <w:sz w:val="24"/>
          <w:szCs w:val="24"/>
          <w:highlight w:val="none"/>
        </w:rPr>
        <w:t>技术文件</w:t>
      </w:r>
      <w:bookmarkEnd w:id="215"/>
      <w:bookmarkEnd w:id="218"/>
      <w:bookmarkEnd w:id="219"/>
      <w:bookmarkEnd w:id="220"/>
      <w:bookmarkEnd w:id="221"/>
    </w:p>
    <w:bookmarkEnd w:id="216"/>
    <w:bookmarkEnd w:id="217"/>
    <w:p>
      <w:pPr>
        <w:rPr>
          <w:rFonts w:hint="eastAsia" w:ascii="仿宋_GB2312" w:hAnsi="仿宋_GB2312" w:eastAsia="仿宋_GB2312" w:cs="仿宋_GB2312"/>
          <w:b/>
          <w:color w:val="000000"/>
          <w:sz w:val="24"/>
          <w:highlight w:val="none"/>
        </w:rPr>
      </w:pPr>
      <w:r>
        <w:rPr>
          <w:rFonts w:hint="eastAsia" w:ascii="仿宋_GB2312" w:hAnsi="仿宋_GB2312" w:eastAsia="仿宋_GB2312" w:cs="仿宋_GB2312"/>
          <w:b/>
          <w:color w:val="000000"/>
          <w:sz w:val="24"/>
          <w:highlight w:val="none"/>
          <w:lang w:eastAsia="zh-CN"/>
        </w:rPr>
        <w:t>（一）</w:t>
      </w:r>
      <w:r>
        <w:rPr>
          <w:rFonts w:hint="eastAsia" w:ascii="仿宋_GB2312" w:hAnsi="仿宋_GB2312" w:eastAsia="仿宋_GB2312" w:cs="仿宋_GB2312"/>
          <w:b/>
          <w:color w:val="000000"/>
          <w:sz w:val="24"/>
          <w:highlight w:val="none"/>
        </w:rPr>
        <w:t>中小企业声明函</w:t>
      </w:r>
    </w:p>
    <w:p>
      <w:pPr>
        <w:pStyle w:val="2"/>
        <w:rPr>
          <w:rFonts w:hint="eastAsia" w:ascii="仿宋_GB2312" w:hAnsi="仿宋_GB2312" w:eastAsia="仿宋_GB2312" w:cs="仿宋_GB2312"/>
          <w:color w:val="000000"/>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中小企业声明函（货物）</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本公司（联合体）郑重声明，根据《政府采购促进中小企业发展管理办法》（财库﹝2020﹞46 号）的规定，本公司（联合体）参加</w:t>
      </w:r>
      <w:r>
        <w:rPr>
          <w:rFonts w:hint="eastAsia" w:ascii="仿宋_GB2312" w:hAnsi="仿宋_GB2312" w:eastAsia="仿宋_GB2312" w:cs="仿宋_GB2312"/>
          <w:color w:val="000000"/>
          <w:sz w:val="24"/>
          <w:highlight w:val="none"/>
          <w:u w:val="single"/>
        </w:rPr>
        <w:t>（单位名称）</w:t>
      </w:r>
      <w:r>
        <w:rPr>
          <w:rFonts w:hint="eastAsia" w:ascii="仿宋_GB2312" w:hAnsi="仿宋_GB2312" w:eastAsia="仿宋_GB2312" w:cs="仿宋_GB2312"/>
          <w:color w:val="000000"/>
          <w:sz w:val="24"/>
          <w:highlight w:val="none"/>
        </w:rPr>
        <w:t>的</w:t>
      </w:r>
      <w:r>
        <w:rPr>
          <w:rFonts w:hint="eastAsia" w:ascii="仿宋_GB2312" w:hAnsi="仿宋_GB2312" w:eastAsia="仿宋_GB2312" w:cs="仿宋_GB2312"/>
          <w:color w:val="000000"/>
          <w:sz w:val="24"/>
          <w:highlight w:val="none"/>
          <w:u w:val="single"/>
        </w:rPr>
        <w:t>（项目名称）</w:t>
      </w:r>
      <w:r>
        <w:rPr>
          <w:rFonts w:hint="eastAsia" w:ascii="仿宋_GB2312" w:hAnsi="仿宋_GB2312" w:eastAsia="仿宋_GB2312" w:cs="仿宋_GB2312"/>
          <w:color w:val="000000"/>
          <w:sz w:val="24"/>
          <w:highlight w:val="none"/>
        </w:rPr>
        <w:t>采购活动，提供的货物全部为符合政策要求的中小企业制造。相关企业（含联合体中的中小企业、签订分包意向协议的中小企业）的具体情况如下：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w:t>
      </w:r>
      <w:r>
        <w:rPr>
          <w:rFonts w:hint="eastAsia" w:ascii="仿宋_GB2312" w:hAnsi="仿宋_GB2312" w:eastAsia="仿宋_GB2312" w:cs="仿宋_GB2312"/>
          <w:color w:val="000000"/>
          <w:sz w:val="24"/>
          <w:highlight w:val="none"/>
          <w:u w:val="single"/>
        </w:rPr>
        <w:t xml:space="preserve"> （标的名称） </w:t>
      </w:r>
      <w:r>
        <w:rPr>
          <w:rFonts w:hint="eastAsia" w:ascii="仿宋_GB2312" w:hAnsi="仿宋_GB2312" w:eastAsia="仿宋_GB2312" w:cs="仿宋_GB2312"/>
          <w:color w:val="000000"/>
          <w:sz w:val="24"/>
          <w:highlight w:val="none"/>
        </w:rPr>
        <w:t>，属于</w:t>
      </w:r>
      <w:r>
        <w:rPr>
          <w:rFonts w:hint="eastAsia" w:ascii="仿宋_GB2312" w:hAnsi="仿宋_GB2312" w:eastAsia="仿宋_GB2312" w:cs="仿宋_GB2312"/>
          <w:color w:val="000000"/>
          <w:sz w:val="24"/>
          <w:highlight w:val="none"/>
          <w:u w:val="single"/>
        </w:rPr>
        <w:t>（采购文件中明确的所属行业）</w:t>
      </w:r>
      <w:r>
        <w:rPr>
          <w:rFonts w:hint="eastAsia" w:ascii="仿宋_GB2312" w:hAnsi="仿宋_GB2312" w:eastAsia="仿宋_GB2312" w:cs="仿宋_GB2312"/>
          <w:color w:val="000000"/>
          <w:sz w:val="24"/>
          <w:highlight w:val="none"/>
        </w:rPr>
        <w:t>；制造商为</w:t>
      </w:r>
      <w:r>
        <w:rPr>
          <w:rFonts w:hint="eastAsia" w:ascii="仿宋_GB2312" w:hAnsi="仿宋_GB2312" w:eastAsia="仿宋_GB2312" w:cs="仿宋_GB2312"/>
          <w:color w:val="000000"/>
          <w:sz w:val="24"/>
          <w:highlight w:val="none"/>
          <w:u w:val="single"/>
        </w:rPr>
        <w:t>（企业名称）</w:t>
      </w:r>
      <w:r>
        <w:rPr>
          <w:rFonts w:hint="eastAsia" w:ascii="仿宋_GB2312" w:hAnsi="仿宋_GB2312" w:eastAsia="仿宋_GB2312" w:cs="仿宋_GB2312"/>
          <w:color w:val="000000"/>
          <w:sz w:val="24"/>
          <w:highlight w:val="none"/>
        </w:rPr>
        <w:t>，从业人员</w:t>
      </w:r>
      <w:r>
        <w:rPr>
          <w:rFonts w:hint="eastAsia" w:ascii="仿宋_GB2312" w:hAnsi="仿宋_GB2312" w:eastAsia="仿宋_GB2312" w:cs="仿宋_GB2312"/>
          <w:color w:val="000000"/>
          <w:sz w:val="24"/>
          <w:highlight w:val="none"/>
          <w:u w:val="single"/>
        </w:rPr>
        <w:t xml:space="preserve">   </w:t>
      </w:r>
      <w:r>
        <w:rPr>
          <w:rFonts w:hint="eastAsia" w:ascii="仿宋_GB2312" w:hAnsi="仿宋_GB2312" w:eastAsia="仿宋_GB2312" w:cs="仿宋_GB2312"/>
          <w:color w:val="000000"/>
          <w:sz w:val="24"/>
          <w:highlight w:val="none"/>
        </w:rPr>
        <w:t>人，营业收入为</w:t>
      </w:r>
      <w:r>
        <w:rPr>
          <w:rFonts w:hint="eastAsia" w:ascii="仿宋_GB2312" w:hAnsi="仿宋_GB2312" w:eastAsia="仿宋_GB2312" w:cs="仿宋_GB2312"/>
          <w:color w:val="000000"/>
          <w:sz w:val="24"/>
          <w:highlight w:val="none"/>
          <w:u w:val="single"/>
        </w:rPr>
        <w:t xml:space="preserve">   </w:t>
      </w:r>
      <w:r>
        <w:rPr>
          <w:rFonts w:hint="eastAsia" w:ascii="仿宋_GB2312" w:hAnsi="仿宋_GB2312" w:eastAsia="仿宋_GB2312" w:cs="仿宋_GB2312"/>
          <w:color w:val="000000"/>
          <w:sz w:val="24"/>
          <w:highlight w:val="none"/>
        </w:rPr>
        <w:t>万元，资产总额为</w:t>
      </w:r>
      <w:r>
        <w:rPr>
          <w:rFonts w:hint="eastAsia" w:ascii="仿宋_GB2312" w:hAnsi="仿宋_GB2312" w:eastAsia="仿宋_GB2312" w:cs="仿宋_GB2312"/>
          <w:color w:val="000000"/>
          <w:sz w:val="24"/>
          <w:highlight w:val="none"/>
          <w:u w:val="single"/>
        </w:rPr>
        <w:t xml:space="preserve">   </w:t>
      </w:r>
      <w:r>
        <w:rPr>
          <w:rFonts w:hint="eastAsia" w:ascii="仿宋_GB2312" w:hAnsi="仿宋_GB2312" w:eastAsia="仿宋_GB2312" w:cs="仿宋_GB2312"/>
          <w:color w:val="000000"/>
          <w:sz w:val="24"/>
          <w:highlight w:val="none"/>
        </w:rPr>
        <w:t>万元</w:t>
      </w:r>
      <w:r>
        <w:rPr>
          <w:rFonts w:hint="eastAsia" w:ascii="仿宋_GB2312" w:hAnsi="仿宋_GB2312" w:eastAsia="仿宋_GB2312" w:cs="仿宋_GB2312"/>
          <w:color w:val="000000"/>
          <w:sz w:val="24"/>
          <w:highlight w:val="none"/>
          <w:vertAlign w:val="superscript"/>
        </w:rPr>
        <w:t>1</w:t>
      </w:r>
      <w:r>
        <w:rPr>
          <w:rFonts w:hint="eastAsia" w:ascii="仿宋_GB2312" w:hAnsi="仿宋_GB2312" w:eastAsia="仿宋_GB2312" w:cs="仿宋_GB2312"/>
          <w:color w:val="000000"/>
          <w:sz w:val="24"/>
          <w:highlight w:val="none"/>
        </w:rPr>
        <w:t>，属于</w:t>
      </w:r>
      <w:r>
        <w:rPr>
          <w:rFonts w:hint="eastAsia" w:ascii="仿宋_GB2312" w:hAnsi="仿宋_GB2312" w:eastAsia="仿宋_GB2312" w:cs="仿宋_GB2312"/>
          <w:color w:val="000000"/>
          <w:sz w:val="24"/>
          <w:highlight w:val="none"/>
          <w:u w:val="single"/>
        </w:rPr>
        <w:t>（中型企业、小型企业、微型企业）</w:t>
      </w:r>
      <w:r>
        <w:rPr>
          <w:rFonts w:hint="eastAsia" w:ascii="仿宋_GB2312" w:hAnsi="仿宋_GB2312" w:eastAsia="仿宋_GB2312" w:cs="仿宋_GB2312"/>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 xml:space="preserve">2. </w:t>
      </w:r>
      <w:r>
        <w:rPr>
          <w:rFonts w:hint="eastAsia" w:ascii="仿宋_GB2312" w:hAnsi="仿宋_GB2312" w:eastAsia="仿宋_GB2312" w:cs="仿宋_GB2312"/>
          <w:color w:val="000000"/>
          <w:sz w:val="24"/>
          <w:highlight w:val="none"/>
          <w:u w:val="single"/>
        </w:rPr>
        <w:t xml:space="preserve">（标的名称） </w:t>
      </w:r>
      <w:r>
        <w:rPr>
          <w:rFonts w:hint="eastAsia" w:ascii="仿宋_GB2312" w:hAnsi="仿宋_GB2312" w:eastAsia="仿宋_GB2312" w:cs="仿宋_GB2312"/>
          <w:color w:val="000000"/>
          <w:sz w:val="24"/>
          <w:highlight w:val="none"/>
        </w:rPr>
        <w:t>，属于</w:t>
      </w:r>
      <w:r>
        <w:rPr>
          <w:rFonts w:hint="eastAsia" w:ascii="仿宋_GB2312" w:hAnsi="仿宋_GB2312" w:eastAsia="仿宋_GB2312" w:cs="仿宋_GB2312"/>
          <w:color w:val="000000"/>
          <w:sz w:val="24"/>
          <w:highlight w:val="none"/>
          <w:u w:val="single"/>
        </w:rPr>
        <w:t>（采购文件中明确的所属行业）</w:t>
      </w:r>
      <w:r>
        <w:rPr>
          <w:rFonts w:hint="eastAsia" w:ascii="仿宋_GB2312" w:hAnsi="仿宋_GB2312" w:eastAsia="仿宋_GB2312" w:cs="仿宋_GB2312"/>
          <w:color w:val="000000"/>
          <w:sz w:val="24"/>
          <w:highlight w:val="none"/>
        </w:rPr>
        <w:t>；制造商为</w:t>
      </w:r>
      <w:r>
        <w:rPr>
          <w:rFonts w:hint="eastAsia" w:ascii="仿宋_GB2312" w:hAnsi="仿宋_GB2312" w:eastAsia="仿宋_GB2312" w:cs="仿宋_GB2312"/>
          <w:color w:val="000000"/>
          <w:sz w:val="24"/>
          <w:highlight w:val="none"/>
          <w:u w:val="single"/>
        </w:rPr>
        <w:t>（企业名称）</w:t>
      </w:r>
      <w:r>
        <w:rPr>
          <w:rFonts w:hint="eastAsia" w:ascii="仿宋_GB2312" w:hAnsi="仿宋_GB2312" w:eastAsia="仿宋_GB2312" w:cs="仿宋_GB2312"/>
          <w:color w:val="000000"/>
          <w:sz w:val="24"/>
          <w:highlight w:val="none"/>
        </w:rPr>
        <w:t>，从业人员</w:t>
      </w:r>
      <w:r>
        <w:rPr>
          <w:rFonts w:hint="eastAsia" w:ascii="仿宋_GB2312" w:hAnsi="仿宋_GB2312" w:eastAsia="仿宋_GB2312" w:cs="仿宋_GB2312"/>
          <w:color w:val="000000"/>
          <w:sz w:val="24"/>
          <w:highlight w:val="none"/>
          <w:u w:val="single"/>
        </w:rPr>
        <w:t xml:space="preserve">   </w:t>
      </w:r>
      <w:r>
        <w:rPr>
          <w:rFonts w:hint="eastAsia" w:ascii="仿宋_GB2312" w:hAnsi="仿宋_GB2312" w:eastAsia="仿宋_GB2312" w:cs="仿宋_GB2312"/>
          <w:color w:val="000000"/>
          <w:sz w:val="24"/>
          <w:highlight w:val="none"/>
        </w:rPr>
        <w:t>人，营业收入为</w:t>
      </w:r>
      <w:r>
        <w:rPr>
          <w:rFonts w:hint="eastAsia" w:ascii="仿宋_GB2312" w:hAnsi="仿宋_GB2312" w:eastAsia="仿宋_GB2312" w:cs="仿宋_GB2312"/>
          <w:color w:val="000000"/>
          <w:sz w:val="24"/>
          <w:highlight w:val="none"/>
          <w:u w:val="single"/>
        </w:rPr>
        <w:t xml:space="preserve">   </w:t>
      </w:r>
      <w:r>
        <w:rPr>
          <w:rFonts w:hint="eastAsia" w:ascii="仿宋_GB2312" w:hAnsi="仿宋_GB2312" w:eastAsia="仿宋_GB2312" w:cs="仿宋_GB2312"/>
          <w:color w:val="000000"/>
          <w:sz w:val="24"/>
          <w:highlight w:val="none"/>
        </w:rPr>
        <w:t>万元，资产总额为</w:t>
      </w:r>
      <w:r>
        <w:rPr>
          <w:rFonts w:hint="eastAsia" w:ascii="仿宋_GB2312" w:hAnsi="仿宋_GB2312" w:eastAsia="仿宋_GB2312" w:cs="仿宋_GB2312"/>
          <w:color w:val="000000"/>
          <w:sz w:val="24"/>
          <w:highlight w:val="none"/>
          <w:u w:val="single"/>
        </w:rPr>
        <w:t xml:space="preserve">   </w:t>
      </w:r>
      <w:r>
        <w:rPr>
          <w:rFonts w:hint="eastAsia" w:ascii="仿宋_GB2312" w:hAnsi="仿宋_GB2312" w:eastAsia="仿宋_GB2312" w:cs="仿宋_GB2312"/>
          <w:color w:val="000000"/>
          <w:sz w:val="24"/>
          <w:highlight w:val="none"/>
        </w:rPr>
        <w:t>万元，属于</w:t>
      </w:r>
      <w:r>
        <w:rPr>
          <w:rFonts w:hint="eastAsia" w:ascii="仿宋_GB2312" w:hAnsi="仿宋_GB2312" w:eastAsia="仿宋_GB2312" w:cs="仿宋_GB2312"/>
          <w:color w:val="000000"/>
          <w:sz w:val="24"/>
          <w:highlight w:val="none"/>
          <w:u w:val="single"/>
        </w:rPr>
        <w:t>（中型企业、小型企业、微型企业）</w:t>
      </w:r>
      <w:r>
        <w:rPr>
          <w:rFonts w:hint="eastAsia" w:ascii="仿宋_GB2312" w:hAnsi="仿宋_GB2312" w:eastAsia="仿宋_GB2312" w:cs="仿宋_GB2312"/>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 xml:space="preserve">1 从业人员、营业收入、资产总额填报上一年度数据，无上一年度数据的新成立企业可不填报。 </w:t>
      </w:r>
    </w:p>
    <w:p>
      <w:pPr>
        <w:pStyle w:val="2"/>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_GB2312" w:hAnsi="仿宋_GB2312" w:eastAsia="仿宋_GB2312" w:cs="仿宋_GB2312"/>
          <w:color w:val="000000"/>
          <w:sz w:val="24"/>
          <w:highlight w:val="none"/>
        </w:rPr>
      </w:pPr>
    </w:p>
    <w:p>
      <w:pPr>
        <w:pStyle w:val="2"/>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企业名称（盖章）：</w:t>
      </w:r>
    </w:p>
    <w:p>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 xml:space="preserve">                                                           日期：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sz w:val="24"/>
          <w:highlight w:val="none"/>
        </w:rPr>
        <w:t>注:如果未存在上述情况,则供应商可以不提供本声明。</w:t>
      </w:r>
    </w:p>
    <w:p>
      <w:pPr>
        <w:pStyle w:val="13"/>
        <w:rPr>
          <w:rFonts w:hint="eastAsia" w:ascii="仿宋_GB2312" w:hAnsi="仿宋_GB2312" w:eastAsia="仿宋_GB2312" w:cs="仿宋_GB2312"/>
          <w:b w:val="0"/>
          <w:color w:val="000000"/>
          <w:spacing w:val="6"/>
          <w:sz w:val="24"/>
          <w:szCs w:val="24"/>
          <w:highlight w:val="none"/>
        </w:rPr>
      </w:pPr>
      <w:r>
        <w:rPr>
          <w:rFonts w:hint="eastAsia" w:ascii="仿宋_GB2312" w:hAnsi="仿宋_GB2312" w:eastAsia="仿宋_GB2312" w:cs="仿宋_GB2312"/>
          <w:color w:val="000000"/>
          <w:sz w:val="24"/>
          <w:szCs w:val="24"/>
          <w:highlight w:val="none"/>
        </w:rPr>
        <w:br w:type="page"/>
      </w:r>
      <w:bookmarkStart w:id="222" w:name="_Toc19351"/>
      <w:bookmarkStart w:id="223" w:name="_Toc22577"/>
      <w:bookmarkStart w:id="224" w:name="_Toc17223"/>
      <w:bookmarkStart w:id="225" w:name="_Toc15744"/>
      <w:r>
        <w:rPr>
          <w:rFonts w:hint="eastAsia" w:ascii="仿宋_GB2312" w:hAnsi="仿宋_GB2312" w:eastAsia="仿宋_GB2312" w:cs="仿宋_GB2312"/>
          <w:color w:val="000000"/>
          <w:sz w:val="24"/>
          <w:szCs w:val="24"/>
          <w:highlight w:val="none"/>
        </w:rPr>
        <w:t>（二）残疾人福利性单位声明函</w:t>
      </w:r>
      <w:bookmarkEnd w:id="222"/>
      <w:bookmarkEnd w:id="223"/>
      <w:bookmarkEnd w:id="224"/>
      <w:bookmarkEnd w:id="225"/>
    </w:p>
    <w:p>
      <w:pPr>
        <w:spacing w:line="588" w:lineRule="exact"/>
        <w:rPr>
          <w:rFonts w:hint="eastAsia" w:ascii="仿宋_GB2312" w:hAnsi="仿宋_GB2312" w:eastAsia="仿宋_GB2312" w:cs="仿宋_GB2312"/>
          <w:b/>
          <w:color w:val="000000"/>
          <w:spacing w:val="6"/>
          <w:sz w:val="24"/>
          <w:szCs w:val="24"/>
          <w:highlight w:val="none"/>
        </w:rPr>
      </w:pPr>
    </w:p>
    <w:p>
      <w:pPr>
        <w:spacing w:line="588" w:lineRule="exact"/>
        <w:ind w:firstLine="504" w:firstLineChars="200"/>
        <w:rPr>
          <w:rFonts w:hint="eastAsia" w:ascii="仿宋_GB2312" w:hAnsi="仿宋_GB2312" w:eastAsia="仿宋_GB2312" w:cs="仿宋_GB2312"/>
          <w:color w:val="000000"/>
          <w:spacing w:val="6"/>
          <w:sz w:val="24"/>
          <w:szCs w:val="24"/>
          <w:highlight w:val="none"/>
        </w:rPr>
      </w:pPr>
      <w:r>
        <w:rPr>
          <w:rFonts w:hint="eastAsia" w:ascii="仿宋_GB2312" w:hAnsi="仿宋_GB2312" w:eastAsia="仿宋_GB2312" w:cs="仿宋_GB2312"/>
          <w:color w:val="000000"/>
          <w:spacing w:val="6"/>
          <w:sz w:val="24"/>
          <w:szCs w:val="24"/>
          <w:highlight w:val="none"/>
        </w:rPr>
        <w:t>本单位郑重声明，根据《财政部 民政部 中国残疾人联合会关于促进残疾人就业政府采购政策的通知》（财库</w:t>
      </w:r>
      <w:r>
        <w:rPr>
          <w:rFonts w:hint="eastAsia" w:ascii="仿宋_GB2312" w:hAnsi="仿宋_GB2312" w:eastAsia="仿宋_GB2312" w:cs="仿宋_GB2312"/>
          <w:color w:val="000000"/>
          <w:sz w:val="24"/>
          <w:szCs w:val="24"/>
          <w:highlight w:val="none"/>
        </w:rPr>
        <w:t>〔2017〕 141</w:t>
      </w:r>
      <w:r>
        <w:rPr>
          <w:rFonts w:hint="eastAsia" w:ascii="仿宋_GB2312" w:hAnsi="仿宋_GB2312" w:eastAsia="仿宋_GB2312" w:cs="仿宋_GB2312"/>
          <w:color w:val="000000"/>
          <w:spacing w:val="6"/>
          <w:sz w:val="24"/>
          <w:szCs w:val="24"/>
          <w:highlight w:val="none"/>
        </w:rPr>
        <w:t>号）的规定，本单位为符合条件的残疾人福利性单位，且本单位参加</w:t>
      </w:r>
      <w:r>
        <w:rPr>
          <w:rFonts w:hint="eastAsia" w:ascii="仿宋_GB2312" w:hAnsi="仿宋_GB2312" w:eastAsia="仿宋_GB2312" w:cs="仿宋_GB2312"/>
          <w:color w:val="000000"/>
          <w:spacing w:val="6"/>
          <w:sz w:val="24"/>
          <w:szCs w:val="24"/>
          <w:highlight w:val="none"/>
          <w:u w:val="single"/>
          <w:lang w:val="en-US" w:eastAsia="zh-CN"/>
        </w:rPr>
        <w:t xml:space="preserve">     </w:t>
      </w:r>
      <w:r>
        <w:rPr>
          <w:rFonts w:hint="eastAsia" w:ascii="仿宋_GB2312" w:hAnsi="仿宋_GB2312" w:eastAsia="仿宋_GB2312" w:cs="仿宋_GB2312"/>
          <w:color w:val="000000"/>
          <w:spacing w:val="6"/>
          <w:sz w:val="24"/>
          <w:szCs w:val="24"/>
          <w:highlight w:val="none"/>
        </w:rPr>
        <w:t>单位的</w:t>
      </w:r>
      <w:r>
        <w:rPr>
          <w:rFonts w:hint="eastAsia" w:ascii="仿宋_GB2312" w:hAnsi="仿宋_GB2312" w:eastAsia="仿宋_GB2312" w:cs="仿宋_GB2312"/>
          <w:color w:val="000000"/>
          <w:spacing w:val="6"/>
          <w:sz w:val="24"/>
          <w:szCs w:val="24"/>
          <w:highlight w:val="none"/>
          <w:u w:val="single"/>
          <w:lang w:val="en-US" w:eastAsia="zh-CN"/>
        </w:rPr>
        <w:t xml:space="preserve">     </w:t>
      </w:r>
      <w:r>
        <w:rPr>
          <w:rFonts w:hint="eastAsia" w:ascii="仿宋_GB2312" w:hAnsi="仿宋_GB2312" w:eastAsia="仿宋_GB2312" w:cs="仿宋_GB2312"/>
          <w:color w:val="000000"/>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仿宋_GB2312" w:hAnsi="仿宋_GB2312" w:eastAsia="仿宋_GB2312" w:cs="仿宋_GB2312"/>
          <w:color w:val="000000"/>
          <w:spacing w:val="6"/>
          <w:sz w:val="24"/>
          <w:szCs w:val="24"/>
          <w:highlight w:val="none"/>
        </w:rPr>
      </w:pPr>
      <w:r>
        <w:rPr>
          <w:rFonts w:hint="eastAsia" w:ascii="仿宋_GB2312" w:hAnsi="仿宋_GB2312" w:eastAsia="仿宋_GB2312" w:cs="仿宋_GB2312"/>
          <w:color w:val="000000"/>
          <w:spacing w:val="6"/>
          <w:sz w:val="24"/>
          <w:szCs w:val="24"/>
          <w:highlight w:val="none"/>
        </w:rPr>
        <w:t>本单位对上述声明的真实性负责。如有虚假，将依法承担相应责任。</w:t>
      </w:r>
    </w:p>
    <w:p>
      <w:pPr>
        <w:spacing w:line="588" w:lineRule="exact"/>
        <w:ind w:firstLine="504" w:firstLineChars="200"/>
        <w:rPr>
          <w:rFonts w:hint="eastAsia" w:ascii="仿宋_GB2312" w:hAnsi="仿宋_GB2312" w:eastAsia="仿宋_GB2312" w:cs="仿宋_GB2312"/>
          <w:color w:val="000000"/>
          <w:spacing w:val="6"/>
          <w:sz w:val="24"/>
          <w:szCs w:val="24"/>
          <w:highlight w:val="none"/>
        </w:rPr>
      </w:pPr>
    </w:p>
    <w:p>
      <w:pPr>
        <w:spacing w:line="588" w:lineRule="exact"/>
        <w:ind w:firstLine="504" w:firstLineChars="200"/>
        <w:rPr>
          <w:rFonts w:hint="eastAsia" w:ascii="仿宋_GB2312" w:hAnsi="仿宋_GB2312" w:eastAsia="仿宋_GB2312" w:cs="仿宋_GB2312"/>
          <w:color w:val="000000"/>
          <w:spacing w:val="6"/>
          <w:sz w:val="24"/>
          <w:szCs w:val="24"/>
          <w:highlight w:val="none"/>
        </w:rPr>
      </w:pPr>
    </w:p>
    <w:p>
      <w:pPr>
        <w:spacing w:line="588" w:lineRule="exact"/>
        <w:ind w:firstLine="504" w:firstLineChars="200"/>
        <w:rPr>
          <w:rFonts w:hint="eastAsia" w:ascii="仿宋_GB2312" w:hAnsi="仿宋_GB2312" w:eastAsia="仿宋_GB2312" w:cs="仿宋_GB2312"/>
          <w:color w:val="000000"/>
          <w:spacing w:val="6"/>
          <w:sz w:val="24"/>
          <w:szCs w:val="24"/>
          <w:highlight w:val="none"/>
        </w:rPr>
      </w:pPr>
    </w:p>
    <w:p>
      <w:pPr>
        <w:tabs>
          <w:tab w:val="left" w:pos="4860"/>
        </w:tabs>
        <w:spacing w:line="588" w:lineRule="exact"/>
        <w:ind w:right="1560" w:firstLine="504" w:firstLineChars="200"/>
        <w:jc w:val="center"/>
        <w:rPr>
          <w:rFonts w:hint="eastAsia" w:ascii="仿宋_GB2312" w:hAnsi="仿宋_GB2312" w:eastAsia="仿宋_GB2312" w:cs="仿宋_GB2312"/>
          <w:color w:val="000000"/>
          <w:spacing w:val="6"/>
          <w:sz w:val="24"/>
          <w:szCs w:val="24"/>
          <w:highlight w:val="none"/>
        </w:rPr>
      </w:pPr>
      <w:r>
        <w:rPr>
          <w:rFonts w:hint="eastAsia" w:ascii="仿宋_GB2312" w:hAnsi="仿宋_GB2312" w:eastAsia="仿宋_GB2312" w:cs="仿宋_GB2312"/>
          <w:color w:val="000000"/>
          <w:spacing w:val="6"/>
          <w:sz w:val="24"/>
          <w:szCs w:val="24"/>
          <w:highlight w:val="none"/>
        </w:rPr>
        <w:t xml:space="preserve">                         单位名称（盖章）：</w:t>
      </w:r>
    </w:p>
    <w:p>
      <w:pPr>
        <w:tabs>
          <w:tab w:val="left" w:pos="4860"/>
        </w:tabs>
        <w:spacing w:line="588" w:lineRule="exact"/>
        <w:ind w:right="1560" w:firstLine="504" w:firstLineChars="200"/>
        <w:jc w:val="center"/>
        <w:rPr>
          <w:rFonts w:hint="eastAsia" w:ascii="仿宋_GB2312" w:hAnsi="仿宋_GB2312" w:eastAsia="仿宋_GB2312" w:cs="仿宋_GB2312"/>
          <w:color w:val="000000"/>
          <w:spacing w:val="6"/>
          <w:sz w:val="24"/>
          <w:szCs w:val="24"/>
          <w:highlight w:val="none"/>
        </w:rPr>
      </w:pPr>
      <w:r>
        <w:rPr>
          <w:rFonts w:hint="eastAsia" w:ascii="仿宋_GB2312" w:hAnsi="仿宋_GB2312" w:eastAsia="仿宋_GB2312" w:cs="仿宋_GB2312"/>
          <w:color w:val="000000"/>
          <w:spacing w:val="6"/>
          <w:sz w:val="24"/>
          <w:szCs w:val="24"/>
          <w:highlight w:val="none"/>
        </w:rPr>
        <w:t xml:space="preserve">                 日  期：</w:t>
      </w:r>
    </w:p>
    <w:p>
      <w:pPr>
        <w:pStyle w:val="14"/>
        <w:ind w:firstLine="0" w:firstLineChars="0"/>
        <w:rPr>
          <w:rFonts w:hint="eastAsia" w:ascii="仿宋_GB2312" w:hAnsi="仿宋_GB2312" w:eastAsia="仿宋_GB2312" w:cs="仿宋_GB2312"/>
          <w:color w:val="000000"/>
          <w:sz w:val="24"/>
          <w:szCs w:val="24"/>
          <w:highlight w:val="none"/>
        </w:rPr>
      </w:pPr>
    </w:p>
    <w:p>
      <w:pPr>
        <w:pStyle w:val="2"/>
        <w:spacing w:after="0" w:line="560" w:lineRule="exact"/>
        <w:ind w:firstLine="494" w:firstLineChars="205"/>
        <w:rPr>
          <w:rFonts w:hint="eastAsia" w:ascii="仿宋_GB2312" w:hAnsi="仿宋_GB2312" w:eastAsia="仿宋_GB2312" w:cs="仿宋_GB2312"/>
          <w:color w:val="000000"/>
          <w:sz w:val="24"/>
          <w:szCs w:val="24"/>
          <w:highlight w:val="none"/>
        </w:rPr>
        <w:sectPr>
          <w:footerReference r:id="rId3" w:type="default"/>
          <w:pgSz w:w="11905" w:h="16838"/>
          <w:pgMar w:top="2041" w:right="1531" w:bottom="1712" w:left="1531" w:header="1701" w:footer="1474" w:gutter="0"/>
          <w:paperSrc w:first="15" w:other="15"/>
          <w:pgBorders>
            <w:top w:val="none" w:sz="0" w:space="0"/>
            <w:left w:val="none" w:sz="0" w:space="0"/>
            <w:bottom w:val="none" w:sz="0" w:space="0"/>
            <w:right w:val="none" w:sz="0" w:space="0"/>
          </w:pgBorders>
          <w:cols w:space="720" w:num="1"/>
          <w:rtlGutter w:val="0"/>
          <w:docGrid w:linePitch="523" w:charSpace="0"/>
        </w:sectPr>
      </w:pPr>
      <w:r>
        <w:rPr>
          <w:rFonts w:hint="eastAsia" w:ascii="仿宋_GB2312" w:hAnsi="仿宋_GB2312" w:eastAsia="仿宋_GB2312" w:cs="仿宋_GB2312"/>
          <w:b/>
          <w:bCs/>
          <w:color w:val="000000"/>
          <w:sz w:val="24"/>
          <w:highlight w:val="none"/>
        </w:rPr>
        <w:t>注:如果未存在上述情况,则供应商可以不提供本声明。</w:t>
      </w:r>
    </w:p>
    <w:p>
      <w:pPr>
        <w:pStyle w:val="13"/>
        <w:jc w:val="center"/>
        <w:rPr>
          <w:rFonts w:hint="eastAsia" w:ascii="仿宋_GB2312" w:hAnsi="仿宋_GB2312" w:eastAsia="仿宋_GB2312" w:cs="仿宋_GB2312"/>
          <w:color w:val="000000"/>
          <w:sz w:val="24"/>
          <w:szCs w:val="24"/>
          <w:highlight w:val="none"/>
        </w:rPr>
      </w:pPr>
      <w:bookmarkStart w:id="226" w:name="_Toc1431"/>
      <w:bookmarkStart w:id="227" w:name="_Toc20999"/>
      <w:bookmarkStart w:id="228" w:name="_Toc57"/>
      <w:bookmarkStart w:id="229" w:name="_Toc417050670"/>
      <w:bookmarkStart w:id="230" w:name="_Toc26608"/>
      <w:r>
        <w:rPr>
          <w:rFonts w:hint="eastAsia" w:ascii="仿宋_GB2312" w:hAnsi="仿宋_GB2312" w:eastAsia="仿宋_GB2312" w:cs="仿宋_GB2312"/>
          <w:color w:val="000000"/>
          <w:sz w:val="24"/>
          <w:szCs w:val="24"/>
          <w:highlight w:val="none"/>
        </w:rPr>
        <w:t>（三）报价技术服务方案</w:t>
      </w:r>
      <w:bookmarkEnd w:id="226"/>
      <w:bookmarkEnd w:id="227"/>
      <w:bookmarkEnd w:id="228"/>
      <w:bookmarkEnd w:id="229"/>
      <w:bookmarkEnd w:id="230"/>
    </w:p>
    <w:p>
      <w:pPr>
        <w:pStyle w:val="13"/>
        <w:jc w:val="left"/>
        <w:rPr>
          <w:rFonts w:hint="eastAsia" w:ascii="仿宋_GB2312" w:hAnsi="仿宋_GB2312" w:eastAsia="仿宋_GB2312" w:cs="仿宋_GB2312"/>
          <w:color w:val="000000"/>
          <w:sz w:val="24"/>
          <w:szCs w:val="24"/>
          <w:highlight w:val="none"/>
        </w:rPr>
      </w:pPr>
      <w:bookmarkStart w:id="231" w:name="_Toc416422218"/>
      <w:bookmarkStart w:id="232" w:name="_Toc415822942"/>
      <w:bookmarkStart w:id="233" w:name="_Toc32270"/>
      <w:bookmarkStart w:id="234" w:name="_Toc24290"/>
      <w:bookmarkStart w:id="235" w:name="_Toc3789"/>
      <w:bookmarkStart w:id="236" w:name="_Toc2593"/>
      <w:r>
        <w:rPr>
          <w:rFonts w:hint="eastAsia" w:ascii="仿宋_GB2312" w:hAnsi="仿宋_GB2312" w:eastAsia="仿宋_GB2312" w:cs="仿宋_GB2312"/>
          <w:color w:val="000000"/>
          <w:sz w:val="24"/>
          <w:szCs w:val="24"/>
          <w:highlight w:val="none"/>
        </w:rPr>
        <w:t>1.</w:t>
      </w:r>
      <w:bookmarkEnd w:id="231"/>
      <w:bookmarkEnd w:id="232"/>
      <w:r>
        <w:rPr>
          <w:rFonts w:hint="eastAsia" w:ascii="仿宋_GB2312" w:hAnsi="仿宋_GB2312" w:eastAsia="仿宋_GB2312" w:cs="仿宋_GB2312"/>
          <w:color w:val="000000"/>
          <w:sz w:val="24"/>
          <w:szCs w:val="24"/>
          <w:highlight w:val="none"/>
        </w:rPr>
        <w:t xml:space="preserve"> 询价说明</w:t>
      </w:r>
      <w:bookmarkEnd w:id="233"/>
      <w:bookmarkEnd w:id="234"/>
      <w:bookmarkEnd w:id="235"/>
      <w:bookmarkEnd w:id="236"/>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供应商应按照用户需求书的要求，详细列出谈判货物的各项技术要求、技术措施或处理，并提供相关货物的实物图片及产品彩页或者说明书。</w:t>
      </w:r>
    </w:p>
    <w:p>
      <w:pPr>
        <w:keepNext w:val="0"/>
        <w:keepLines w:val="0"/>
        <w:pageBreakBefore w:val="0"/>
        <w:widowControl w:val="0"/>
        <w:kinsoku/>
        <w:wordWrap/>
        <w:overflowPunct/>
        <w:topLinePunct w:val="0"/>
        <w:autoSpaceDE/>
        <w:autoSpaceDN/>
        <w:bidi w:val="0"/>
        <w:adjustRightInd/>
        <w:snapToGrid/>
        <w:spacing w:line="500" w:lineRule="exact"/>
        <w:ind w:firstLine="417" w:firstLineChars="174"/>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1.货物技术规格及性能：</w:t>
      </w:r>
    </w:p>
    <w:p>
      <w:pPr>
        <w:keepNext w:val="0"/>
        <w:keepLines w:val="0"/>
        <w:pageBreakBefore w:val="0"/>
        <w:widowControl w:val="0"/>
        <w:kinsoku/>
        <w:wordWrap/>
        <w:overflowPunct/>
        <w:topLinePunct w:val="0"/>
        <w:autoSpaceDE/>
        <w:autoSpaceDN/>
        <w:bidi w:val="0"/>
        <w:adjustRightInd/>
        <w:snapToGrid/>
        <w:spacing w:line="500" w:lineRule="exact"/>
        <w:ind w:firstLine="417" w:firstLineChars="174"/>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17" w:firstLineChars="174"/>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2.产品用材：</w:t>
      </w:r>
    </w:p>
    <w:p>
      <w:pPr>
        <w:keepNext w:val="0"/>
        <w:keepLines w:val="0"/>
        <w:pageBreakBefore w:val="0"/>
        <w:widowControl w:val="0"/>
        <w:kinsoku/>
        <w:wordWrap/>
        <w:overflowPunct/>
        <w:topLinePunct w:val="0"/>
        <w:autoSpaceDE/>
        <w:autoSpaceDN/>
        <w:bidi w:val="0"/>
        <w:adjustRightInd/>
        <w:snapToGrid/>
        <w:spacing w:line="500" w:lineRule="exact"/>
        <w:ind w:firstLine="417" w:firstLineChars="174"/>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17" w:firstLineChars="174"/>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3.防护措施：</w:t>
      </w:r>
    </w:p>
    <w:p>
      <w:pPr>
        <w:keepNext w:val="0"/>
        <w:keepLines w:val="0"/>
        <w:pageBreakBefore w:val="0"/>
        <w:widowControl w:val="0"/>
        <w:kinsoku/>
        <w:wordWrap/>
        <w:overflowPunct/>
        <w:topLinePunct w:val="0"/>
        <w:autoSpaceDE/>
        <w:autoSpaceDN/>
        <w:bidi w:val="0"/>
        <w:adjustRightInd/>
        <w:snapToGrid/>
        <w:spacing w:line="500" w:lineRule="exact"/>
        <w:ind w:firstLine="417" w:firstLineChars="174"/>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w:t>
      </w:r>
    </w:p>
    <w:p>
      <w:pPr>
        <w:pStyle w:val="7"/>
        <w:keepNext w:val="0"/>
        <w:keepLines w:val="0"/>
        <w:pageBreakBefore w:val="0"/>
        <w:widowControl w:val="0"/>
        <w:kinsoku/>
        <w:wordWrap/>
        <w:overflowPunct/>
        <w:topLinePunct w:val="0"/>
        <w:autoSpaceDE/>
        <w:autoSpaceDN/>
        <w:bidi w:val="0"/>
        <w:adjustRightInd/>
        <w:snapToGrid/>
        <w:spacing w:line="500" w:lineRule="exact"/>
        <w:ind w:firstLine="405" w:firstLineChars="169"/>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此外，供应商还应对所谈判货物其制造商的加工、检测能力进行描述。</w:t>
      </w:r>
    </w:p>
    <w:p>
      <w:pPr>
        <w:spacing w:line="520" w:lineRule="exact"/>
        <w:rPr>
          <w:rFonts w:hint="eastAsia" w:ascii="仿宋_GB2312" w:hAnsi="仿宋_GB2312" w:eastAsia="仿宋_GB2312" w:cs="仿宋_GB2312"/>
          <w:color w:val="000000"/>
          <w:sz w:val="24"/>
          <w:szCs w:val="24"/>
          <w:highlight w:val="none"/>
        </w:rPr>
      </w:pPr>
    </w:p>
    <w:p>
      <w:pPr>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货物配置一览表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457"/>
        <w:gridCol w:w="900"/>
        <w:gridCol w:w="1722"/>
        <w:gridCol w:w="223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91" w:type="dxa"/>
            <w:noWrap w:val="0"/>
            <w:vAlign w:val="center"/>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序号</w:t>
            </w:r>
          </w:p>
        </w:tc>
        <w:tc>
          <w:tcPr>
            <w:tcW w:w="1457" w:type="dxa"/>
            <w:noWrap w:val="0"/>
            <w:vAlign w:val="center"/>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货物名称</w:t>
            </w:r>
          </w:p>
        </w:tc>
        <w:tc>
          <w:tcPr>
            <w:tcW w:w="900" w:type="dxa"/>
            <w:noWrap w:val="0"/>
            <w:vAlign w:val="center"/>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数量</w:t>
            </w:r>
          </w:p>
        </w:tc>
        <w:tc>
          <w:tcPr>
            <w:tcW w:w="1722" w:type="dxa"/>
            <w:noWrap w:val="0"/>
            <w:vAlign w:val="center"/>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品牌型号规格</w:t>
            </w:r>
          </w:p>
        </w:tc>
        <w:tc>
          <w:tcPr>
            <w:tcW w:w="2238" w:type="dxa"/>
            <w:noWrap w:val="0"/>
            <w:vAlign w:val="center"/>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性能及技术参数</w:t>
            </w:r>
          </w:p>
        </w:tc>
        <w:tc>
          <w:tcPr>
            <w:tcW w:w="1440" w:type="dxa"/>
            <w:noWrap w:val="0"/>
            <w:vAlign w:val="center"/>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noWrap w:val="0"/>
            <w:vAlign w:val="top"/>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w:t>
            </w:r>
          </w:p>
        </w:tc>
        <w:tc>
          <w:tcPr>
            <w:tcW w:w="1457" w:type="dxa"/>
            <w:noWrap w:val="0"/>
            <w:vAlign w:val="top"/>
          </w:tcPr>
          <w:p>
            <w:pPr>
              <w:rPr>
                <w:rFonts w:hint="eastAsia" w:ascii="仿宋_GB2312" w:hAnsi="仿宋_GB2312" w:eastAsia="仿宋_GB2312" w:cs="仿宋_GB2312"/>
                <w:color w:val="000000"/>
                <w:sz w:val="24"/>
                <w:szCs w:val="24"/>
                <w:highlight w:val="none"/>
              </w:rPr>
            </w:pPr>
          </w:p>
        </w:tc>
        <w:tc>
          <w:tcPr>
            <w:tcW w:w="900" w:type="dxa"/>
            <w:noWrap w:val="0"/>
            <w:vAlign w:val="top"/>
          </w:tcPr>
          <w:p>
            <w:pPr>
              <w:rPr>
                <w:rFonts w:hint="eastAsia" w:ascii="仿宋_GB2312" w:hAnsi="仿宋_GB2312" w:eastAsia="仿宋_GB2312" w:cs="仿宋_GB2312"/>
                <w:color w:val="000000"/>
                <w:sz w:val="24"/>
                <w:szCs w:val="24"/>
                <w:highlight w:val="none"/>
              </w:rPr>
            </w:pPr>
          </w:p>
        </w:tc>
        <w:tc>
          <w:tcPr>
            <w:tcW w:w="1722" w:type="dxa"/>
            <w:noWrap w:val="0"/>
            <w:vAlign w:val="top"/>
          </w:tcPr>
          <w:p>
            <w:pPr>
              <w:rPr>
                <w:rFonts w:hint="eastAsia" w:ascii="仿宋_GB2312" w:hAnsi="仿宋_GB2312" w:eastAsia="仿宋_GB2312" w:cs="仿宋_GB2312"/>
                <w:color w:val="000000"/>
                <w:sz w:val="24"/>
                <w:szCs w:val="24"/>
                <w:highlight w:val="none"/>
              </w:rPr>
            </w:pPr>
          </w:p>
        </w:tc>
        <w:tc>
          <w:tcPr>
            <w:tcW w:w="2238" w:type="dxa"/>
            <w:noWrap w:val="0"/>
            <w:vAlign w:val="top"/>
          </w:tcPr>
          <w:p>
            <w:pPr>
              <w:rPr>
                <w:rFonts w:hint="eastAsia" w:ascii="仿宋_GB2312" w:hAnsi="仿宋_GB2312" w:eastAsia="仿宋_GB2312" w:cs="仿宋_GB2312"/>
                <w:color w:val="000000"/>
                <w:sz w:val="24"/>
                <w:szCs w:val="24"/>
                <w:highlight w:val="none"/>
              </w:rPr>
            </w:pPr>
          </w:p>
        </w:tc>
        <w:tc>
          <w:tcPr>
            <w:tcW w:w="1440" w:type="dxa"/>
            <w:noWrap w:val="0"/>
            <w:vAlign w:val="top"/>
          </w:tcPr>
          <w:p>
            <w:pP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noWrap w:val="0"/>
            <w:vAlign w:val="top"/>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w:t>
            </w:r>
          </w:p>
        </w:tc>
        <w:tc>
          <w:tcPr>
            <w:tcW w:w="1457" w:type="dxa"/>
            <w:noWrap w:val="0"/>
            <w:vAlign w:val="top"/>
          </w:tcPr>
          <w:p>
            <w:pPr>
              <w:rPr>
                <w:rFonts w:hint="eastAsia" w:ascii="仿宋_GB2312" w:hAnsi="仿宋_GB2312" w:eastAsia="仿宋_GB2312" w:cs="仿宋_GB2312"/>
                <w:color w:val="000000"/>
                <w:sz w:val="24"/>
                <w:szCs w:val="24"/>
                <w:highlight w:val="none"/>
              </w:rPr>
            </w:pPr>
          </w:p>
        </w:tc>
        <w:tc>
          <w:tcPr>
            <w:tcW w:w="900" w:type="dxa"/>
            <w:noWrap w:val="0"/>
            <w:vAlign w:val="top"/>
          </w:tcPr>
          <w:p>
            <w:pPr>
              <w:rPr>
                <w:rFonts w:hint="eastAsia" w:ascii="仿宋_GB2312" w:hAnsi="仿宋_GB2312" w:eastAsia="仿宋_GB2312" w:cs="仿宋_GB2312"/>
                <w:color w:val="000000"/>
                <w:sz w:val="24"/>
                <w:szCs w:val="24"/>
                <w:highlight w:val="none"/>
              </w:rPr>
            </w:pPr>
          </w:p>
        </w:tc>
        <w:tc>
          <w:tcPr>
            <w:tcW w:w="1722" w:type="dxa"/>
            <w:noWrap w:val="0"/>
            <w:vAlign w:val="top"/>
          </w:tcPr>
          <w:p>
            <w:pPr>
              <w:rPr>
                <w:rFonts w:hint="eastAsia" w:ascii="仿宋_GB2312" w:hAnsi="仿宋_GB2312" w:eastAsia="仿宋_GB2312" w:cs="仿宋_GB2312"/>
                <w:color w:val="000000"/>
                <w:sz w:val="24"/>
                <w:szCs w:val="24"/>
                <w:highlight w:val="none"/>
              </w:rPr>
            </w:pPr>
          </w:p>
        </w:tc>
        <w:tc>
          <w:tcPr>
            <w:tcW w:w="2238" w:type="dxa"/>
            <w:noWrap w:val="0"/>
            <w:vAlign w:val="top"/>
          </w:tcPr>
          <w:p>
            <w:pPr>
              <w:rPr>
                <w:rFonts w:hint="eastAsia" w:ascii="仿宋_GB2312" w:hAnsi="仿宋_GB2312" w:eastAsia="仿宋_GB2312" w:cs="仿宋_GB2312"/>
                <w:color w:val="000000"/>
                <w:sz w:val="24"/>
                <w:szCs w:val="24"/>
                <w:highlight w:val="none"/>
              </w:rPr>
            </w:pPr>
          </w:p>
        </w:tc>
        <w:tc>
          <w:tcPr>
            <w:tcW w:w="1440" w:type="dxa"/>
            <w:noWrap w:val="0"/>
            <w:vAlign w:val="top"/>
          </w:tcPr>
          <w:p>
            <w:pP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noWrap w:val="0"/>
            <w:vAlign w:val="top"/>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w:t>
            </w:r>
          </w:p>
        </w:tc>
        <w:tc>
          <w:tcPr>
            <w:tcW w:w="1457" w:type="dxa"/>
            <w:noWrap w:val="0"/>
            <w:vAlign w:val="top"/>
          </w:tcPr>
          <w:p>
            <w:pPr>
              <w:rPr>
                <w:rFonts w:hint="eastAsia" w:ascii="仿宋_GB2312" w:hAnsi="仿宋_GB2312" w:eastAsia="仿宋_GB2312" w:cs="仿宋_GB2312"/>
                <w:color w:val="000000"/>
                <w:sz w:val="24"/>
                <w:szCs w:val="24"/>
                <w:highlight w:val="none"/>
              </w:rPr>
            </w:pPr>
          </w:p>
        </w:tc>
        <w:tc>
          <w:tcPr>
            <w:tcW w:w="900" w:type="dxa"/>
            <w:noWrap w:val="0"/>
            <w:vAlign w:val="top"/>
          </w:tcPr>
          <w:p>
            <w:pPr>
              <w:rPr>
                <w:rFonts w:hint="eastAsia" w:ascii="仿宋_GB2312" w:hAnsi="仿宋_GB2312" w:eastAsia="仿宋_GB2312" w:cs="仿宋_GB2312"/>
                <w:color w:val="000000"/>
                <w:sz w:val="24"/>
                <w:szCs w:val="24"/>
                <w:highlight w:val="none"/>
              </w:rPr>
            </w:pPr>
          </w:p>
        </w:tc>
        <w:tc>
          <w:tcPr>
            <w:tcW w:w="1722" w:type="dxa"/>
            <w:noWrap w:val="0"/>
            <w:vAlign w:val="top"/>
          </w:tcPr>
          <w:p>
            <w:pPr>
              <w:rPr>
                <w:rFonts w:hint="eastAsia" w:ascii="仿宋_GB2312" w:hAnsi="仿宋_GB2312" w:eastAsia="仿宋_GB2312" w:cs="仿宋_GB2312"/>
                <w:color w:val="000000"/>
                <w:sz w:val="24"/>
                <w:szCs w:val="24"/>
                <w:highlight w:val="none"/>
              </w:rPr>
            </w:pPr>
          </w:p>
        </w:tc>
        <w:tc>
          <w:tcPr>
            <w:tcW w:w="2238" w:type="dxa"/>
            <w:noWrap w:val="0"/>
            <w:vAlign w:val="top"/>
          </w:tcPr>
          <w:p>
            <w:pPr>
              <w:rPr>
                <w:rFonts w:hint="eastAsia" w:ascii="仿宋_GB2312" w:hAnsi="仿宋_GB2312" w:eastAsia="仿宋_GB2312" w:cs="仿宋_GB2312"/>
                <w:color w:val="000000"/>
                <w:sz w:val="24"/>
                <w:szCs w:val="24"/>
                <w:highlight w:val="none"/>
              </w:rPr>
            </w:pPr>
          </w:p>
        </w:tc>
        <w:tc>
          <w:tcPr>
            <w:tcW w:w="1440" w:type="dxa"/>
            <w:noWrap w:val="0"/>
            <w:vAlign w:val="top"/>
          </w:tcPr>
          <w:p>
            <w:pP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noWrap w:val="0"/>
            <w:vAlign w:val="top"/>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w:t>
            </w:r>
          </w:p>
        </w:tc>
        <w:tc>
          <w:tcPr>
            <w:tcW w:w="1457" w:type="dxa"/>
            <w:noWrap w:val="0"/>
            <w:vAlign w:val="top"/>
          </w:tcPr>
          <w:p>
            <w:pPr>
              <w:rPr>
                <w:rFonts w:hint="eastAsia" w:ascii="仿宋_GB2312" w:hAnsi="仿宋_GB2312" w:eastAsia="仿宋_GB2312" w:cs="仿宋_GB2312"/>
                <w:color w:val="000000"/>
                <w:sz w:val="24"/>
                <w:szCs w:val="24"/>
                <w:highlight w:val="none"/>
              </w:rPr>
            </w:pPr>
          </w:p>
        </w:tc>
        <w:tc>
          <w:tcPr>
            <w:tcW w:w="900" w:type="dxa"/>
            <w:noWrap w:val="0"/>
            <w:vAlign w:val="top"/>
          </w:tcPr>
          <w:p>
            <w:pPr>
              <w:rPr>
                <w:rFonts w:hint="eastAsia" w:ascii="仿宋_GB2312" w:hAnsi="仿宋_GB2312" w:eastAsia="仿宋_GB2312" w:cs="仿宋_GB2312"/>
                <w:color w:val="000000"/>
                <w:sz w:val="24"/>
                <w:szCs w:val="24"/>
                <w:highlight w:val="none"/>
              </w:rPr>
            </w:pPr>
          </w:p>
        </w:tc>
        <w:tc>
          <w:tcPr>
            <w:tcW w:w="1722" w:type="dxa"/>
            <w:noWrap w:val="0"/>
            <w:vAlign w:val="top"/>
          </w:tcPr>
          <w:p>
            <w:pPr>
              <w:rPr>
                <w:rFonts w:hint="eastAsia" w:ascii="仿宋_GB2312" w:hAnsi="仿宋_GB2312" w:eastAsia="仿宋_GB2312" w:cs="仿宋_GB2312"/>
                <w:color w:val="000000"/>
                <w:sz w:val="24"/>
                <w:szCs w:val="24"/>
                <w:highlight w:val="none"/>
              </w:rPr>
            </w:pPr>
          </w:p>
        </w:tc>
        <w:tc>
          <w:tcPr>
            <w:tcW w:w="2238" w:type="dxa"/>
            <w:noWrap w:val="0"/>
            <w:vAlign w:val="top"/>
          </w:tcPr>
          <w:p>
            <w:pPr>
              <w:rPr>
                <w:rFonts w:hint="eastAsia" w:ascii="仿宋_GB2312" w:hAnsi="仿宋_GB2312" w:eastAsia="仿宋_GB2312" w:cs="仿宋_GB2312"/>
                <w:color w:val="000000"/>
                <w:sz w:val="24"/>
                <w:szCs w:val="24"/>
                <w:highlight w:val="none"/>
              </w:rPr>
            </w:pPr>
          </w:p>
        </w:tc>
        <w:tc>
          <w:tcPr>
            <w:tcW w:w="1440" w:type="dxa"/>
            <w:noWrap w:val="0"/>
            <w:vAlign w:val="top"/>
          </w:tcPr>
          <w:p>
            <w:pP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noWrap w:val="0"/>
            <w:vAlign w:val="top"/>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w:t>
            </w:r>
          </w:p>
        </w:tc>
        <w:tc>
          <w:tcPr>
            <w:tcW w:w="1457" w:type="dxa"/>
            <w:noWrap w:val="0"/>
            <w:vAlign w:val="top"/>
          </w:tcPr>
          <w:p>
            <w:pPr>
              <w:rPr>
                <w:rFonts w:hint="eastAsia" w:ascii="仿宋_GB2312" w:hAnsi="仿宋_GB2312" w:eastAsia="仿宋_GB2312" w:cs="仿宋_GB2312"/>
                <w:color w:val="000000"/>
                <w:sz w:val="24"/>
                <w:szCs w:val="24"/>
                <w:highlight w:val="none"/>
              </w:rPr>
            </w:pPr>
          </w:p>
        </w:tc>
        <w:tc>
          <w:tcPr>
            <w:tcW w:w="900" w:type="dxa"/>
            <w:noWrap w:val="0"/>
            <w:vAlign w:val="top"/>
          </w:tcPr>
          <w:p>
            <w:pPr>
              <w:rPr>
                <w:rFonts w:hint="eastAsia" w:ascii="仿宋_GB2312" w:hAnsi="仿宋_GB2312" w:eastAsia="仿宋_GB2312" w:cs="仿宋_GB2312"/>
                <w:color w:val="000000"/>
                <w:sz w:val="24"/>
                <w:szCs w:val="24"/>
                <w:highlight w:val="none"/>
              </w:rPr>
            </w:pPr>
          </w:p>
        </w:tc>
        <w:tc>
          <w:tcPr>
            <w:tcW w:w="1722" w:type="dxa"/>
            <w:noWrap w:val="0"/>
            <w:vAlign w:val="top"/>
          </w:tcPr>
          <w:p>
            <w:pPr>
              <w:rPr>
                <w:rFonts w:hint="eastAsia" w:ascii="仿宋_GB2312" w:hAnsi="仿宋_GB2312" w:eastAsia="仿宋_GB2312" w:cs="仿宋_GB2312"/>
                <w:color w:val="000000"/>
                <w:sz w:val="24"/>
                <w:szCs w:val="24"/>
                <w:highlight w:val="none"/>
              </w:rPr>
            </w:pPr>
          </w:p>
        </w:tc>
        <w:tc>
          <w:tcPr>
            <w:tcW w:w="2238" w:type="dxa"/>
            <w:noWrap w:val="0"/>
            <w:vAlign w:val="top"/>
          </w:tcPr>
          <w:p>
            <w:pPr>
              <w:rPr>
                <w:rFonts w:hint="eastAsia" w:ascii="仿宋_GB2312" w:hAnsi="仿宋_GB2312" w:eastAsia="仿宋_GB2312" w:cs="仿宋_GB2312"/>
                <w:color w:val="000000"/>
                <w:sz w:val="24"/>
                <w:szCs w:val="24"/>
                <w:highlight w:val="none"/>
              </w:rPr>
            </w:pPr>
          </w:p>
        </w:tc>
        <w:tc>
          <w:tcPr>
            <w:tcW w:w="1440" w:type="dxa"/>
            <w:noWrap w:val="0"/>
            <w:vAlign w:val="top"/>
          </w:tcPr>
          <w:p>
            <w:pP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noWrap w:val="0"/>
            <w:vAlign w:val="top"/>
          </w:tcPr>
          <w:p>
            <w:pP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w:t>
            </w:r>
          </w:p>
        </w:tc>
        <w:tc>
          <w:tcPr>
            <w:tcW w:w="1457" w:type="dxa"/>
            <w:noWrap w:val="0"/>
            <w:vAlign w:val="top"/>
          </w:tcPr>
          <w:p>
            <w:pPr>
              <w:rPr>
                <w:rFonts w:hint="eastAsia" w:ascii="仿宋_GB2312" w:hAnsi="仿宋_GB2312" w:eastAsia="仿宋_GB2312" w:cs="仿宋_GB2312"/>
                <w:color w:val="000000"/>
                <w:sz w:val="24"/>
                <w:szCs w:val="24"/>
                <w:highlight w:val="none"/>
              </w:rPr>
            </w:pPr>
          </w:p>
        </w:tc>
        <w:tc>
          <w:tcPr>
            <w:tcW w:w="900" w:type="dxa"/>
            <w:noWrap w:val="0"/>
            <w:vAlign w:val="top"/>
          </w:tcPr>
          <w:p>
            <w:pPr>
              <w:rPr>
                <w:rFonts w:hint="eastAsia" w:ascii="仿宋_GB2312" w:hAnsi="仿宋_GB2312" w:eastAsia="仿宋_GB2312" w:cs="仿宋_GB2312"/>
                <w:color w:val="000000"/>
                <w:sz w:val="24"/>
                <w:szCs w:val="24"/>
                <w:highlight w:val="none"/>
              </w:rPr>
            </w:pPr>
          </w:p>
        </w:tc>
        <w:tc>
          <w:tcPr>
            <w:tcW w:w="1722" w:type="dxa"/>
            <w:noWrap w:val="0"/>
            <w:vAlign w:val="top"/>
          </w:tcPr>
          <w:p>
            <w:pPr>
              <w:rPr>
                <w:rFonts w:hint="eastAsia" w:ascii="仿宋_GB2312" w:hAnsi="仿宋_GB2312" w:eastAsia="仿宋_GB2312" w:cs="仿宋_GB2312"/>
                <w:color w:val="000000"/>
                <w:sz w:val="24"/>
                <w:szCs w:val="24"/>
                <w:highlight w:val="none"/>
              </w:rPr>
            </w:pPr>
          </w:p>
        </w:tc>
        <w:tc>
          <w:tcPr>
            <w:tcW w:w="2238" w:type="dxa"/>
            <w:noWrap w:val="0"/>
            <w:vAlign w:val="top"/>
          </w:tcPr>
          <w:p>
            <w:pPr>
              <w:rPr>
                <w:rFonts w:hint="eastAsia" w:ascii="仿宋_GB2312" w:hAnsi="仿宋_GB2312" w:eastAsia="仿宋_GB2312" w:cs="仿宋_GB2312"/>
                <w:color w:val="000000"/>
                <w:sz w:val="24"/>
                <w:szCs w:val="24"/>
                <w:highlight w:val="none"/>
              </w:rPr>
            </w:pPr>
          </w:p>
        </w:tc>
        <w:tc>
          <w:tcPr>
            <w:tcW w:w="1440" w:type="dxa"/>
            <w:noWrap w:val="0"/>
            <w:vAlign w:val="top"/>
          </w:tcPr>
          <w:p>
            <w:pP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noWrap w:val="0"/>
            <w:vAlign w:val="top"/>
          </w:tcPr>
          <w:p>
            <w:pPr>
              <w:rPr>
                <w:rFonts w:hint="eastAsia" w:ascii="仿宋_GB2312" w:hAnsi="仿宋_GB2312" w:eastAsia="仿宋_GB2312" w:cs="仿宋_GB2312"/>
                <w:color w:val="000000"/>
                <w:sz w:val="24"/>
                <w:szCs w:val="24"/>
                <w:highlight w:val="none"/>
              </w:rPr>
            </w:pPr>
          </w:p>
        </w:tc>
        <w:tc>
          <w:tcPr>
            <w:tcW w:w="1457" w:type="dxa"/>
            <w:noWrap w:val="0"/>
            <w:vAlign w:val="top"/>
          </w:tcPr>
          <w:p>
            <w:pPr>
              <w:rPr>
                <w:rFonts w:hint="eastAsia" w:ascii="仿宋_GB2312" w:hAnsi="仿宋_GB2312" w:eastAsia="仿宋_GB2312" w:cs="仿宋_GB2312"/>
                <w:color w:val="000000"/>
                <w:sz w:val="24"/>
                <w:szCs w:val="24"/>
                <w:highlight w:val="none"/>
              </w:rPr>
            </w:pPr>
          </w:p>
        </w:tc>
        <w:tc>
          <w:tcPr>
            <w:tcW w:w="900" w:type="dxa"/>
            <w:noWrap w:val="0"/>
            <w:vAlign w:val="top"/>
          </w:tcPr>
          <w:p>
            <w:pPr>
              <w:rPr>
                <w:rFonts w:hint="eastAsia" w:ascii="仿宋_GB2312" w:hAnsi="仿宋_GB2312" w:eastAsia="仿宋_GB2312" w:cs="仿宋_GB2312"/>
                <w:color w:val="000000"/>
                <w:sz w:val="24"/>
                <w:szCs w:val="24"/>
                <w:highlight w:val="none"/>
              </w:rPr>
            </w:pPr>
          </w:p>
        </w:tc>
        <w:tc>
          <w:tcPr>
            <w:tcW w:w="1722" w:type="dxa"/>
            <w:noWrap w:val="0"/>
            <w:vAlign w:val="top"/>
          </w:tcPr>
          <w:p>
            <w:pPr>
              <w:rPr>
                <w:rFonts w:hint="eastAsia" w:ascii="仿宋_GB2312" w:hAnsi="仿宋_GB2312" w:eastAsia="仿宋_GB2312" w:cs="仿宋_GB2312"/>
                <w:color w:val="000000"/>
                <w:sz w:val="24"/>
                <w:szCs w:val="24"/>
                <w:highlight w:val="none"/>
              </w:rPr>
            </w:pPr>
          </w:p>
        </w:tc>
        <w:tc>
          <w:tcPr>
            <w:tcW w:w="2238" w:type="dxa"/>
            <w:noWrap w:val="0"/>
            <w:vAlign w:val="top"/>
          </w:tcPr>
          <w:p>
            <w:pPr>
              <w:rPr>
                <w:rFonts w:hint="eastAsia" w:ascii="仿宋_GB2312" w:hAnsi="仿宋_GB2312" w:eastAsia="仿宋_GB2312" w:cs="仿宋_GB2312"/>
                <w:color w:val="000000"/>
                <w:sz w:val="24"/>
                <w:szCs w:val="24"/>
                <w:highlight w:val="none"/>
              </w:rPr>
            </w:pPr>
          </w:p>
        </w:tc>
        <w:tc>
          <w:tcPr>
            <w:tcW w:w="1440" w:type="dxa"/>
            <w:noWrap w:val="0"/>
            <w:vAlign w:val="top"/>
          </w:tcPr>
          <w:p>
            <w:pPr>
              <w:rPr>
                <w:rFonts w:hint="eastAsia" w:ascii="仿宋_GB2312" w:hAnsi="仿宋_GB2312" w:eastAsia="仿宋_GB2312" w:cs="仿宋_GB2312"/>
                <w:color w:val="000000"/>
                <w:sz w:val="24"/>
                <w:szCs w:val="24"/>
                <w:highlight w:val="none"/>
              </w:rPr>
            </w:pPr>
          </w:p>
        </w:tc>
      </w:tr>
    </w:tbl>
    <w:p>
      <w:pPr>
        <w:rPr>
          <w:rFonts w:hint="eastAsia" w:ascii="仿宋_GB2312" w:hAnsi="仿宋_GB2312" w:eastAsia="仿宋_GB2312" w:cs="仿宋_GB2312"/>
          <w:color w:val="000000"/>
          <w:sz w:val="24"/>
          <w:szCs w:val="24"/>
          <w:highlight w:val="none"/>
        </w:rPr>
      </w:pPr>
    </w:p>
    <w:p>
      <w:pPr>
        <w:pStyle w:val="13"/>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color w:val="000000"/>
          <w:sz w:val="24"/>
          <w:szCs w:val="24"/>
          <w:highlight w:val="none"/>
        </w:rPr>
      </w:pPr>
      <w:bookmarkStart w:id="237" w:name="_Toc32219"/>
      <w:bookmarkStart w:id="238" w:name="_Toc417050671"/>
      <w:bookmarkStart w:id="239" w:name="_Toc16530"/>
      <w:bookmarkStart w:id="240" w:name="_Toc11424"/>
      <w:bookmarkStart w:id="241" w:name="_Toc13397"/>
      <w:r>
        <w:rPr>
          <w:rFonts w:hint="eastAsia" w:ascii="仿宋_GB2312" w:hAnsi="仿宋_GB2312" w:eastAsia="仿宋_GB2312" w:cs="仿宋_GB2312"/>
          <w:color w:val="000000"/>
          <w:sz w:val="24"/>
          <w:szCs w:val="24"/>
          <w:highlight w:val="none"/>
        </w:rPr>
        <w:t>（四）技术差异表</w:t>
      </w:r>
      <w:bookmarkEnd w:id="237"/>
      <w:bookmarkEnd w:id="238"/>
      <w:bookmarkEnd w:id="239"/>
      <w:bookmarkEnd w:id="240"/>
      <w:bookmarkEnd w:id="241"/>
    </w:p>
    <w:p>
      <w:pPr>
        <w:pStyle w:val="7"/>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供应商应按照询价通知书要求，对用户需求书的内容作出全面响应。对响应有差异的，则在差异表中写明实际响应的具体内容。不论出于何种原因此表未填写，供应商都被认为已清楚了解询价通知书要求并对询价通知书所需的服务的技术参数作全面响应，供应商必须承担完成用户需求所描述的内容的义务。</w:t>
      </w:r>
    </w:p>
    <w:p>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技术差异表</w:t>
      </w:r>
    </w:p>
    <w:tbl>
      <w:tblPr>
        <w:tblStyle w:val="9"/>
        <w:tblW w:w="0" w:type="auto"/>
        <w:tblInd w:w="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128"/>
        <w:gridCol w:w="2418"/>
        <w:gridCol w:w="1128"/>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740" w:type="dxa"/>
            <w:vMerge w:val="restart"/>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序号</w:t>
            </w:r>
          </w:p>
        </w:tc>
        <w:tc>
          <w:tcPr>
            <w:tcW w:w="3546" w:type="dxa"/>
            <w:gridSpan w:val="2"/>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询价通知书要求</w:t>
            </w:r>
          </w:p>
        </w:tc>
        <w:tc>
          <w:tcPr>
            <w:tcW w:w="3826" w:type="dxa"/>
            <w:gridSpan w:val="2"/>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响应文件内容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740" w:type="dxa"/>
            <w:vMerge w:val="continue"/>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highlight w:val="none"/>
              </w:rPr>
            </w:pPr>
          </w:p>
        </w:tc>
        <w:tc>
          <w:tcPr>
            <w:tcW w:w="1128" w:type="dxa"/>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条款号</w:t>
            </w:r>
          </w:p>
        </w:tc>
        <w:tc>
          <w:tcPr>
            <w:tcW w:w="2418" w:type="dxa"/>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简要内容</w:t>
            </w:r>
          </w:p>
        </w:tc>
        <w:tc>
          <w:tcPr>
            <w:tcW w:w="1128" w:type="dxa"/>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条款号</w:t>
            </w:r>
          </w:p>
        </w:tc>
        <w:tc>
          <w:tcPr>
            <w:tcW w:w="2698" w:type="dxa"/>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实质响应的具体内容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40"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tc>
        <w:tc>
          <w:tcPr>
            <w:tcW w:w="1128"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tc>
        <w:tc>
          <w:tcPr>
            <w:tcW w:w="2418"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tc>
        <w:tc>
          <w:tcPr>
            <w:tcW w:w="1128"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tc>
        <w:tc>
          <w:tcPr>
            <w:tcW w:w="2698"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40"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tc>
        <w:tc>
          <w:tcPr>
            <w:tcW w:w="1128"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tc>
        <w:tc>
          <w:tcPr>
            <w:tcW w:w="2418"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tc>
        <w:tc>
          <w:tcPr>
            <w:tcW w:w="1128"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tc>
        <w:tc>
          <w:tcPr>
            <w:tcW w:w="2698"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40"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tc>
        <w:tc>
          <w:tcPr>
            <w:tcW w:w="1128"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tc>
        <w:tc>
          <w:tcPr>
            <w:tcW w:w="2418"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tc>
        <w:tc>
          <w:tcPr>
            <w:tcW w:w="1128"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tc>
        <w:tc>
          <w:tcPr>
            <w:tcW w:w="2698"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740"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tc>
        <w:tc>
          <w:tcPr>
            <w:tcW w:w="1128"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tc>
        <w:tc>
          <w:tcPr>
            <w:tcW w:w="2418"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tc>
        <w:tc>
          <w:tcPr>
            <w:tcW w:w="1128"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tc>
        <w:tc>
          <w:tcPr>
            <w:tcW w:w="2698"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740"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tc>
        <w:tc>
          <w:tcPr>
            <w:tcW w:w="1128"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tc>
        <w:tc>
          <w:tcPr>
            <w:tcW w:w="2418"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tc>
        <w:tc>
          <w:tcPr>
            <w:tcW w:w="1128"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tc>
        <w:tc>
          <w:tcPr>
            <w:tcW w:w="2698"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740"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tc>
        <w:tc>
          <w:tcPr>
            <w:tcW w:w="1128"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tc>
        <w:tc>
          <w:tcPr>
            <w:tcW w:w="2418"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tc>
        <w:tc>
          <w:tcPr>
            <w:tcW w:w="1128"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tc>
        <w:tc>
          <w:tcPr>
            <w:tcW w:w="2698" w:type="dxa"/>
            <w:noWrap w:val="0"/>
            <w:vAlign w:val="top"/>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highlight w:val="none"/>
              </w:rPr>
            </w:pPr>
          </w:p>
        </w:tc>
      </w:tr>
    </w:tbl>
    <w:p>
      <w:pPr>
        <w:pStyle w:val="13"/>
        <w:ind w:firstLine="549"/>
        <w:outlineLvl w:val="9"/>
        <w:rPr>
          <w:rFonts w:hint="eastAsia" w:ascii="仿宋_GB2312" w:hAnsi="仿宋_GB2312" w:eastAsia="仿宋_GB2312" w:cs="仿宋_GB2312"/>
          <w:b w:val="0"/>
          <w:bCs w:val="0"/>
          <w:color w:val="000000"/>
          <w:sz w:val="24"/>
          <w:szCs w:val="24"/>
          <w:highlight w:val="none"/>
        </w:rPr>
      </w:pPr>
      <w:bookmarkStart w:id="242" w:name="_Toc513215273"/>
      <w:bookmarkStart w:id="243" w:name="_Toc417050673"/>
    </w:p>
    <w:p>
      <w:pPr>
        <w:pStyle w:val="13"/>
        <w:ind w:firstLine="54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b w:val="0"/>
          <w:bCs w:val="0"/>
          <w:color w:val="000000"/>
          <w:sz w:val="24"/>
          <w:szCs w:val="24"/>
          <w:highlight w:val="none"/>
        </w:rPr>
        <w:br w:type="page"/>
      </w:r>
      <w:bookmarkStart w:id="244" w:name="_Toc15664"/>
      <w:bookmarkStart w:id="245" w:name="_Toc17213"/>
      <w:bookmarkStart w:id="246" w:name="_Toc3469"/>
      <w:bookmarkStart w:id="247" w:name="_Toc2171"/>
      <w:r>
        <w:rPr>
          <w:rFonts w:hint="eastAsia" w:ascii="仿宋_GB2312" w:hAnsi="仿宋_GB2312" w:eastAsia="仿宋_GB2312" w:cs="仿宋_GB2312"/>
          <w:color w:val="000000"/>
          <w:sz w:val="24"/>
          <w:szCs w:val="24"/>
          <w:highlight w:val="none"/>
        </w:rPr>
        <w:t>（五）拟安排本项目技术服务人员情况表</w:t>
      </w:r>
      <w:bookmarkEnd w:id="242"/>
      <w:bookmarkEnd w:id="244"/>
      <w:bookmarkEnd w:id="245"/>
      <w:bookmarkEnd w:id="246"/>
      <w:bookmarkEnd w:id="247"/>
    </w:p>
    <w:tbl>
      <w:tblPr>
        <w:tblStyle w:val="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8"/>
        <w:gridCol w:w="960"/>
        <w:gridCol w:w="960"/>
        <w:gridCol w:w="1600"/>
        <w:gridCol w:w="1999"/>
        <w:gridCol w:w="2010"/>
        <w:gridCol w:w="7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08" w:type="dxa"/>
            <w:tcBorders>
              <w:top w:val="single" w:color="auto" w:sz="4" w:space="0"/>
              <w:left w:val="single" w:color="auto" w:sz="4" w:space="0"/>
              <w:bottom w:val="single" w:color="auto" w:sz="4" w:space="0"/>
              <w:right w:val="single" w:color="auto" w:sz="4" w:space="0"/>
            </w:tcBorders>
            <w:noWrap w:val="0"/>
            <w:vAlign w:val="center"/>
          </w:tcPr>
          <w:p>
            <w:pPr>
              <w:pStyle w:val="2"/>
              <w:overflowPunct w:val="0"/>
              <w:adjustRightInd w:val="0"/>
              <w:spacing w:line="440" w:lineRule="exact"/>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序号</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2"/>
              <w:overflowPunct w:val="0"/>
              <w:adjustRightInd w:val="0"/>
              <w:spacing w:line="440" w:lineRule="exact"/>
              <w:ind w:firstLine="241"/>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姓名</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2"/>
              <w:overflowPunct w:val="0"/>
              <w:adjustRightInd w:val="0"/>
              <w:spacing w:line="440" w:lineRule="exact"/>
              <w:ind w:firstLine="241"/>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职位</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2"/>
              <w:overflowPunct w:val="0"/>
              <w:adjustRightInd w:val="0"/>
              <w:spacing w:line="440" w:lineRule="exact"/>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持何种    资格证件</w:t>
            </w:r>
          </w:p>
        </w:tc>
        <w:tc>
          <w:tcPr>
            <w:tcW w:w="1999" w:type="dxa"/>
            <w:tcBorders>
              <w:top w:val="single" w:color="auto" w:sz="4" w:space="0"/>
              <w:left w:val="single" w:color="auto" w:sz="4" w:space="0"/>
              <w:bottom w:val="single" w:color="auto" w:sz="4" w:space="0"/>
              <w:right w:val="single" w:color="auto" w:sz="4" w:space="0"/>
            </w:tcBorders>
            <w:noWrap w:val="0"/>
            <w:vAlign w:val="center"/>
          </w:tcPr>
          <w:p>
            <w:pPr>
              <w:pStyle w:val="2"/>
              <w:overflowPunct w:val="0"/>
              <w:adjustRightInd w:val="0"/>
              <w:spacing w:line="440" w:lineRule="exact"/>
              <w:jc w:val="both"/>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发证时间及部门</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2"/>
              <w:overflowPunct w:val="0"/>
              <w:adjustRightInd w:val="0"/>
              <w:spacing w:line="440" w:lineRule="exact"/>
              <w:jc w:val="both"/>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从事本工作时间</w:t>
            </w:r>
          </w:p>
        </w:tc>
        <w:tc>
          <w:tcPr>
            <w:tcW w:w="780" w:type="dxa"/>
            <w:tcBorders>
              <w:top w:val="single" w:color="auto" w:sz="4" w:space="0"/>
              <w:left w:val="single" w:color="auto" w:sz="4" w:space="0"/>
              <w:bottom w:val="single" w:color="auto" w:sz="4" w:space="0"/>
              <w:right w:val="single" w:color="auto" w:sz="4" w:space="0"/>
            </w:tcBorders>
            <w:noWrap w:val="0"/>
            <w:vAlign w:val="center"/>
          </w:tcPr>
          <w:p>
            <w:pPr>
              <w:pStyle w:val="2"/>
              <w:overflowPunct w:val="0"/>
              <w:adjustRightInd w:val="0"/>
              <w:spacing w:line="440" w:lineRule="exact"/>
              <w:jc w:val="both"/>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08"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jc w:val="both"/>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w:t>
            </w: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1999"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08"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jc w:val="both"/>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w:t>
            </w: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1999"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08"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jc w:val="both"/>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w:t>
            </w: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1999"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08"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jc w:val="both"/>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w:t>
            </w: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1999"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08"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jc w:val="both"/>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5</w:t>
            </w: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1999"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08"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jc w:val="both"/>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6</w:t>
            </w: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1999"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08"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jc w:val="both"/>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7</w:t>
            </w: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1999"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08"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jc w:val="both"/>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8</w:t>
            </w: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1999"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08"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jc w:val="both"/>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9</w:t>
            </w: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1999"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08"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jc w:val="both"/>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10</w:t>
            </w: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1999"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pStyle w:val="2"/>
              <w:overflowPunct w:val="0"/>
              <w:adjustRightInd w:val="0"/>
              <w:spacing w:line="540" w:lineRule="exact"/>
              <w:ind w:firstLine="241"/>
              <w:rPr>
                <w:rFonts w:hint="eastAsia" w:ascii="仿宋_GB2312" w:hAnsi="仿宋_GB2312" w:eastAsia="仿宋_GB2312" w:cs="仿宋_GB2312"/>
                <w:color w:val="000000"/>
                <w:sz w:val="24"/>
                <w:szCs w:val="24"/>
                <w:highlight w:val="none"/>
                <w:lang w:val="en-US" w:eastAsia="zh-CN"/>
              </w:rPr>
            </w:pPr>
          </w:p>
        </w:tc>
      </w:tr>
    </w:tbl>
    <w:p>
      <w:pPr>
        <w:pStyle w:val="2"/>
        <w:overflowPunct w:val="0"/>
        <w:adjustRightInd w:val="0"/>
        <w:spacing w:line="440" w:lineRule="exact"/>
        <w:ind w:firstLine="281"/>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备注：须填写相关内容。</w:t>
      </w:r>
    </w:p>
    <w:p>
      <w:pPr>
        <w:pStyle w:val="2"/>
        <w:overflowPunct w:val="0"/>
        <w:adjustRightInd w:val="0"/>
        <w:spacing w:line="440" w:lineRule="exact"/>
        <w:ind w:firstLine="281"/>
        <w:jc w:val="left"/>
        <w:rPr>
          <w:rFonts w:hint="eastAsia" w:ascii="仿宋_GB2312" w:hAnsi="仿宋_GB2312" w:eastAsia="仿宋_GB2312" w:cs="仿宋_GB2312"/>
          <w:color w:val="000000"/>
          <w:sz w:val="24"/>
          <w:szCs w:val="24"/>
          <w:highlight w:val="none"/>
        </w:rPr>
      </w:pPr>
    </w:p>
    <w:p>
      <w:pPr>
        <w:spacing w:line="560" w:lineRule="exact"/>
        <w:ind w:firstLine="491" w:firstLineChars="205"/>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单位名称（盖章）：</w:t>
      </w:r>
    </w:p>
    <w:p>
      <w:pPr>
        <w:spacing w:line="560" w:lineRule="exact"/>
        <w:ind w:firstLine="491" w:firstLineChars="205"/>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日  期：</w:t>
      </w:r>
    </w:p>
    <w:p>
      <w:pPr>
        <w:pStyle w:val="2"/>
        <w:overflowPunct w:val="0"/>
        <w:adjustRightInd w:val="0"/>
        <w:spacing w:line="440" w:lineRule="exact"/>
        <w:ind w:firstLine="281"/>
        <w:jc w:val="righ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w:t>
      </w:r>
    </w:p>
    <w:p>
      <w:pPr>
        <w:pStyle w:val="2"/>
        <w:spacing w:after="0" w:line="560" w:lineRule="exact"/>
        <w:ind w:firstLine="491" w:firstLineChars="205"/>
        <w:rPr>
          <w:rFonts w:hint="eastAsia" w:ascii="仿宋_GB2312" w:hAnsi="仿宋_GB2312" w:eastAsia="仿宋_GB2312" w:cs="仿宋_GB2312"/>
          <w:color w:val="000000"/>
          <w:sz w:val="24"/>
          <w:szCs w:val="24"/>
          <w:highlight w:val="none"/>
        </w:rPr>
        <w:sectPr>
          <w:pgSz w:w="11905" w:h="16838"/>
          <w:pgMar w:top="2041" w:right="1531" w:bottom="1712" w:left="1531" w:header="1701" w:footer="1474" w:gutter="0"/>
          <w:paperSrc w:first="15" w:other="15"/>
          <w:pgBorders>
            <w:top w:val="none" w:sz="0" w:space="0"/>
            <w:left w:val="none" w:sz="0" w:space="0"/>
            <w:bottom w:val="none" w:sz="0" w:space="0"/>
            <w:right w:val="none" w:sz="0" w:space="0"/>
          </w:pgBorders>
          <w:cols w:space="720" w:num="1"/>
          <w:rtlGutter w:val="0"/>
          <w:docGrid w:linePitch="523" w:charSpace="0"/>
        </w:sectPr>
      </w:pPr>
    </w:p>
    <w:p>
      <w:pPr>
        <w:pStyle w:val="13"/>
        <w:rPr>
          <w:rFonts w:hint="eastAsia" w:ascii="仿宋_GB2312" w:hAnsi="仿宋_GB2312" w:eastAsia="仿宋_GB2312" w:cs="仿宋_GB2312"/>
          <w:color w:val="000000"/>
          <w:sz w:val="24"/>
          <w:szCs w:val="24"/>
          <w:highlight w:val="none"/>
        </w:rPr>
      </w:pPr>
      <w:bookmarkStart w:id="248" w:name="_Toc2239"/>
      <w:bookmarkStart w:id="249" w:name="_Toc14665"/>
      <w:bookmarkStart w:id="250" w:name="_Toc513215274"/>
      <w:bookmarkStart w:id="251" w:name="_Toc29536"/>
      <w:bookmarkStart w:id="252" w:name="_Toc7147"/>
      <w:r>
        <w:rPr>
          <w:rFonts w:hint="eastAsia" w:ascii="仿宋_GB2312" w:hAnsi="仿宋_GB2312" w:eastAsia="仿宋_GB2312" w:cs="仿宋_GB2312"/>
          <w:color w:val="000000"/>
          <w:sz w:val="24"/>
          <w:szCs w:val="24"/>
          <w:highlight w:val="none"/>
        </w:rPr>
        <w:t>（六）拟投入本项目设备情况表</w:t>
      </w:r>
      <w:bookmarkEnd w:id="248"/>
      <w:bookmarkEnd w:id="249"/>
      <w:bookmarkEnd w:id="250"/>
      <w:bookmarkEnd w:id="251"/>
      <w:bookmarkEnd w:id="252"/>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8"/>
        <w:gridCol w:w="2350"/>
        <w:gridCol w:w="1785"/>
        <w:gridCol w:w="1680"/>
        <w:gridCol w:w="15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pacing w:after="120" w:line="44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序号</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pacing w:after="120" w:line="4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设备名称</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pacing w:after="120" w:line="4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数量</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pacing w:after="120" w:line="4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品牌</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pacing w:after="120" w:line="4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w:t>
            </w:r>
          </w:p>
        </w:tc>
        <w:tc>
          <w:tcPr>
            <w:tcW w:w="2350"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w:t>
            </w:r>
          </w:p>
        </w:tc>
        <w:tc>
          <w:tcPr>
            <w:tcW w:w="2350"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w:t>
            </w:r>
          </w:p>
        </w:tc>
        <w:tc>
          <w:tcPr>
            <w:tcW w:w="2350"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w:t>
            </w:r>
          </w:p>
        </w:tc>
        <w:tc>
          <w:tcPr>
            <w:tcW w:w="2350"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w:t>
            </w:r>
          </w:p>
        </w:tc>
        <w:tc>
          <w:tcPr>
            <w:tcW w:w="2350"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w:t>
            </w:r>
          </w:p>
        </w:tc>
        <w:tc>
          <w:tcPr>
            <w:tcW w:w="2350"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7</w:t>
            </w:r>
          </w:p>
        </w:tc>
        <w:tc>
          <w:tcPr>
            <w:tcW w:w="2350"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8</w:t>
            </w:r>
          </w:p>
        </w:tc>
        <w:tc>
          <w:tcPr>
            <w:tcW w:w="2350"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9</w:t>
            </w:r>
          </w:p>
        </w:tc>
        <w:tc>
          <w:tcPr>
            <w:tcW w:w="2350"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10</w:t>
            </w:r>
          </w:p>
        </w:tc>
        <w:tc>
          <w:tcPr>
            <w:tcW w:w="2350"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pacing w:after="120" w:line="540" w:lineRule="exact"/>
              <w:rPr>
                <w:rFonts w:hint="eastAsia" w:ascii="仿宋_GB2312" w:hAnsi="仿宋_GB2312" w:eastAsia="仿宋_GB2312" w:cs="仿宋_GB2312"/>
                <w:color w:val="000000"/>
                <w:sz w:val="24"/>
                <w:szCs w:val="24"/>
                <w:highlight w:val="none"/>
              </w:rPr>
            </w:pPr>
          </w:p>
        </w:tc>
      </w:tr>
    </w:tbl>
    <w:p>
      <w:pPr>
        <w:pStyle w:val="2"/>
        <w:overflowPunct w:val="0"/>
        <w:adjustRightInd w:val="0"/>
        <w:spacing w:line="440" w:lineRule="exact"/>
        <w:ind w:firstLine="281"/>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备注：须填写相关内容。</w:t>
      </w:r>
    </w:p>
    <w:p>
      <w:pPr>
        <w:pStyle w:val="2"/>
        <w:overflowPunct w:val="0"/>
        <w:adjustRightInd w:val="0"/>
        <w:spacing w:line="440" w:lineRule="exact"/>
        <w:ind w:firstLine="281"/>
        <w:jc w:val="left"/>
        <w:rPr>
          <w:rFonts w:hint="eastAsia" w:ascii="仿宋_GB2312" w:hAnsi="仿宋_GB2312" w:eastAsia="仿宋_GB2312" w:cs="仿宋_GB2312"/>
          <w:color w:val="000000"/>
          <w:sz w:val="24"/>
          <w:szCs w:val="24"/>
          <w:highlight w:val="none"/>
        </w:rPr>
      </w:pPr>
    </w:p>
    <w:p>
      <w:pPr>
        <w:spacing w:line="560" w:lineRule="exact"/>
        <w:ind w:firstLine="491" w:firstLineChars="205"/>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单位名称（盖章）：</w:t>
      </w:r>
    </w:p>
    <w:p>
      <w:pPr>
        <w:pStyle w:val="2"/>
        <w:overflowPunct w:val="0"/>
        <w:adjustRightInd w:val="0"/>
        <w:spacing w:line="440" w:lineRule="exact"/>
        <w:ind w:firstLine="281"/>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日  期：</w:t>
      </w:r>
    </w:p>
    <w:p>
      <w:pPr>
        <w:pStyle w:val="13"/>
        <w:outlineLvl w:val="9"/>
        <w:rPr>
          <w:rFonts w:hint="eastAsia" w:ascii="仿宋_GB2312" w:hAnsi="仿宋_GB2312" w:eastAsia="仿宋_GB2312" w:cs="仿宋_GB2312"/>
          <w:color w:val="000000"/>
          <w:sz w:val="24"/>
          <w:szCs w:val="24"/>
          <w:highlight w:val="none"/>
        </w:rPr>
      </w:pPr>
    </w:p>
    <w:p>
      <w:pPr>
        <w:pStyle w:val="13"/>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br w:type="page"/>
      </w:r>
      <w:bookmarkStart w:id="253" w:name="_Toc14802"/>
      <w:bookmarkStart w:id="254" w:name="_Toc14381"/>
      <w:bookmarkStart w:id="255" w:name="_Toc31312"/>
      <w:bookmarkStart w:id="256" w:name="_Toc25382"/>
      <w:r>
        <w:rPr>
          <w:rFonts w:hint="eastAsia" w:ascii="仿宋_GB2312" w:hAnsi="仿宋_GB2312" w:eastAsia="仿宋_GB2312" w:cs="仿宋_GB2312"/>
          <w:color w:val="000000"/>
          <w:sz w:val="24"/>
          <w:szCs w:val="24"/>
          <w:highlight w:val="none"/>
        </w:rPr>
        <w:t>（七）提交事项</w:t>
      </w:r>
      <w:bookmarkEnd w:id="243"/>
      <w:bookmarkEnd w:id="253"/>
      <w:bookmarkEnd w:id="254"/>
      <w:bookmarkEnd w:id="255"/>
      <w:bookmarkEnd w:id="256"/>
    </w:p>
    <w:p>
      <w:pPr>
        <w:pStyle w:val="14"/>
        <w:ind w:firstLine="417" w:firstLineChars="174"/>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供应商应按照询价通知书要求的提交事项相关内容作出全面响应。包括但不限于以下内容：</w:t>
      </w:r>
    </w:p>
    <w:p>
      <w:pPr>
        <w:pStyle w:val="14"/>
        <w:ind w:firstLine="417" w:firstLineChars="174"/>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1.完成时间/服务期：</w:t>
      </w:r>
    </w:p>
    <w:p>
      <w:pPr>
        <w:pStyle w:val="14"/>
        <w:ind w:firstLine="417" w:firstLineChars="174"/>
        <w:rPr>
          <w:rFonts w:hint="eastAsia" w:ascii="仿宋_GB2312" w:hAnsi="仿宋_GB2312" w:eastAsia="仿宋_GB2312" w:cs="仿宋_GB2312"/>
          <w:color w:val="000000"/>
          <w:sz w:val="24"/>
          <w:szCs w:val="24"/>
          <w:highlight w:val="none"/>
        </w:rPr>
      </w:pPr>
    </w:p>
    <w:p>
      <w:pPr>
        <w:pStyle w:val="14"/>
        <w:ind w:firstLine="417" w:firstLineChars="174"/>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2.服务地点：</w:t>
      </w:r>
    </w:p>
    <w:p>
      <w:pPr>
        <w:pStyle w:val="14"/>
        <w:ind w:firstLine="417" w:firstLineChars="174"/>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w:t>
      </w:r>
    </w:p>
    <w:p>
      <w:pPr>
        <w:pStyle w:val="14"/>
        <w:ind w:firstLine="417" w:firstLineChars="174"/>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3.验收：</w:t>
      </w:r>
    </w:p>
    <w:p>
      <w:pPr>
        <w:spacing w:line="6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（1）验收工作由采购人（或采购人指定的单位）与供应商共同进行。</w:t>
      </w:r>
    </w:p>
    <w:p>
      <w:pPr>
        <w:spacing w:line="6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（2）在验收时，供应商应向采购人提供货物或服务的相关资料，按采购人提出的方式验收。</w:t>
      </w:r>
    </w:p>
    <w:p>
      <w:pPr>
        <w:spacing w:line="600" w:lineRule="exact"/>
        <w:ind w:firstLine="480" w:firstLineChars="200"/>
        <w:rPr>
          <w:rFonts w:hint="eastAsia" w:ascii="仿宋_GB2312" w:hAnsi="仿宋_GB2312" w:eastAsia="仿宋_GB2312" w:cs="仿宋_GB2312"/>
          <w:color w:val="000000"/>
          <w:sz w:val="24"/>
          <w:szCs w:val="24"/>
          <w:highlight w:val="none"/>
          <w:lang w:eastAsia="zh-CN"/>
        </w:rPr>
        <w:sectPr>
          <w:pgSz w:w="11905" w:h="16838"/>
          <w:pgMar w:top="2041" w:right="1531" w:bottom="1712" w:left="1531" w:header="1701" w:footer="1474" w:gutter="0"/>
          <w:pgBorders>
            <w:top w:val="none" w:sz="0" w:space="0"/>
            <w:left w:val="none" w:sz="0" w:space="0"/>
            <w:bottom w:val="none" w:sz="0" w:space="0"/>
            <w:right w:val="none" w:sz="0" w:space="0"/>
          </w:pgBorders>
          <w:cols w:space="720" w:num="1"/>
          <w:rtlGutter w:val="0"/>
          <w:docGrid w:linePitch="312" w:charSpace="0"/>
        </w:sectPr>
      </w:pPr>
      <w:r>
        <w:rPr>
          <w:rFonts w:hint="eastAsia" w:ascii="仿宋_GB2312" w:hAnsi="仿宋_GB2312" w:eastAsia="仿宋_GB2312" w:cs="仿宋_GB2312"/>
          <w:color w:val="000000"/>
          <w:sz w:val="24"/>
          <w:szCs w:val="24"/>
          <w:highlight w:val="none"/>
        </w:rPr>
        <w:t>（3）由采购人对货物或服务的质量、规格和数量及其他进行检验。如发现质量、规格和数量等任何一项与采购要求规定不符，采购人有权拒绝接受</w:t>
      </w:r>
      <w:bookmarkStart w:id="257" w:name="_Toc210188803"/>
      <w:bookmarkStart w:id="258" w:name="_Toc417050674"/>
      <w:bookmarkStart w:id="259" w:name="_Toc88985379"/>
      <w:r>
        <w:rPr>
          <w:rFonts w:hint="eastAsia" w:ascii="仿宋_GB2312" w:hAnsi="仿宋_GB2312" w:eastAsia="仿宋_GB2312" w:cs="仿宋_GB2312"/>
          <w:color w:val="000000"/>
          <w:sz w:val="24"/>
          <w:szCs w:val="24"/>
          <w:highlight w:val="none"/>
          <w:lang w:eastAsia="zh-CN"/>
        </w:rPr>
        <w:t>。</w:t>
      </w:r>
    </w:p>
    <w:bookmarkEnd w:id="257"/>
    <w:bookmarkEnd w:id="258"/>
    <w:bookmarkEnd w:id="259"/>
    <w:p>
      <w:pPr>
        <w:rPr>
          <w:rFonts w:hint="eastAsia" w:ascii="仿宋_GB2312" w:hAnsi="仿宋_GB2312" w:eastAsia="仿宋_GB2312" w:cs="仿宋_GB2312"/>
          <w:highlight w:val="none"/>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48</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81</w:t>
    </w:r>
    <w:r>
      <w:rPr>
        <w:kern w:val="0"/>
        <w:szCs w:val="21"/>
      </w:rPr>
      <w:fldChar w:fldCharType="end"/>
    </w:r>
    <w:r>
      <w:rPr>
        <w:rFonts w:hint="eastAsia"/>
        <w:kern w:val="0"/>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E2C8B"/>
    <w:multiLevelType w:val="singleLevel"/>
    <w:tmpl w:val="86EE2C8B"/>
    <w:lvl w:ilvl="0" w:tentative="0">
      <w:start w:val="1"/>
      <w:numFmt w:val="decimal"/>
      <w:lvlText w:val="%1."/>
      <w:lvlJc w:val="left"/>
      <w:pPr>
        <w:tabs>
          <w:tab w:val="left" w:pos="312"/>
        </w:tabs>
      </w:pPr>
    </w:lvl>
  </w:abstractNum>
  <w:abstractNum w:abstractNumId="1">
    <w:nsid w:val="BCB53831"/>
    <w:multiLevelType w:val="singleLevel"/>
    <w:tmpl w:val="BCB5383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N2ExOTZjOGFhZmNhZjk2OTQyYjgxMGJjZTE0NTYifQ=="/>
  </w:docVars>
  <w:rsids>
    <w:rsidRoot w:val="53B52B8D"/>
    <w:rsid w:val="01376BC4"/>
    <w:rsid w:val="019B5B75"/>
    <w:rsid w:val="04A07EB6"/>
    <w:rsid w:val="05461D24"/>
    <w:rsid w:val="069A1F8A"/>
    <w:rsid w:val="0B737414"/>
    <w:rsid w:val="0B740F96"/>
    <w:rsid w:val="0D5B8340"/>
    <w:rsid w:val="10D60685"/>
    <w:rsid w:val="14FC0F04"/>
    <w:rsid w:val="177F50ED"/>
    <w:rsid w:val="19FC694A"/>
    <w:rsid w:val="26A249E3"/>
    <w:rsid w:val="27D9310C"/>
    <w:rsid w:val="284B7C78"/>
    <w:rsid w:val="28D401BE"/>
    <w:rsid w:val="2D094CBE"/>
    <w:rsid w:val="3622187A"/>
    <w:rsid w:val="368B374A"/>
    <w:rsid w:val="37782903"/>
    <w:rsid w:val="3A0E694C"/>
    <w:rsid w:val="3A3C703E"/>
    <w:rsid w:val="3BFA7AA6"/>
    <w:rsid w:val="3C6BEDB3"/>
    <w:rsid w:val="40A268A8"/>
    <w:rsid w:val="414A3343"/>
    <w:rsid w:val="45C344D5"/>
    <w:rsid w:val="48802215"/>
    <w:rsid w:val="49405C98"/>
    <w:rsid w:val="4A444208"/>
    <w:rsid w:val="4B070C79"/>
    <w:rsid w:val="4BF7CB7D"/>
    <w:rsid w:val="4CA61EC8"/>
    <w:rsid w:val="4CF529E2"/>
    <w:rsid w:val="50EA6767"/>
    <w:rsid w:val="530E6C08"/>
    <w:rsid w:val="533014FC"/>
    <w:rsid w:val="538A5740"/>
    <w:rsid w:val="53B52B8D"/>
    <w:rsid w:val="55226AB3"/>
    <w:rsid w:val="5577D61A"/>
    <w:rsid w:val="593F2153"/>
    <w:rsid w:val="5AC96236"/>
    <w:rsid w:val="5CE04F69"/>
    <w:rsid w:val="5CFF35C7"/>
    <w:rsid w:val="5D2F2FCB"/>
    <w:rsid w:val="5E8323A1"/>
    <w:rsid w:val="5EAC440B"/>
    <w:rsid w:val="61750E7C"/>
    <w:rsid w:val="64F33B5B"/>
    <w:rsid w:val="689F0032"/>
    <w:rsid w:val="72134D22"/>
    <w:rsid w:val="74113822"/>
    <w:rsid w:val="74EB70EB"/>
    <w:rsid w:val="7590069E"/>
    <w:rsid w:val="77F79321"/>
    <w:rsid w:val="77FEF0E3"/>
    <w:rsid w:val="78CF3BDC"/>
    <w:rsid w:val="79C96D9A"/>
    <w:rsid w:val="7C6D21D7"/>
    <w:rsid w:val="7F35895D"/>
    <w:rsid w:val="7FFF2C1E"/>
    <w:rsid w:val="B3F9B341"/>
    <w:rsid w:val="BBBF7779"/>
    <w:rsid w:val="BBCB2BCC"/>
    <w:rsid w:val="BD5BBD56"/>
    <w:rsid w:val="BFCD5768"/>
    <w:rsid w:val="BFF58726"/>
    <w:rsid w:val="D7DE12E3"/>
    <w:rsid w:val="DBAFBC78"/>
    <w:rsid w:val="DEBFD36F"/>
    <w:rsid w:val="F5A51B0C"/>
    <w:rsid w:val="F5F977CF"/>
    <w:rsid w:val="F9BFF114"/>
    <w:rsid w:val="FBDD89C4"/>
    <w:rsid w:val="FBDF27E3"/>
    <w:rsid w:val="FD99AA6F"/>
    <w:rsid w:val="FEE6FA23"/>
    <w:rsid w:val="FEECF098"/>
    <w:rsid w:val="FFB686A8"/>
    <w:rsid w:val="FFFEC97B"/>
    <w:rsid w:val="FFFFE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600" w:lineRule="exact"/>
      <w:jc w:val="center"/>
      <w:outlineLvl w:val="2"/>
    </w:pPr>
    <w:rPr>
      <w:rFonts w:eastAsia="仿宋_GB2312"/>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eastAsiaTheme="minorEastAsia" w:cstheme="minorBidi"/>
    </w:r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99"/>
    <w:pPr>
      <w:tabs>
        <w:tab w:val="center" w:pos="4153"/>
        <w:tab w:val="right" w:pos="8306"/>
      </w:tabs>
      <w:snapToGrid w:val="0"/>
      <w:jc w:val="left"/>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rFonts w:hint="default" w:ascii="Tahoma" w:hAnsi="Tahoma" w:eastAsia="宋体" w:cs="Tahoma"/>
      <w:b/>
      <w:bCs/>
      <w:spacing w:val="10"/>
      <w:sz w:val="24"/>
      <w:lang w:val="en-US" w:eastAsia="zh-CN" w:bidi="ar-SA"/>
    </w:rPr>
  </w:style>
  <w:style w:type="paragraph" w:customStyle="1" w:styleId="13">
    <w:name w:val="标题 3.1"/>
    <w:basedOn w:val="3"/>
    <w:qFormat/>
    <w:uiPriority w:val="0"/>
    <w:pPr>
      <w:spacing w:before="0" w:after="0"/>
      <w:ind w:firstLine="551" w:firstLineChars="196"/>
    </w:pPr>
    <w:rPr>
      <w:rFonts w:ascii="仿宋_GB2312"/>
      <w:sz w:val="28"/>
      <w:szCs w:val="28"/>
    </w:rPr>
  </w:style>
  <w:style w:type="paragraph" w:customStyle="1" w:styleId="1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5">
    <w:name w:val="正文缩进4格"/>
    <w:basedOn w:val="14"/>
    <w:qFormat/>
    <w:uiPriority w:val="0"/>
    <w:pPr>
      <w:ind w:firstLine="560" w:firstLineChars="200"/>
    </w:pPr>
    <w:rPr>
      <w:rFonts w:hAnsi="Times New Roman"/>
      <w:color w:val="000000"/>
      <w:sz w:val="28"/>
    </w:rPr>
  </w:style>
  <w:style w:type="paragraph" w:customStyle="1" w:styleId="16">
    <w:name w:val="正文缩进6格"/>
    <w:basedOn w:val="15"/>
    <w:qFormat/>
    <w:uiPriority w:val="0"/>
    <w:pPr>
      <w:ind w:left="1758" w:leftChars="854"/>
    </w:pPr>
  </w:style>
  <w:style w:type="paragraph" w:customStyle="1" w:styleId="17">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29039</Words>
  <Characters>30477</Characters>
  <Lines>0</Lines>
  <Paragraphs>0</Paragraphs>
  <TotalTime>19</TotalTime>
  <ScaleCrop>false</ScaleCrop>
  <LinksUpToDate>false</LinksUpToDate>
  <CharactersWithSpaces>31888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2022-04-10T03:57:00Z</dcterms:created>
  <dc:creator>五块钱</dc:creator>
  <cp:lastModifiedBy>lenovo</cp:lastModifiedBy>
  <dcterms:modified xsi:type="dcterms:W3CDTF">2022-11-28T02:45:12Z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A5D767ECEDCB4699814CE37C8ABF7A1E</vt:lpwstr>
  </property>
</Properties>
</file>