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rPr>
      </w:pPr>
      <w:r>
        <w:rPr>
          <w:rFonts w:hint="eastAsia" w:ascii="黑体" w:hAnsi="黑体" w:eastAsia="黑体" w:cs="黑体"/>
        </w:rPr>
        <w:t>附件</w:t>
      </w:r>
      <w:r>
        <w:rPr>
          <w:rFonts w:hint="default" w:ascii="Times New Roman" w:hAnsi="Times New Roman" w:eastAsia="黑体" w:cs="Times New Roman"/>
        </w:rPr>
        <w:t>1</w:t>
      </w:r>
    </w:p>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东莞市2022年城镇国有建设用地</w:t>
      </w:r>
    </w:p>
    <w:p>
      <w:pPr>
        <w:spacing w:line="56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标定地价的基本内容</w:t>
      </w:r>
    </w:p>
    <w:p>
      <w:pPr>
        <w:spacing w:line="560" w:lineRule="exact"/>
      </w:pPr>
    </w:p>
    <w:p>
      <w:pPr>
        <w:keepNext w:val="0"/>
        <w:keepLines w:val="0"/>
        <w:pageBreakBefore w:val="0"/>
        <w:widowControl w:val="0"/>
        <w:kinsoku/>
        <w:wordWrap/>
        <w:overflowPunct/>
        <w:topLinePunct w:val="0"/>
        <w:autoSpaceDE/>
        <w:autoSpaceDN/>
        <w:bidi w:val="0"/>
        <w:adjustRightInd/>
        <w:snapToGrid/>
        <w:spacing w:before="108" w:beforeLines="25" w:after="108" w:afterLines="25" w:line="600" w:lineRule="exact"/>
        <w:ind w:firstLine="640" w:firstLineChars="200"/>
        <w:textAlignment w:val="auto"/>
        <w:rPr>
          <w:rFonts w:hint="default" w:ascii="Times New Roman" w:hAnsi="Times New Roman" w:cs="Times New Roman"/>
        </w:rPr>
      </w:pPr>
      <w:r>
        <w:rPr>
          <w:rFonts w:hint="eastAsia"/>
        </w:rPr>
        <w:t>一、为提高标定地价的应用可行性，本次更新的公示范围除科研用途之外实现单用途全域覆盖。公示范围为东莞市4个街道（东城街道、南城街道、莞城街道、万江街道），28个镇（茶山镇、大朗镇、常平镇、大岭山镇、道</w:t>
      </w:r>
      <w:r>
        <w:rPr>
          <w:rFonts w:hint="eastAsia" w:ascii="仿宋" w:hAnsi="仿宋" w:eastAsia="仿宋" w:cs="微软雅黑"/>
        </w:rPr>
        <w:t>滘</w:t>
      </w:r>
      <w:r>
        <w:rPr>
          <w:rFonts w:hint="eastAsia" w:ascii="仿宋_GB2312" w:hAnsi="仿宋_GB2312" w:cs="仿宋_GB2312"/>
        </w:rPr>
        <w:t>镇、凤岗镇、东坑镇、高</w:t>
      </w:r>
      <w:r>
        <w:rPr>
          <w:rFonts w:hint="eastAsia" w:ascii="仿宋" w:hAnsi="仿宋" w:eastAsia="仿宋" w:cs="微软雅黑"/>
        </w:rPr>
        <w:t>埗</w:t>
      </w:r>
      <w:r>
        <w:rPr>
          <w:rFonts w:hint="eastAsia" w:ascii="仿宋_GB2312" w:hAnsi="仿宋_GB2312" w:cs="仿宋_GB2312"/>
        </w:rPr>
        <w:t>镇、横沥镇、洪梅镇、厚街镇、虎门镇、黄江镇、寮步镇、麻涌镇、企石镇、桥头镇、清溪镇、沙田镇、石碣镇、石龙镇、石排镇、塘厦镇、望牛墩镇、谢岗镇、樟木头镇、长安镇、中堂镇）、松山湖高新技术产业开发区以及滨海湾新区剔除山体外的城市范围。其中商服用途公示范围</w:t>
      </w:r>
      <w:r>
        <w:rPr>
          <w:rFonts w:hint="default" w:ascii="Times New Roman" w:hAnsi="Times New Roman" w:cs="Times New Roman"/>
        </w:rPr>
        <w:t>面积约为2133.61平方千米，住宅用途公示范围面积约为2100.42平方千米，工业用途公示范围面积约为2121.18平方千米，科研用途公示范围仅覆盖松山湖，面积约为58.07平方千米。</w:t>
      </w:r>
    </w:p>
    <w:p>
      <w:pPr>
        <w:pStyle w:val="15"/>
        <w:keepNext w:val="0"/>
        <w:keepLines w:val="0"/>
        <w:pageBreakBefore w:val="0"/>
        <w:widowControl w:val="0"/>
        <w:kinsoku/>
        <w:wordWrap/>
        <w:overflowPunct/>
        <w:topLinePunct w:val="0"/>
        <w:autoSpaceDE/>
        <w:autoSpaceDN/>
        <w:bidi w:val="0"/>
        <w:adjustRightInd/>
        <w:snapToGrid/>
        <w:spacing w:before="108" w:beforeLines="25" w:after="108" w:afterLines="25" w:line="600" w:lineRule="exact"/>
        <w:ind w:firstLine="640"/>
        <w:textAlignment w:val="auto"/>
      </w:pPr>
      <w:r>
        <w:rPr>
          <w:rFonts w:hint="eastAsia"/>
        </w:rPr>
        <w:t>二、本次东莞市20</w:t>
      </w:r>
      <w:r>
        <w:t>22</w:t>
      </w:r>
      <w:r>
        <w:rPr>
          <w:rFonts w:hint="eastAsia"/>
        </w:rPr>
        <w:t>年城镇国有建设用地标定地价体系主要用地类型分为商服用途、住宅用途、工业用途、科研用地共四种用途。</w:t>
      </w:r>
    </w:p>
    <w:p>
      <w:pPr>
        <w:pStyle w:val="15"/>
        <w:keepNext w:val="0"/>
        <w:keepLines w:val="0"/>
        <w:pageBreakBefore w:val="0"/>
        <w:widowControl w:val="0"/>
        <w:kinsoku/>
        <w:wordWrap/>
        <w:overflowPunct/>
        <w:topLinePunct w:val="0"/>
        <w:autoSpaceDE/>
        <w:autoSpaceDN/>
        <w:bidi w:val="0"/>
        <w:adjustRightInd/>
        <w:snapToGrid/>
        <w:spacing w:before="108" w:beforeLines="25" w:after="108" w:afterLines="25" w:line="600" w:lineRule="exact"/>
        <w:ind w:firstLine="640"/>
        <w:textAlignment w:val="auto"/>
      </w:pPr>
      <w:r>
        <w:rPr>
          <w:rFonts w:hint="eastAsia"/>
        </w:rPr>
        <w:t>三</w:t>
      </w:r>
      <w:r>
        <w:t>、本次标定地价的地价内涵为：</w:t>
      </w:r>
      <w:r>
        <w:rPr>
          <w:rFonts w:hint="eastAsia"/>
        </w:rPr>
        <w:t>标准宗地在估价期日202</w:t>
      </w:r>
      <w:r>
        <w:t>2</w:t>
      </w:r>
      <w:r>
        <w:rPr>
          <w:rFonts w:hint="eastAsia"/>
        </w:rPr>
        <w:t>年1月1日平稳正常情况、公开竞争市场条件下，土地用途按标准宗地批准的开发利用用途设定，土地开发程度按标准宗地红线外现状基础设施开发条件、红线内现状平整条件设定，容积率按现状（各标准宗地容积率详见附件2《标定地价公示信息表》）设定，土地使用年期按标准宗地相应用途法定最高使用年期设定（住宅用途为70年，商服用途为40年，工业用途为50年，科研用途为50年），无抵押权、地役权等他项权利限制的出让土地使用权价格。其中，商服用途评估价格表现形式包括首层楼面地价、平均楼面地价，住宅用途标准宗地评估价格表现形式为平均楼面地价，其余标准宗地评估价格表现形式为地面地价，价格单位为元/平方米，币种为人民币。各用途标定地价的内涵见下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577"/>
        <w:gridCol w:w="1311"/>
        <w:gridCol w:w="1602"/>
        <w:gridCol w:w="1585"/>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96" w:type="pct"/>
            <w:shd w:val="clear" w:color="auto" w:fill="auto"/>
            <w:noWrap/>
            <w:vAlign w:val="center"/>
          </w:tcPr>
          <w:p>
            <w:pPr>
              <w:pStyle w:val="17"/>
              <w:spacing w:before="65" w:after="81" w:line="240" w:lineRule="auto"/>
              <w:ind w:firstLine="0" w:firstLineChars="0"/>
              <w:jc w:val="center"/>
              <w:rPr>
                <w:b/>
                <w:sz w:val="21"/>
                <w:szCs w:val="21"/>
              </w:rPr>
            </w:pPr>
            <w:r>
              <w:rPr>
                <w:b/>
                <w:sz w:val="21"/>
                <w:szCs w:val="21"/>
              </w:rPr>
              <w:t>用途类型</w:t>
            </w:r>
          </w:p>
        </w:tc>
        <w:tc>
          <w:tcPr>
            <w:tcW w:w="925" w:type="pct"/>
            <w:shd w:val="clear" w:color="auto" w:fill="auto"/>
            <w:vAlign w:val="center"/>
          </w:tcPr>
          <w:p>
            <w:pPr>
              <w:pStyle w:val="17"/>
              <w:spacing w:before="65" w:after="81" w:line="240" w:lineRule="auto"/>
              <w:ind w:firstLine="0" w:firstLineChars="0"/>
              <w:jc w:val="center"/>
              <w:rPr>
                <w:b/>
                <w:sz w:val="21"/>
                <w:szCs w:val="21"/>
              </w:rPr>
            </w:pPr>
            <w:r>
              <w:rPr>
                <w:b/>
                <w:sz w:val="21"/>
                <w:szCs w:val="21"/>
              </w:rPr>
              <w:t>土地开发程度</w:t>
            </w:r>
          </w:p>
        </w:tc>
        <w:tc>
          <w:tcPr>
            <w:tcW w:w="769" w:type="pct"/>
            <w:shd w:val="clear" w:color="auto" w:fill="auto"/>
            <w:vAlign w:val="center"/>
          </w:tcPr>
          <w:p>
            <w:pPr>
              <w:pStyle w:val="17"/>
              <w:spacing w:before="65" w:after="81" w:line="240" w:lineRule="auto"/>
              <w:ind w:firstLine="0" w:firstLineChars="0"/>
              <w:jc w:val="center"/>
              <w:rPr>
                <w:b/>
                <w:sz w:val="21"/>
                <w:szCs w:val="21"/>
              </w:rPr>
            </w:pPr>
            <w:r>
              <w:rPr>
                <w:b/>
                <w:sz w:val="21"/>
                <w:szCs w:val="21"/>
              </w:rPr>
              <w:t>现状容积率</w:t>
            </w:r>
          </w:p>
        </w:tc>
        <w:tc>
          <w:tcPr>
            <w:tcW w:w="940" w:type="pct"/>
            <w:shd w:val="clear" w:color="auto" w:fill="auto"/>
            <w:vAlign w:val="center"/>
          </w:tcPr>
          <w:p>
            <w:pPr>
              <w:pStyle w:val="17"/>
              <w:spacing w:before="65" w:after="81" w:line="240" w:lineRule="auto"/>
              <w:ind w:firstLine="0" w:firstLineChars="0"/>
              <w:jc w:val="center"/>
              <w:rPr>
                <w:b/>
                <w:sz w:val="21"/>
                <w:szCs w:val="21"/>
              </w:rPr>
            </w:pPr>
            <w:r>
              <w:rPr>
                <w:b/>
                <w:sz w:val="21"/>
                <w:szCs w:val="21"/>
              </w:rPr>
              <w:t>价格类型</w:t>
            </w:r>
          </w:p>
        </w:tc>
        <w:tc>
          <w:tcPr>
            <w:tcW w:w="930" w:type="pct"/>
            <w:shd w:val="clear" w:color="auto" w:fill="auto"/>
            <w:vAlign w:val="center"/>
          </w:tcPr>
          <w:p>
            <w:pPr>
              <w:pStyle w:val="17"/>
              <w:spacing w:before="65" w:after="81" w:line="240" w:lineRule="auto"/>
              <w:ind w:firstLine="0" w:firstLineChars="0"/>
              <w:jc w:val="center"/>
              <w:rPr>
                <w:b/>
                <w:sz w:val="21"/>
                <w:szCs w:val="21"/>
              </w:rPr>
            </w:pPr>
            <w:r>
              <w:rPr>
                <w:b/>
                <w:sz w:val="21"/>
                <w:szCs w:val="21"/>
              </w:rPr>
              <w:t>权利特征</w:t>
            </w:r>
          </w:p>
        </w:tc>
        <w:tc>
          <w:tcPr>
            <w:tcW w:w="740" w:type="pct"/>
            <w:shd w:val="clear" w:color="auto" w:fill="auto"/>
            <w:vAlign w:val="center"/>
          </w:tcPr>
          <w:p>
            <w:pPr>
              <w:pStyle w:val="17"/>
              <w:spacing w:before="65" w:after="81" w:line="240" w:lineRule="auto"/>
              <w:ind w:firstLine="0" w:firstLineChars="0"/>
              <w:jc w:val="center"/>
              <w:rPr>
                <w:b/>
                <w:sz w:val="21"/>
                <w:szCs w:val="21"/>
              </w:rPr>
            </w:pPr>
            <w:r>
              <w:rPr>
                <w:b/>
                <w:sz w:val="21"/>
                <w:szCs w:val="21"/>
              </w:rPr>
              <w:t>使用年期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6" w:type="pct"/>
            <w:shd w:val="clear" w:color="auto" w:fill="auto"/>
            <w:noWrap/>
            <w:vAlign w:val="center"/>
          </w:tcPr>
          <w:p>
            <w:pPr>
              <w:pStyle w:val="17"/>
              <w:spacing w:before="65" w:after="81" w:line="240" w:lineRule="auto"/>
              <w:ind w:firstLine="0" w:firstLineChars="0"/>
              <w:jc w:val="center"/>
              <w:rPr>
                <w:sz w:val="21"/>
                <w:szCs w:val="21"/>
              </w:rPr>
            </w:pPr>
            <w:r>
              <w:rPr>
                <w:sz w:val="21"/>
                <w:szCs w:val="21"/>
              </w:rPr>
              <w:t>商服用途</w:t>
            </w:r>
          </w:p>
        </w:tc>
        <w:tc>
          <w:tcPr>
            <w:tcW w:w="925" w:type="pct"/>
            <w:vMerge w:val="restart"/>
            <w:shd w:val="clear" w:color="auto" w:fill="auto"/>
            <w:noWrap/>
            <w:vAlign w:val="center"/>
          </w:tcPr>
          <w:p>
            <w:pPr>
              <w:pStyle w:val="17"/>
              <w:spacing w:before="65" w:after="81" w:line="240" w:lineRule="auto"/>
              <w:ind w:firstLine="0" w:firstLineChars="0"/>
              <w:jc w:val="center"/>
              <w:rPr>
                <w:sz w:val="21"/>
                <w:szCs w:val="21"/>
              </w:rPr>
            </w:pPr>
            <w:r>
              <w:rPr>
                <w:sz w:val="21"/>
                <w:szCs w:val="21"/>
              </w:rPr>
              <w:t>宗地外按现状土地开发程度设定，红线内场地平整</w:t>
            </w:r>
          </w:p>
        </w:tc>
        <w:tc>
          <w:tcPr>
            <w:tcW w:w="769" w:type="pct"/>
            <w:shd w:val="clear" w:color="auto" w:fill="auto"/>
            <w:noWrap/>
            <w:vAlign w:val="center"/>
          </w:tcPr>
          <w:p>
            <w:pPr>
              <w:pStyle w:val="17"/>
              <w:spacing w:before="65" w:after="81" w:line="240" w:lineRule="auto"/>
              <w:ind w:firstLine="0" w:firstLineChars="0"/>
              <w:jc w:val="center"/>
              <w:rPr>
                <w:sz w:val="21"/>
                <w:szCs w:val="21"/>
              </w:rPr>
            </w:pPr>
            <w:r>
              <w:rPr>
                <w:sz w:val="21"/>
                <w:szCs w:val="21"/>
              </w:rPr>
              <w:t>0.34~8.90</w:t>
            </w:r>
          </w:p>
        </w:tc>
        <w:tc>
          <w:tcPr>
            <w:tcW w:w="940" w:type="pct"/>
            <w:shd w:val="clear" w:color="auto" w:fill="auto"/>
            <w:noWrap/>
            <w:vAlign w:val="center"/>
          </w:tcPr>
          <w:p>
            <w:pPr>
              <w:pStyle w:val="17"/>
              <w:spacing w:before="65" w:after="81" w:line="240" w:lineRule="auto"/>
              <w:ind w:firstLine="0" w:firstLineChars="0"/>
              <w:jc w:val="center"/>
              <w:rPr>
                <w:sz w:val="21"/>
                <w:szCs w:val="21"/>
              </w:rPr>
            </w:pPr>
            <w:r>
              <w:rPr>
                <w:sz w:val="21"/>
                <w:szCs w:val="21"/>
              </w:rPr>
              <w:t>首层楼面地价/平均楼面地价</w:t>
            </w:r>
          </w:p>
        </w:tc>
        <w:tc>
          <w:tcPr>
            <w:tcW w:w="930" w:type="pct"/>
            <w:vMerge w:val="restart"/>
            <w:shd w:val="clear" w:color="auto" w:fill="auto"/>
            <w:noWrap/>
            <w:vAlign w:val="center"/>
          </w:tcPr>
          <w:p>
            <w:pPr>
              <w:pStyle w:val="17"/>
              <w:spacing w:before="65" w:after="81" w:line="240" w:lineRule="auto"/>
              <w:ind w:firstLine="0" w:firstLineChars="0"/>
              <w:jc w:val="center"/>
              <w:rPr>
                <w:sz w:val="21"/>
                <w:szCs w:val="21"/>
              </w:rPr>
            </w:pPr>
            <w:r>
              <w:rPr>
                <w:sz w:val="21"/>
                <w:szCs w:val="21"/>
              </w:rPr>
              <w:t>具有相对完整的土地权利，不考虑抵押权、地役权等他项权利的限制</w:t>
            </w:r>
          </w:p>
        </w:tc>
        <w:tc>
          <w:tcPr>
            <w:tcW w:w="740" w:type="pct"/>
            <w:shd w:val="clear" w:color="auto" w:fill="auto"/>
            <w:noWrap/>
            <w:vAlign w:val="center"/>
          </w:tcPr>
          <w:p>
            <w:pPr>
              <w:pStyle w:val="17"/>
              <w:spacing w:before="65" w:after="81" w:line="240" w:lineRule="auto"/>
              <w:ind w:firstLine="0" w:firstLineChars="0"/>
              <w:jc w:val="center"/>
              <w:rPr>
                <w:sz w:val="21"/>
                <w:szCs w:val="21"/>
              </w:rPr>
            </w:pPr>
            <w:r>
              <w:rPr>
                <w:sz w:val="21"/>
                <w:szCs w:val="21"/>
              </w:rPr>
              <w:t>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96" w:type="pct"/>
            <w:shd w:val="clear" w:color="auto" w:fill="auto"/>
            <w:noWrap/>
            <w:vAlign w:val="center"/>
          </w:tcPr>
          <w:p>
            <w:pPr>
              <w:pStyle w:val="17"/>
              <w:spacing w:before="65" w:after="81" w:line="240" w:lineRule="auto"/>
              <w:ind w:firstLine="0" w:firstLineChars="0"/>
              <w:jc w:val="center"/>
              <w:rPr>
                <w:sz w:val="21"/>
                <w:szCs w:val="21"/>
              </w:rPr>
            </w:pPr>
            <w:r>
              <w:rPr>
                <w:sz w:val="21"/>
                <w:szCs w:val="21"/>
              </w:rPr>
              <w:t>住宅用途</w:t>
            </w:r>
          </w:p>
        </w:tc>
        <w:tc>
          <w:tcPr>
            <w:tcW w:w="925" w:type="pct"/>
            <w:vMerge w:val="continue"/>
            <w:shd w:val="clear" w:color="auto" w:fill="auto"/>
            <w:noWrap/>
            <w:vAlign w:val="center"/>
          </w:tcPr>
          <w:p>
            <w:pPr>
              <w:pStyle w:val="17"/>
              <w:spacing w:before="65" w:after="81" w:line="240" w:lineRule="auto"/>
              <w:ind w:left="444" w:firstLine="420"/>
              <w:jc w:val="center"/>
              <w:rPr>
                <w:sz w:val="21"/>
                <w:szCs w:val="21"/>
              </w:rPr>
            </w:pPr>
          </w:p>
        </w:tc>
        <w:tc>
          <w:tcPr>
            <w:tcW w:w="769" w:type="pct"/>
            <w:shd w:val="clear" w:color="auto" w:fill="auto"/>
            <w:noWrap/>
            <w:vAlign w:val="center"/>
          </w:tcPr>
          <w:p>
            <w:pPr>
              <w:pStyle w:val="17"/>
              <w:spacing w:before="65" w:after="81" w:line="240" w:lineRule="auto"/>
              <w:ind w:firstLine="0" w:firstLineChars="0"/>
              <w:jc w:val="center"/>
              <w:rPr>
                <w:sz w:val="21"/>
                <w:szCs w:val="21"/>
              </w:rPr>
            </w:pPr>
            <w:r>
              <w:rPr>
                <w:sz w:val="21"/>
                <w:szCs w:val="21"/>
              </w:rPr>
              <w:t>1.20~8.90</w:t>
            </w:r>
          </w:p>
        </w:tc>
        <w:tc>
          <w:tcPr>
            <w:tcW w:w="940" w:type="pct"/>
            <w:shd w:val="clear" w:color="auto" w:fill="auto"/>
            <w:noWrap/>
            <w:vAlign w:val="center"/>
          </w:tcPr>
          <w:p>
            <w:pPr>
              <w:pStyle w:val="17"/>
              <w:spacing w:before="65" w:after="81" w:line="240" w:lineRule="auto"/>
              <w:ind w:firstLine="0" w:firstLineChars="0"/>
              <w:jc w:val="center"/>
              <w:rPr>
                <w:sz w:val="21"/>
                <w:szCs w:val="21"/>
              </w:rPr>
            </w:pPr>
            <w:r>
              <w:rPr>
                <w:sz w:val="21"/>
                <w:szCs w:val="21"/>
              </w:rPr>
              <w:t>平均楼面地价</w:t>
            </w:r>
          </w:p>
        </w:tc>
        <w:tc>
          <w:tcPr>
            <w:tcW w:w="930" w:type="pct"/>
            <w:vMerge w:val="continue"/>
            <w:shd w:val="clear" w:color="auto" w:fill="auto"/>
            <w:noWrap/>
            <w:vAlign w:val="center"/>
          </w:tcPr>
          <w:p>
            <w:pPr>
              <w:pStyle w:val="17"/>
              <w:spacing w:before="65" w:after="81" w:line="240" w:lineRule="auto"/>
              <w:ind w:firstLine="0" w:firstLineChars="0"/>
              <w:jc w:val="center"/>
              <w:rPr>
                <w:sz w:val="21"/>
                <w:szCs w:val="21"/>
              </w:rPr>
            </w:pPr>
          </w:p>
        </w:tc>
        <w:tc>
          <w:tcPr>
            <w:tcW w:w="740" w:type="pct"/>
            <w:shd w:val="clear" w:color="auto" w:fill="auto"/>
            <w:noWrap/>
            <w:vAlign w:val="center"/>
          </w:tcPr>
          <w:p>
            <w:pPr>
              <w:pStyle w:val="17"/>
              <w:spacing w:before="65" w:after="81" w:line="240" w:lineRule="auto"/>
              <w:ind w:firstLine="0" w:firstLineChars="0"/>
              <w:jc w:val="center"/>
              <w:rPr>
                <w:sz w:val="21"/>
                <w:szCs w:val="21"/>
              </w:rPr>
            </w:pPr>
            <w:r>
              <w:rPr>
                <w:sz w:val="21"/>
                <w:szCs w:val="21"/>
              </w:rPr>
              <w:t>70年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96" w:type="pct"/>
            <w:shd w:val="clear" w:color="auto" w:fill="auto"/>
            <w:noWrap/>
            <w:vAlign w:val="center"/>
          </w:tcPr>
          <w:p>
            <w:pPr>
              <w:pStyle w:val="17"/>
              <w:spacing w:before="65" w:after="81" w:line="240" w:lineRule="auto"/>
              <w:ind w:firstLine="0" w:firstLineChars="0"/>
              <w:jc w:val="center"/>
              <w:rPr>
                <w:sz w:val="21"/>
                <w:szCs w:val="21"/>
              </w:rPr>
            </w:pPr>
            <w:r>
              <w:rPr>
                <w:sz w:val="21"/>
                <w:szCs w:val="21"/>
              </w:rPr>
              <w:t>工业用途</w:t>
            </w:r>
          </w:p>
        </w:tc>
        <w:tc>
          <w:tcPr>
            <w:tcW w:w="925" w:type="pct"/>
            <w:vMerge w:val="continue"/>
            <w:shd w:val="clear" w:color="auto" w:fill="auto"/>
            <w:noWrap/>
            <w:vAlign w:val="center"/>
          </w:tcPr>
          <w:p>
            <w:pPr>
              <w:pStyle w:val="17"/>
              <w:spacing w:before="65" w:after="81" w:line="240" w:lineRule="auto"/>
              <w:ind w:firstLine="0" w:firstLineChars="0"/>
              <w:jc w:val="center"/>
              <w:rPr>
                <w:sz w:val="21"/>
                <w:szCs w:val="21"/>
              </w:rPr>
            </w:pPr>
          </w:p>
        </w:tc>
        <w:tc>
          <w:tcPr>
            <w:tcW w:w="769" w:type="pct"/>
            <w:shd w:val="clear" w:color="auto" w:fill="auto"/>
            <w:noWrap/>
            <w:vAlign w:val="center"/>
          </w:tcPr>
          <w:p>
            <w:pPr>
              <w:pStyle w:val="17"/>
              <w:spacing w:before="65" w:after="81" w:line="240" w:lineRule="auto"/>
              <w:ind w:firstLine="0" w:firstLineChars="0"/>
              <w:jc w:val="center"/>
              <w:rPr>
                <w:sz w:val="21"/>
                <w:szCs w:val="21"/>
              </w:rPr>
            </w:pPr>
            <w:r>
              <w:rPr>
                <w:sz w:val="21"/>
                <w:szCs w:val="21"/>
              </w:rPr>
              <w:t>0.12~3.60</w:t>
            </w:r>
          </w:p>
        </w:tc>
        <w:tc>
          <w:tcPr>
            <w:tcW w:w="940" w:type="pct"/>
            <w:shd w:val="clear" w:color="auto" w:fill="auto"/>
            <w:noWrap/>
            <w:vAlign w:val="center"/>
          </w:tcPr>
          <w:p>
            <w:pPr>
              <w:pStyle w:val="17"/>
              <w:spacing w:before="65" w:after="81" w:line="240" w:lineRule="auto"/>
              <w:ind w:firstLine="0" w:firstLineChars="0"/>
              <w:jc w:val="center"/>
              <w:rPr>
                <w:sz w:val="21"/>
                <w:szCs w:val="21"/>
              </w:rPr>
            </w:pPr>
            <w:r>
              <w:rPr>
                <w:sz w:val="21"/>
                <w:szCs w:val="21"/>
              </w:rPr>
              <w:t>地面地价</w:t>
            </w:r>
          </w:p>
        </w:tc>
        <w:tc>
          <w:tcPr>
            <w:tcW w:w="930" w:type="pct"/>
            <w:vMerge w:val="continue"/>
            <w:shd w:val="clear" w:color="auto" w:fill="auto"/>
            <w:noWrap/>
            <w:vAlign w:val="center"/>
          </w:tcPr>
          <w:p>
            <w:pPr>
              <w:pStyle w:val="17"/>
              <w:spacing w:before="65" w:after="81" w:line="240" w:lineRule="auto"/>
              <w:ind w:firstLine="0" w:firstLineChars="0"/>
              <w:jc w:val="center"/>
              <w:rPr>
                <w:sz w:val="21"/>
                <w:szCs w:val="21"/>
              </w:rPr>
            </w:pPr>
          </w:p>
        </w:tc>
        <w:tc>
          <w:tcPr>
            <w:tcW w:w="740" w:type="pct"/>
            <w:shd w:val="clear" w:color="auto" w:fill="auto"/>
            <w:noWrap/>
            <w:vAlign w:val="center"/>
          </w:tcPr>
          <w:p>
            <w:pPr>
              <w:pStyle w:val="17"/>
              <w:spacing w:before="65" w:after="81" w:line="240" w:lineRule="auto"/>
              <w:ind w:firstLine="0" w:firstLineChars="0"/>
              <w:jc w:val="center"/>
              <w:rPr>
                <w:sz w:val="21"/>
                <w:szCs w:val="21"/>
              </w:rPr>
            </w:pPr>
            <w:r>
              <w:rPr>
                <w:sz w:val="21"/>
                <w:szCs w:val="21"/>
              </w:rPr>
              <w:t>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96" w:type="pct"/>
            <w:shd w:val="clear" w:color="auto" w:fill="auto"/>
            <w:noWrap/>
            <w:vAlign w:val="center"/>
          </w:tcPr>
          <w:p>
            <w:pPr>
              <w:pStyle w:val="17"/>
              <w:spacing w:before="65" w:after="81" w:line="240" w:lineRule="auto"/>
              <w:ind w:firstLine="0" w:firstLineChars="0"/>
              <w:jc w:val="center"/>
              <w:rPr>
                <w:sz w:val="21"/>
                <w:szCs w:val="21"/>
              </w:rPr>
            </w:pPr>
            <w:r>
              <w:rPr>
                <w:rFonts w:hint="eastAsia"/>
                <w:sz w:val="21"/>
                <w:szCs w:val="21"/>
              </w:rPr>
              <w:t>科研用途</w:t>
            </w:r>
          </w:p>
        </w:tc>
        <w:tc>
          <w:tcPr>
            <w:tcW w:w="925" w:type="pct"/>
            <w:vMerge w:val="continue"/>
            <w:shd w:val="clear" w:color="auto" w:fill="auto"/>
            <w:noWrap/>
            <w:vAlign w:val="center"/>
          </w:tcPr>
          <w:p>
            <w:pPr>
              <w:pStyle w:val="17"/>
              <w:spacing w:before="65" w:after="81" w:line="240" w:lineRule="auto"/>
              <w:ind w:firstLine="0" w:firstLineChars="0"/>
              <w:jc w:val="center"/>
              <w:rPr>
                <w:sz w:val="21"/>
                <w:szCs w:val="21"/>
              </w:rPr>
            </w:pPr>
          </w:p>
        </w:tc>
        <w:tc>
          <w:tcPr>
            <w:tcW w:w="769" w:type="pct"/>
            <w:shd w:val="clear" w:color="auto" w:fill="auto"/>
            <w:noWrap/>
            <w:vAlign w:val="center"/>
          </w:tcPr>
          <w:p>
            <w:pPr>
              <w:pStyle w:val="17"/>
              <w:spacing w:before="65" w:after="81" w:line="240" w:lineRule="auto"/>
              <w:ind w:firstLine="0" w:firstLineChars="0"/>
              <w:jc w:val="center"/>
              <w:rPr>
                <w:sz w:val="21"/>
                <w:szCs w:val="21"/>
              </w:rPr>
            </w:pPr>
            <w:r>
              <w:rPr>
                <w:sz w:val="21"/>
                <w:szCs w:val="21"/>
              </w:rPr>
              <w:t>1.11</w:t>
            </w:r>
            <w:r>
              <w:rPr>
                <w:rFonts w:hint="eastAsia"/>
                <w:sz w:val="21"/>
                <w:szCs w:val="21"/>
              </w:rPr>
              <w:t>~</w:t>
            </w:r>
            <w:r>
              <w:rPr>
                <w:sz w:val="21"/>
                <w:szCs w:val="21"/>
              </w:rPr>
              <w:t>3</w:t>
            </w:r>
            <w:r>
              <w:rPr>
                <w:rFonts w:hint="eastAsia"/>
                <w:sz w:val="21"/>
                <w:szCs w:val="21"/>
              </w:rPr>
              <w:t>.</w:t>
            </w:r>
            <w:r>
              <w:rPr>
                <w:sz w:val="21"/>
                <w:szCs w:val="21"/>
              </w:rPr>
              <w:t>80</w:t>
            </w:r>
          </w:p>
        </w:tc>
        <w:tc>
          <w:tcPr>
            <w:tcW w:w="940" w:type="pct"/>
            <w:shd w:val="clear" w:color="auto" w:fill="auto"/>
            <w:noWrap/>
            <w:vAlign w:val="center"/>
          </w:tcPr>
          <w:p>
            <w:pPr>
              <w:pStyle w:val="17"/>
              <w:spacing w:before="65" w:after="81" w:line="240" w:lineRule="auto"/>
              <w:ind w:firstLine="0" w:firstLineChars="0"/>
              <w:jc w:val="center"/>
              <w:rPr>
                <w:sz w:val="21"/>
                <w:szCs w:val="21"/>
              </w:rPr>
            </w:pPr>
            <w:r>
              <w:rPr>
                <w:rFonts w:hint="eastAsia"/>
                <w:sz w:val="21"/>
                <w:szCs w:val="21"/>
              </w:rPr>
              <w:t>地面</w:t>
            </w:r>
            <w:r>
              <w:rPr>
                <w:sz w:val="21"/>
                <w:szCs w:val="21"/>
              </w:rPr>
              <w:t>地价</w:t>
            </w:r>
          </w:p>
        </w:tc>
        <w:tc>
          <w:tcPr>
            <w:tcW w:w="930" w:type="pct"/>
            <w:vMerge w:val="continue"/>
            <w:shd w:val="clear" w:color="auto" w:fill="auto"/>
            <w:noWrap/>
            <w:vAlign w:val="center"/>
          </w:tcPr>
          <w:p>
            <w:pPr>
              <w:pStyle w:val="17"/>
              <w:spacing w:before="65" w:after="81" w:line="240" w:lineRule="auto"/>
              <w:ind w:firstLine="0" w:firstLineChars="0"/>
              <w:jc w:val="center"/>
              <w:rPr>
                <w:sz w:val="21"/>
                <w:szCs w:val="21"/>
              </w:rPr>
            </w:pPr>
          </w:p>
        </w:tc>
        <w:tc>
          <w:tcPr>
            <w:tcW w:w="740" w:type="pct"/>
            <w:shd w:val="clear" w:color="auto" w:fill="auto"/>
            <w:noWrap/>
            <w:vAlign w:val="center"/>
          </w:tcPr>
          <w:p>
            <w:pPr>
              <w:pStyle w:val="17"/>
              <w:spacing w:before="65" w:after="81" w:line="240" w:lineRule="auto"/>
              <w:ind w:firstLine="0" w:firstLineChars="0"/>
              <w:jc w:val="center"/>
              <w:rPr>
                <w:sz w:val="21"/>
                <w:szCs w:val="21"/>
              </w:rPr>
            </w:pPr>
            <w:r>
              <w:rPr>
                <w:rFonts w:hint="eastAsia"/>
                <w:sz w:val="21"/>
                <w:szCs w:val="21"/>
              </w:rPr>
              <w:t>5</w:t>
            </w:r>
            <w:r>
              <w:rPr>
                <w:sz w:val="21"/>
                <w:szCs w:val="21"/>
              </w:rPr>
              <w:t>0</w:t>
            </w:r>
            <w:r>
              <w:rPr>
                <w:rFonts w:hint="eastAsia"/>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gridSpan w:val="6"/>
            <w:shd w:val="clear" w:color="auto" w:fill="auto"/>
            <w:noWrap/>
            <w:vAlign w:val="center"/>
          </w:tcPr>
          <w:p>
            <w:pPr>
              <w:adjustRightInd w:val="0"/>
              <w:snapToGrid w:val="0"/>
              <w:textAlignment w:val="baseline"/>
              <w:rPr>
                <w:sz w:val="18"/>
                <w:szCs w:val="18"/>
              </w:rPr>
            </w:pPr>
            <w:r>
              <w:rPr>
                <w:sz w:val="18"/>
                <w:szCs w:val="18"/>
              </w:rPr>
              <w:t>注：现状容积率为该用途各标准宗地的</w:t>
            </w:r>
            <w:r>
              <w:rPr>
                <w:rFonts w:hint="eastAsia"/>
                <w:sz w:val="18"/>
                <w:szCs w:val="18"/>
              </w:rPr>
              <w:t>综合</w:t>
            </w:r>
            <w:r>
              <w:rPr>
                <w:sz w:val="18"/>
                <w:szCs w:val="18"/>
              </w:rPr>
              <w:t>容积率范围。</w:t>
            </w:r>
          </w:p>
        </w:tc>
      </w:tr>
    </w:tbl>
    <w:p>
      <w:pPr>
        <w:pStyle w:val="15"/>
        <w:keepNext w:val="0"/>
        <w:keepLines w:val="0"/>
        <w:pageBreakBefore w:val="0"/>
        <w:widowControl w:val="0"/>
        <w:kinsoku/>
        <w:wordWrap/>
        <w:overflowPunct/>
        <w:topLinePunct w:val="0"/>
        <w:autoSpaceDE/>
        <w:autoSpaceDN/>
        <w:bidi w:val="0"/>
        <w:adjustRightInd/>
        <w:snapToGrid/>
        <w:spacing w:before="108" w:beforeLines="25" w:line="600" w:lineRule="exact"/>
        <w:ind w:firstLine="640"/>
        <w:jc w:val="both"/>
        <w:textAlignment w:val="auto"/>
      </w:pPr>
      <w:r>
        <w:rPr>
          <w:rFonts w:hint="eastAsia"/>
        </w:rPr>
        <w:t>四、本次标定地价的估价期日为20</w:t>
      </w:r>
      <w:r>
        <w:t>22</w:t>
      </w:r>
      <w:r>
        <w:rPr>
          <w:rFonts w:hint="eastAsia"/>
        </w:rPr>
        <w:t>年1月1日。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rPr>
        <w:t>五、参考《土地利用</w:t>
      </w:r>
      <w:bookmarkStart w:id="0" w:name="_GoBack"/>
      <w:bookmarkEnd w:id="0"/>
      <w:r>
        <w:rPr>
          <w:rFonts w:hint="eastAsia"/>
        </w:rPr>
        <w:t>现状分类》（GB/T 21010-2017）和《国土空间调查、规划、用途管制用地用海分类指南（试行）》（自然资办发〔2020〕51号），进一步将标定地价的土地用途细分至二级类。具体如下表：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5"/>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2133" w:type="pct"/>
            <w:shd w:val="clear" w:color="auto" w:fill="auto"/>
            <w:vAlign w:val="center"/>
          </w:tcPr>
          <w:p>
            <w:pPr>
              <w:jc w:val="center"/>
              <w:rPr>
                <w:b/>
                <w:bCs/>
                <w:color w:val="000000"/>
                <w:sz w:val="21"/>
                <w:szCs w:val="21"/>
              </w:rPr>
            </w:pPr>
            <w:r>
              <w:rPr>
                <w:b/>
                <w:bCs/>
                <w:color w:val="000000"/>
                <w:sz w:val="21"/>
                <w:szCs w:val="21"/>
              </w:rPr>
              <w:t>标定地价评估用途</w:t>
            </w:r>
          </w:p>
        </w:tc>
        <w:tc>
          <w:tcPr>
            <w:tcW w:w="2867" w:type="pct"/>
            <w:shd w:val="clear" w:color="auto" w:fill="auto"/>
            <w:vAlign w:val="center"/>
          </w:tcPr>
          <w:p>
            <w:pPr>
              <w:jc w:val="center"/>
              <w:rPr>
                <w:b/>
                <w:bCs/>
                <w:color w:val="000000"/>
                <w:sz w:val="21"/>
                <w:szCs w:val="21"/>
              </w:rPr>
            </w:pPr>
            <w:r>
              <w:rPr>
                <w:b/>
                <w:bCs/>
                <w:color w:val="000000"/>
                <w:sz w:val="21"/>
                <w:szCs w:val="21"/>
              </w:rPr>
              <w:t>二级类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33" w:type="pct"/>
            <w:shd w:val="clear" w:color="auto" w:fill="auto"/>
            <w:vAlign w:val="center"/>
          </w:tcPr>
          <w:p>
            <w:pPr>
              <w:jc w:val="center"/>
              <w:rPr>
                <w:bCs/>
                <w:color w:val="000000"/>
                <w:sz w:val="21"/>
                <w:szCs w:val="21"/>
              </w:rPr>
            </w:pPr>
            <w:r>
              <w:rPr>
                <w:bCs/>
                <w:color w:val="000000"/>
                <w:sz w:val="21"/>
                <w:szCs w:val="21"/>
              </w:rPr>
              <w:t>商服用途</w:t>
            </w:r>
          </w:p>
        </w:tc>
        <w:tc>
          <w:tcPr>
            <w:tcW w:w="2867" w:type="pct"/>
            <w:shd w:val="clear" w:color="auto" w:fill="auto"/>
            <w:vAlign w:val="center"/>
          </w:tcPr>
          <w:p>
            <w:pPr>
              <w:jc w:val="center"/>
              <w:rPr>
                <w:bCs/>
                <w:color w:val="000000"/>
                <w:sz w:val="21"/>
                <w:szCs w:val="21"/>
              </w:rPr>
            </w:pPr>
            <w:r>
              <w:rPr>
                <w:rFonts w:hint="eastAsia"/>
                <w:bCs/>
                <w:color w:val="000000"/>
                <w:sz w:val="21"/>
                <w:szCs w:val="21"/>
              </w:rPr>
              <w:t>商业用地</w:t>
            </w:r>
            <w:r>
              <w:rPr>
                <w:bCs/>
                <w:color w:val="000000"/>
                <w:sz w:val="21"/>
                <w:szCs w:val="21"/>
              </w:rPr>
              <w:t>、</w:t>
            </w:r>
            <w:r>
              <w:rPr>
                <w:rFonts w:hint="eastAsia"/>
                <w:bCs/>
                <w:color w:val="000000"/>
                <w:sz w:val="21"/>
                <w:szCs w:val="21"/>
              </w:rPr>
              <w:t>娱乐康体用地、其他商业服务业用地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33" w:type="pct"/>
            <w:shd w:val="clear" w:color="auto" w:fill="auto"/>
            <w:vAlign w:val="center"/>
          </w:tcPr>
          <w:p>
            <w:pPr>
              <w:jc w:val="center"/>
              <w:rPr>
                <w:bCs/>
                <w:color w:val="000000"/>
                <w:sz w:val="21"/>
                <w:szCs w:val="21"/>
              </w:rPr>
            </w:pPr>
            <w:r>
              <w:rPr>
                <w:bCs/>
                <w:color w:val="000000"/>
                <w:sz w:val="21"/>
                <w:szCs w:val="21"/>
              </w:rPr>
              <w:t>住宅用途</w:t>
            </w:r>
          </w:p>
        </w:tc>
        <w:tc>
          <w:tcPr>
            <w:tcW w:w="2867" w:type="pct"/>
            <w:shd w:val="clear" w:color="auto" w:fill="auto"/>
            <w:vAlign w:val="center"/>
          </w:tcPr>
          <w:p>
            <w:pPr>
              <w:jc w:val="center"/>
              <w:rPr>
                <w:bCs/>
                <w:color w:val="000000"/>
                <w:sz w:val="21"/>
                <w:szCs w:val="21"/>
              </w:rPr>
            </w:pPr>
            <w:r>
              <w:rPr>
                <w:bCs/>
                <w:color w:val="000000"/>
                <w:sz w:val="21"/>
                <w:szCs w:val="21"/>
              </w:rPr>
              <w:t>城镇住宅用地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33" w:type="pct"/>
            <w:shd w:val="clear" w:color="auto" w:fill="auto"/>
            <w:vAlign w:val="center"/>
          </w:tcPr>
          <w:p>
            <w:pPr>
              <w:jc w:val="center"/>
              <w:rPr>
                <w:bCs/>
                <w:color w:val="000000"/>
                <w:sz w:val="21"/>
                <w:szCs w:val="21"/>
              </w:rPr>
            </w:pPr>
            <w:r>
              <w:rPr>
                <w:bCs/>
                <w:color w:val="000000"/>
                <w:sz w:val="21"/>
                <w:szCs w:val="21"/>
              </w:rPr>
              <w:t>工业用途</w:t>
            </w:r>
          </w:p>
        </w:tc>
        <w:tc>
          <w:tcPr>
            <w:tcW w:w="2867" w:type="pct"/>
            <w:shd w:val="clear" w:color="auto" w:fill="auto"/>
            <w:vAlign w:val="center"/>
          </w:tcPr>
          <w:p>
            <w:pPr>
              <w:jc w:val="center"/>
              <w:rPr>
                <w:bCs/>
                <w:color w:val="000000"/>
                <w:sz w:val="21"/>
                <w:szCs w:val="21"/>
              </w:rPr>
            </w:pPr>
            <w:r>
              <w:rPr>
                <w:bCs/>
                <w:color w:val="000000"/>
                <w:sz w:val="21"/>
                <w:szCs w:val="21"/>
              </w:rPr>
              <w:t>工业用地、</w:t>
            </w:r>
            <w:r>
              <w:rPr>
                <w:rFonts w:hint="eastAsia"/>
                <w:bCs/>
                <w:color w:val="000000"/>
                <w:sz w:val="21"/>
                <w:szCs w:val="21"/>
              </w:rPr>
              <w:t>物流仓储用地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33" w:type="pct"/>
            <w:shd w:val="clear" w:color="auto" w:fill="auto"/>
            <w:vAlign w:val="center"/>
          </w:tcPr>
          <w:p>
            <w:pPr>
              <w:jc w:val="center"/>
              <w:rPr>
                <w:bCs/>
                <w:color w:val="000000"/>
                <w:sz w:val="21"/>
                <w:szCs w:val="21"/>
              </w:rPr>
            </w:pPr>
            <w:r>
              <w:rPr>
                <w:rFonts w:hint="eastAsia"/>
                <w:bCs/>
                <w:color w:val="000000"/>
                <w:sz w:val="21"/>
                <w:szCs w:val="21"/>
              </w:rPr>
              <w:t>科研用途</w:t>
            </w:r>
          </w:p>
        </w:tc>
        <w:tc>
          <w:tcPr>
            <w:tcW w:w="2867" w:type="pct"/>
            <w:shd w:val="clear" w:color="auto" w:fill="auto"/>
            <w:vAlign w:val="center"/>
          </w:tcPr>
          <w:p>
            <w:pPr>
              <w:jc w:val="center"/>
              <w:rPr>
                <w:bCs/>
                <w:color w:val="000000"/>
                <w:sz w:val="21"/>
                <w:szCs w:val="21"/>
              </w:rPr>
            </w:pPr>
            <w:r>
              <w:rPr>
                <w:bCs/>
                <w:color w:val="000000"/>
                <w:sz w:val="21"/>
                <w:szCs w:val="21"/>
              </w:rPr>
              <w:t>科研用</w:t>
            </w:r>
            <w:r>
              <w:rPr>
                <w:rFonts w:hint="eastAsia"/>
                <w:bCs/>
                <w:color w:val="000000"/>
                <w:sz w:val="21"/>
                <w:szCs w:val="21"/>
              </w:rPr>
              <w:t>地</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rPr>
        <w:t>六、标定地价将标定区域、标准宗地和公示信息表予以公布。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rPr>
        <w:t>七、东莞市自然资源局将根据土地市场的变化情况对标定地价进行更新修订，经市政府批准后，对外公布执行。</w:t>
      </w:r>
    </w:p>
    <w:p/>
    <w:sectPr>
      <w:footerReference r:id="rId3" w:type="default"/>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4315706"/>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4ZDNjYmZmYWVjYmZjMzIyYjhlY2VkYjA4MWFkMTkifQ=="/>
  </w:docVars>
  <w:rsids>
    <w:rsidRoot w:val="00B9048C"/>
    <w:rsid w:val="00086A5A"/>
    <w:rsid w:val="00097C40"/>
    <w:rsid w:val="000A7754"/>
    <w:rsid w:val="00180CE2"/>
    <w:rsid w:val="00262819"/>
    <w:rsid w:val="00315167"/>
    <w:rsid w:val="003856A1"/>
    <w:rsid w:val="00425CC8"/>
    <w:rsid w:val="00444868"/>
    <w:rsid w:val="00470D59"/>
    <w:rsid w:val="00673BA0"/>
    <w:rsid w:val="006D6B30"/>
    <w:rsid w:val="00751361"/>
    <w:rsid w:val="00797E11"/>
    <w:rsid w:val="007F5527"/>
    <w:rsid w:val="00824DB5"/>
    <w:rsid w:val="00897F7D"/>
    <w:rsid w:val="00B037C0"/>
    <w:rsid w:val="00B9048C"/>
    <w:rsid w:val="00BA0115"/>
    <w:rsid w:val="00BD4F44"/>
    <w:rsid w:val="00CC5935"/>
    <w:rsid w:val="00D02AA5"/>
    <w:rsid w:val="00D23CAF"/>
    <w:rsid w:val="00DE5648"/>
    <w:rsid w:val="00E05255"/>
    <w:rsid w:val="00E84825"/>
    <w:rsid w:val="00E863EE"/>
    <w:rsid w:val="00EA4104"/>
    <w:rsid w:val="00F537BC"/>
    <w:rsid w:val="00F71FB0"/>
    <w:rsid w:val="522D6005"/>
    <w:rsid w:val="53414010"/>
    <w:rsid w:val="7F83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1"/>
    <w:basedOn w:val="1"/>
    <w:next w:val="1"/>
    <w:qFormat/>
    <w:uiPriority w:val="39"/>
    <w:pPr>
      <w:tabs>
        <w:tab w:val="right" w:leader="dot" w:pos="9061"/>
      </w:tabs>
      <w:spacing w:before="25" w:beforeLines="25" w:after="25" w:afterLines="25" w:line="300" w:lineRule="auto"/>
    </w:pPr>
    <w:rPr>
      <w:rFonts w:eastAsia="华文中宋" w:cs="黑体"/>
      <w:b/>
      <w:bCs/>
      <w:caps/>
      <w:kern w:val="0"/>
      <w:sz w:val="21"/>
      <w:szCs w:val="20"/>
      <w:lang w:val="zh-CN"/>
    </w:rPr>
  </w:style>
  <w:style w:type="paragraph" w:styleId="7">
    <w:name w:val="annotation subject"/>
    <w:basedOn w:val="2"/>
    <w:next w:val="2"/>
    <w:link w:val="19"/>
    <w:semiHidden/>
    <w:unhideWhenUsed/>
    <w:qFormat/>
    <w:uiPriority w:val="99"/>
    <w:rPr>
      <w:b/>
      <w:bCs/>
    </w:rPr>
  </w:style>
  <w:style w:type="character" w:styleId="10">
    <w:name w:val="annotation reference"/>
    <w:semiHidden/>
    <w:unhideWhenUsed/>
    <w:qFormat/>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link w:val="2"/>
    <w:qFormat/>
    <w:uiPriority w:val="99"/>
    <w:rPr>
      <w:rFonts w:ascii="Times New Roman" w:hAnsi="Times New Roman" w:eastAsia="仿宋_GB2312" w:cs="Times New Roman"/>
      <w:sz w:val="32"/>
      <w:szCs w:val="32"/>
    </w:rPr>
  </w:style>
  <w:style w:type="character" w:customStyle="1" w:styleId="14">
    <w:name w:val="批注文字 Char1"/>
    <w:basedOn w:val="9"/>
    <w:semiHidden/>
    <w:uiPriority w:val="99"/>
    <w:rPr>
      <w:rFonts w:ascii="Times New Roman" w:hAnsi="Times New Roman" w:eastAsia="仿宋_GB2312" w:cs="Times New Roman"/>
      <w:sz w:val="32"/>
      <w:szCs w:val="32"/>
    </w:rPr>
  </w:style>
  <w:style w:type="paragraph" w:styleId="15">
    <w:name w:val="List Paragraph"/>
    <w:basedOn w:val="1"/>
    <w:qFormat/>
    <w:uiPriority w:val="99"/>
    <w:pPr>
      <w:ind w:firstLine="420" w:firstLineChars="200"/>
    </w:pPr>
  </w:style>
  <w:style w:type="character" w:customStyle="1" w:styleId="16">
    <w:name w:val="批注框文本 Char"/>
    <w:basedOn w:val="9"/>
    <w:link w:val="3"/>
    <w:semiHidden/>
    <w:qFormat/>
    <w:uiPriority w:val="99"/>
    <w:rPr>
      <w:rFonts w:ascii="Times New Roman" w:hAnsi="Times New Roman" w:eastAsia="仿宋_GB2312" w:cs="Times New Roman"/>
      <w:sz w:val="18"/>
      <w:szCs w:val="18"/>
    </w:rPr>
  </w:style>
  <w:style w:type="paragraph" w:customStyle="1" w:styleId="17">
    <w:name w:val="00-正文"/>
    <w:link w:val="18"/>
    <w:qFormat/>
    <w:uiPriority w:val="0"/>
    <w:pPr>
      <w:widowControl w:val="0"/>
      <w:spacing w:line="560" w:lineRule="exact"/>
      <w:ind w:firstLine="200" w:firstLineChars="200"/>
      <w:jc w:val="both"/>
      <w:textAlignment w:val="center"/>
    </w:pPr>
    <w:rPr>
      <w:rFonts w:ascii="Times New Roman" w:hAnsi="Times New Roman" w:eastAsia="仿宋_GB2312" w:cs="Times New Roman"/>
      <w:sz w:val="28"/>
      <w:szCs w:val="22"/>
      <w:lang w:val="zh-CN" w:eastAsia="zh-CN" w:bidi="ar-SA"/>
    </w:rPr>
  </w:style>
  <w:style w:type="character" w:customStyle="1" w:styleId="18">
    <w:name w:val="00-正文 Char"/>
    <w:link w:val="17"/>
    <w:qFormat/>
    <w:uiPriority w:val="0"/>
    <w:rPr>
      <w:rFonts w:ascii="Times New Roman" w:hAnsi="Times New Roman" w:eastAsia="仿宋_GB2312" w:cs="Times New Roman"/>
      <w:kern w:val="0"/>
      <w:sz w:val="28"/>
      <w:lang w:val="zh-CN"/>
    </w:rPr>
  </w:style>
  <w:style w:type="character" w:customStyle="1" w:styleId="19">
    <w:name w:val="批注主题 Char"/>
    <w:basedOn w:val="13"/>
    <w:link w:val="7"/>
    <w:semiHidden/>
    <w:qFormat/>
    <w:uiPriority w:val="99"/>
    <w:rPr>
      <w:rFonts w:ascii="Times New Roman" w:hAnsi="Times New Roman" w:eastAsia="仿宋_GB2312"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07084-8B18-4643-A2E1-54ED01490C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192</Words>
  <Characters>1097</Characters>
  <Lines>9</Lines>
  <Paragraphs>2</Paragraphs>
  <TotalTime>12</TotalTime>
  <ScaleCrop>false</ScaleCrop>
  <LinksUpToDate>false</LinksUpToDate>
  <CharactersWithSpaces>1287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2022-10-08T06:42:00Z</dcterms:created>
  <dc:creator>陈殷颖</dc:creator>
  <cp:lastModifiedBy>卢雪敏</cp:lastModifiedBy>
  <cp:lastPrinted>2021-07-09T04:20:00Z</cp:lastPrinted>
  <dcterms:modified xsi:type="dcterms:W3CDTF">2022-10-15T07:41:10Z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475D3D87DB8F4BB8AED443F56135C752</vt:lpwstr>
  </property>
</Properties>
</file>