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441900022-2022-00399</w:t>
      </w:r>
    </w:p>
    <w:p>
      <w:pPr>
        <w:jc w:val="center"/>
      </w:pPr>
      <w:r>
        <w:rPr>
          <w:b/>
          <w:sz w:val="24"/>
        </w:rPr>
        <w:t>采购项目编号：</w:t>
      </w:r>
      <w:r>
        <w:rPr>
          <w:b/>
          <w:sz w:val="24"/>
        </w:rPr>
        <w:t>441900022-2022-00399</w:t>
      </w:r>
    </w:p>
    <w:p>
      <w:pPr>
        <w:jc w:val="center"/>
      </w:pPr>
      <w:r>
        <w:rPr>
          <w:b/>
          <w:sz w:val="24"/>
        </w:rPr>
        <w:t>项目名称：</w:t>
      </w:r>
      <w:r>
        <w:rPr>
          <w:b/>
          <w:sz w:val="24"/>
        </w:rPr>
        <w:t>黄江镇黄江公园环卫绿化服务项目（重新招标）</w:t>
      </w:r>
    </w:p>
    <w:p>
      <w:pPr>
        <w:jc w:val="center"/>
      </w:pPr>
      <w:r>
        <w:rPr>
          <w:b/>
          <w:sz w:val="24"/>
        </w:rPr>
        <w:t>采购人：</w:t>
      </w:r>
      <w:r>
        <w:rPr>
          <w:b/>
          <w:sz w:val="24"/>
        </w:rPr>
        <w:t>东莞市黄江镇公用事业服务中心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东莞市黄江镇公用事业服务中心</w:t>
      </w:r>
      <w:r>
        <w:rPr/>
        <w:t>的委托，采用</w:t>
      </w:r>
      <w:r>
        <w:rPr/>
        <w:t>公开招标</w:t>
      </w:r>
      <w:r>
        <w:rPr/>
        <w:t>方式组织采购</w:t>
      </w:r>
      <w:r>
        <w:rPr/>
        <w:t>黄江镇黄江公园环卫绿化服务项目（重新招标）</w:t>
      </w:r>
      <w:r>
        <w:rPr/>
        <w:t>。欢迎符合资格条件的国内供应商参加投标。</w:t>
      </w:r>
    </w:p>
    <w:p>
      <w:r>
        <w:rPr>
          <w:b/>
          <w:sz w:val="28"/>
        </w:rPr>
        <w:t>一.项目概述</w:t>
      </w:r>
    </w:p>
    <w:p>
      <w:r>
        <w:rPr>
          <w:b/>
          <w:sz w:val="24"/>
        </w:rPr>
        <w:t>1.名称与编号</w:t>
      </w:r>
    </w:p>
    <w:p>
      <w:pPr>
        <w:ind w:firstLine="480"/>
      </w:pPr>
      <w:r>
        <w:rPr/>
        <w:t>项目名称：</w:t>
      </w:r>
      <w:r>
        <w:rPr/>
        <w:t>黄江镇黄江公园环卫绿化服务项目（重新招标）</w:t>
      </w:r>
    </w:p>
    <w:p>
      <w:pPr>
        <w:ind w:firstLine="480"/>
      </w:pPr>
      <w:r>
        <w:rPr/>
        <w:t>采购计划编号：</w:t>
      </w:r>
      <w:r>
        <w:rPr/>
        <w:t>441900022-2022-00399</w:t>
      </w:r>
    </w:p>
    <w:p>
      <w:pPr>
        <w:ind w:firstLine="480"/>
      </w:pPr>
      <w:r>
        <w:rPr/>
        <w:t>采购项目编号：</w:t>
      </w:r>
      <w:r>
        <w:rPr/>
        <w:t>441900022-2022-00399</w:t>
      </w:r>
    </w:p>
    <w:p>
      <w:pPr>
        <w:ind w:firstLine="480"/>
      </w:pPr>
      <w:r>
        <w:rPr/>
        <w:t>采购方式：</w:t>
      </w:r>
      <w:r>
        <w:rPr/>
        <w:t>公开招标</w:t>
      </w:r>
    </w:p>
    <w:p>
      <w:pPr>
        <w:ind w:firstLine="480"/>
      </w:pPr>
      <w:r>
        <w:rPr/>
        <w:t>预算金额：</w:t>
      </w:r>
      <w:r>
        <w:rPr/>
        <w:t>5,960,868.05</w:t>
      </w:r>
      <w:r>
        <w:rPr/>
        <w:t>元</w:t>
      </w:r>
    </w:p>
    <w:p>
      <w:r>
        <w:rPr>
          <w:b/>
          <w:sz w:val="24"/>
        </w:rPr>
        <w:t>2.项目内容及需求情况（采购项目技术规格、参数及要求）</w:t>
      </w:r>
    </w:p>
    <w:p>
      <w:pPr>
        <w:ind w:firstLine="480"/>
      </w:pPr>
    </w:p>
    <w:p/>
    <w:p>
      <w:r>
        <w:rPr/>
        <w:t>采购包1(黄江镇黄江公园环卫绿化服务项目（重新招标）):</w:t>
      </w:r>
    </w:p>
    <w:p>
      <w:r>
        <w:rPr/>
        <w:t>采购包预算金额：5,960,868.05元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黄江镇黄江公园环卫绿化服务项目（重新招标）</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采购包1（黄江镇黄江公园环卫绿化服务项目（重新招标））：</w:t>
      </w:r>
      <w:r>
        <w:rPr/>
        <w:t>采购包整体专门面向中小企业。中小企业须符合本项目采购标的对应行业（本项目采购标的所属行业为：物业管理）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
      <w:r>
        <w:rPr>
          <w:b/>
          <w:sz w:val="24"/>
        </w:rPr>
        <w:t>3.本项目特定的资格要求：</w:t>
      </w:r>
    </w:p>
    <w:p>
      <w:pPr>
        <w:ind w:firstLine="480"/>
      </w:pPr>
    </w:p>
    <w:p/>
    <w:p>
      <w:r>
        <w:rPr/>
        <w:t>采购包1（黄江镇黄江公园环卫绿化服务项目（重新招标））：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东莞市黄江镇公用事业服务中心</w:t>
      </w:r>
    </w:p>
    <w:p>
      <w:pPr>
        <w:ind w:firstLine="480"/>
      </w:pPr>
      <w:r>
        <w:rPr/>
        <w:t>地址：</w:t>
      </w:r>
      <w:r>
        <w:rPr/>
        <w:t>东莞市黄江镇公常路342号</w:t>
      </w:r>
    </w:p>
    <w:p>
      <w:pPr>
        <w:ind w:firstLine="480"/>
      </w:pPr>
      <w:r>
        <w:rPr/>
        <w:t>联系方式：</w:t>
      </w:r>
      <w:r>
        <w:rPr/>
        <w:t>0769-83362955</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袁洁灵</w:t>
      </w:r>
    </w:p>
    <w:p>
      <w:pPr>
        <w:ind w:firstLine="480"/>
      </w:pPr>
      <w:r>
        <w:rPr/>
        <w:t>电话：</w:t>
      </w:r>
      <w:r>
        <w:rPr/>
        <w:t>0769-83360090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t xml:space="preserve"> </w:t>
      </w:r>
    </w:p>
    <w:p>
      <w:pPr>
        <w:ind w:firstLine="400"/>
        <w:jc w:val="both"/>
      </w:pPr>
      <w:r>
        <w:rPr>
          <w:sz w:val="21"/>
        </w:rPr>
        <w:t>为进一步提高黄江人民公园环卫绿化的服务质量和管理水平，满足人民群众对公园各项服务指标日益增长的需求，打造优美、安全、舒适的休闲环境，现将黄江人民公园的环卫保洁和绿化养护服务项目实行市场化管理。黄江公园占地面积为</w:t>
      </w:r>
      <w:r>
        <w:rPr>
          <w:sz w:val="21"/>
        </w:rPr>
        <w:t>154,401平方米，其中绿化面积为89,675平方米，保洁面积为145,875平方米（日常保洁面积为120,034平方米；人工湖、假山及广场水体保洁面积为25,841平方米）。环卫保洁和绿化养护服务期限三年，预算价1,986,956.01元/年，三年合计5,960,868.05元。</w:t>
      </w:r>
    </w:p>
    <w:p>
      <w:pPr>
        <w:ind w:firstLine="400"/>
        <w:jc w:val="left"/>
      </w:pPr>
      <w:r>
        <w:rPr>
          <w:sz w:val="21"/>
        </w:rPr>
        <w:t>黄江公园环境优美。园内有大量的灌木和乔木、古荔枝树、芒果树，以及广场、绿地、休闲娱乐区、运运区、观光塔、廊式观赏台、停车场、休闲座台座凳、人行道、公厕、精巧园林凉亭台榭等公共设施。园内设有消防知识主题公园、法治公园、指示牌、社会主义核心价值观宣传栏等多项主题宣传专栏。</w:t>
      </w:r>
    </w:p>
    <w:p>
      <w:pPr>
        <w:jc w:val="left"/>
      </w:pPr>
      <w:r>
        <w:rPr>
          <w:b/>
          <w:sz w:val="21"/>
        </w:rPr>
        <w:t>二、项目人力要求</w:t>
      </w:r>
    </w:p>
    <w:p>
      <w:pPr>
        <w:jc w:val="left"/>
      </w:pPr>
      <w:r>
        <w:rPr>
          <w:sz w:val="21"/>
        </w:rPr>
        <w:t>（一）</w:t>
      </w:r>
      <w:r>
        <w:rPr>
          <w:sz w:val="21"/>
        </w:rPr>
        <w:t>★人员安排：合计39人，其中项目负责人1人，环卫保洁主管1人，绿化管养主管1人，清扫保洁工23人，绿化养护工13人（13人中必须配1名有果树管理经验的人员，对公园古果树进行特色管护，保障挂果成熟及相关看管养事宜）。(投标人需单独提供承诺函</w:t>
      </w:r>
      <w:r>
        <w:rPr>
          <w:sz w:val="21"/>
        </w:rPr>
        <w:t>并盖上公章</w:t>
      </w:r>
      <w:r>
        <w:rPr>
          <w:sz w:val="21"/>
        </w:rPr>
        <w:t>，格式自拟)</w:t>
      </w:r>
    </w:p>
    <w:p>
      <w:pPr>
        <w:jc w:val="left"/>
      </w:pPr>
      <w:r>
        <w:rPr>
          <w:sz w:val="21"/>
        </w:rPr>
        <w:t>1、项目负责人要求从事相关管理多年，有丰富的项目管理经验，并且全面熟悉现代环卫、绿化、市政管理，有较强的组织管理能力和语言文字表达能力。该项目负责人由中标方派驻项目实施地负责日常项目管理工作。</w:t>
      </w:r>
    </w:p>
    <w:p>
      <w:pPr>
        <w:jc w:val="left"/>
      </w:pPr>
      <w:r>
        <w:rPr>
          <w:sz w:val="21"/>
        </w:rPr>
        <w:t>2、清扫保洁工人年龄50周岁以下，身体健康，热爱环卫本职工作，勤奋努力。清洁工人必须足额配置到位，凡因事假、病假或轮休，中标方必须及时安排好相应岗位的清洁工人上班作业。</w:t>
      </w:r>
    </w:p>
    <w:p>
      <w:pPr>
        <w:jc w:val="left"/>
      </w:pPr>
      <w:r>
        <w:rPr>
          <w:sz w:val="21"/>
        </w:rPr>
        <w:t>3、绿化工人年龄50周岁以下，身体健康，熟悉园林绿化施工作业及养护管理的操作规范和流程，掌握各种植物的养护管理技术，熟练使用和操作各种绿林绿化机械。</w:t>
      </w:r>
    </w:p>
    <w:p>
      <w:pPr>
        <w:jc w:val="left"/>
      </w:pPr>
      <w:r>
        <w:rPr>
          <w:sz w:val="21"/>
        </w:rPr>
        <w:t>（二）以上岗位人力安排，须满员配置，采购方采取不定期，不定时段检查、核查作业工人到位情况，如发现岗位人员缺漏，或工人怠岗、离岗等情况，采购方有权对中标方进行处罚，如发现因工人安排不合理、不到位造成环境脏乱差，严重影响市容环境的，采购方有权按照相关规定程序，对中标方实施处罚，直至解除中标合同。</w:t>
      </w:r>
    </w:p>
    <w:p>
      <w:pPr>
        <w:jc w:val="left"/>
      </w:pPr>
      <w:r>
        <w:rPr>
          <w:sz w:val="21"/>
        </w:rPr>
        <w:t>（三）员工食宿、办公场所及所需添置的设施、设备，由中标方统一妥善安置，有关安置办法、管理方式、安全责任等由中标方负责协调解决。</w:t>
      </w:r>
    </w:p>
    <w:p>
      <w:pPr>
        <w:jc w:val="left"/>
      </w:pPr>
      <w:r>
        <w:rPr>
          <w:sz w:val="21"/>
        </w:rPr>
        <w:t>（四）中标方必须为投入本项目的所有人员作入职体检（须到三甲医院体检），并在领取中标通知书后到签署合同前，向采购方提供投入本项目所有人员的简历、体检报告等资料存档备案。人员变动后，也必须及时提供相关变动资料。中标方不得伪造、虚列人员资料信息欺骗采购方，如有此类情况发生，采购方有权单方面终止合同。</w:t>
      </w:r>
    </w:p>
    <w:p>
      <w:pPr>
        <w:jc w:val="left"/>
      </w:pPr>
      <w:r>
        <w:rPr>
          <w:sz w:val="21"/>
        </w:rPr>
        <w:t>（五）中标方必须为投入本项目的所有人员购买保额不少于</w:t>
      </w:r>
      <w:r>
        <w:rPr>
          <w:sz w:val="21"/>
        </w:rPr>
        <w:t>100万元的人身意外保险，对符合条件的员工并按国家有关规定和标准为员工购买“五险一金”。</w:t>
      </w:r>
    </w:p>
    <w:p>
      <w:pPr>
        <w:jc w:val="left"/>
      </w:pPr>
      <w:r>
        <w:rPr>
          <w:b/>
          <w:sz w:val="21"/>
        </w:rPr>
        <w:t>三、作业服装、防护用品</w:t>
      </w:r>
    </w:p>
    <w:p>
      <w:pPr>
        <w:jc w:val="left"/>
      </w:pPr>
      <w:r>
        <w:rPr>
          <w:sz w:val="21"/>
        </w:rPr>
        <w:t>1、清扫保洁人员和绿化工人统一着反光服装，每年换四次服装，要求服装款式新颖，能充分展示当代环卫工人和绿化工人充满活力的风采。服装款式设计、规格、颜色等须报采购方确认。</w:t>
      </w:r>
    </w:p>
    <w:p>
      <w:pPr>
        <w:jc w:val="left"/>
      </w:pPr>
      <w:r>
        <w:rPr>
          <w:sz w:val="21"/>
        </w:rPr>
        <w:t>2、草帽、手套、口罩、水靴、雨披等防护用品，每年不少于普发四次，要求雨披统一款式和颜色。</w:t>
      </w:r>
    </w:p>
    <w:p>
      <w:pPr>
        <w:jc w:val="left"/>
      </w:pPr>
      <w:r>
        <w:rPr>
          <w:b/>
          <w:sz w:val="21"/>
        </w:rPr>
        <w:t>四、清洁作业工具、绿化机械及其它设施设备、物料耗材</w:t>
      </w:r>
    </w:p>
    <w:p>
      <w:pPr>
        <w:jc w:val="left"/>
      </w:pPr>
      <w:r>
        <w:rPr>
          <w:sz w:val="21"/>
        </w:rPr>
        <w:t>1、大扫把、保洁扫、垃圾铲等易耗物，实时发放，每人每月按使用6把发放，严禁使用不规范的报废作业工具。</w:t>
      </w:r>
    </w:p>
    <w:p>
      <w:pPr>
        <w:jc w:val="left"/>
      </w:pPr>
      <w:r>
        <w:rPr>
          <w:sz w:val="21"/>
        </w:rPr>
        <w:t>2、手推式保洁车8辆，要求规格、样式统一，在使用中，每日清洗，保持外观整洁，中标方需将采购信息清单报采购方备案。</w:t>
      </w:r>
    </w:p>
    <w:p>
      <w:pPr>
        <w:jc w:val="left"/>
      </w:pPr>
      <w:r>
        <w:rPr>
          <w:sz w:val="21"/>
        </w:rPr>
        <w:t>3、绿化推草机4台，打边机2台，油锯2台，高枝油锯2台，绿篱机3台、打药机2台，手锯、锄头、竹扒、竹筐若干。本项绿化机械及配置，中标方需将采购信息报采购方备案。</w:t>
      </w:r>
    </w:p>
    <w:p>
      <w:pPr>
        <w:jc w:val="left"/>
      </w:pPr>
      <w:r>
        <w:rPr>
          <w:sz w:val="21"/>
        </w:rPr>
        <w:t>4、高压清洗机、洗扫机、绿化树枝处置清运车等设备由中标方自行配备。</w:t>
      </w:r>
    </w:p>
    <w:p>
      <w:pPr>
        <w:jc w:val="left"/>
      </w:pPr>
      <w:r>
        <w:rPr>
          <w:sz w:val="21"/>
        </w:rPr>
        <w:t>5、现有的环卫垃圾箱完好，中标方在合同期内对内外有损毁的垃圾箱须及时置换，以后如果在公共场所强制实施垃圾分类项目，所需垃圾分类专用箱由中标方添置和维护管理。</w:t>
      </w:r>
    </w:p>
    <w:p>
      <w:pPr>
        <w:jc w:val="left"/>
      </w:pPr>
      <w:r>
        <w:rPr>
          <w:sz w:val="21"/>
        </w:rPr>
        <w:t>6、公共设施维护维修、城市“牛皮癣”清理所需的物料、耗材；绿化养护所需的燃油、用具、农药、化肥、病虫害防治、消除四害、苗木移植补植、因自然灾害对苗木的应急防护、修复、培植，以及广场花坛每年四期时花采购、种植、养护等所发生的相关费用，由中标方负责，中标方必须按照项目要求标准，保质保量实施项目工作。</w:t>
      </w:r>
    </w:p>
    <w:p>
      <w:pPr>
        <w:jc w:val="left"/>
      </w:pPr>
      <w:r>
        <w:rPr>
          <w:b/>
          <w:sz w:val="21"/>
        </w:rPr>
        <w:t>五、公园管理项目四大部分工作要求概况</w:t>
      </w:r>
    </w:p>
    <w:p>
      <w:pPr>
        <w:jc w:val="left"/>
      </w:pPr>
      <w:r>
        <w:rPr>
          <w:b/>
          <w:sz w:val="21"/>
        </w:rPr>
        <w:t>（一）日常环境卫生管理</w:t>
      </w:r>
    </w:p>
    <w:p>
      <w:pPr>
        <w:jc w:val="left"/>
      </w:pPr>
      <w:r>
        <w:rPr>
          <w:sz w:val="21"/>
        </w:rPr>
        <w:t>1、项目内容</w:t>
      </w:r>
    </w:p>
    <w:p>
      <w:pPr>
        <w:jc w:val="left"/>
      </w:pPr>
      <w:r>
        <w:rPr>
          <w:sz w:val="21"/>
        </w:rPr>
        <w:t>公园是市民健身、休闲、娱乐活动的重要场所，是镇内举办群众性文体活动的重要场地，保洁面积为</w:t>
      </w:r>
      <w:r>
        <w:rPr>
          <w:sz w:val="21"/>
        </w:rPr>
        <w:t>145875平方米。</w:t>
      </w:r>
    </w:p>
    <w:p>
      <w:pPr>
        <w:jc w:val="left"/>
      </w:pPr>
      <w:r>
        <w:rPr>
          <w:sz w:val="21"/>
        </w:rPr>
        <w:t>2、项目要求</w:t>
      </w:r>
    </w:p>
    <w:p>
      <w:pPr>
        <w:jc w:val="left"/>
      </w:pPr>
      <w:r>
        <w:rPr>
          <w:sz w:val="21"/>
        </w:rPr>
        <w:t>（</w:t>
      </w:r>
      <w:r>
        <w:rPr>
          <w:sz w:val="21"/>
        </w:rPr>
        <w:t>1）按照《东莞市城市精细化管理标准》，实行全天12小时清扫保洁作业方式，作业等级为二级。</w:t>
      </w:r>
    </w:p>
    <w:p>
      <w:pPr>
        <w:jc w:val="left"/>
      </w:pPr>
      <w:r>
        <w:rPr>
          <w:sz w:val="21"/>
        </w:rPr>
        <w:t>（</w:t>
      </w:r>
      <w:r>
        <w:rPr>
          <w:sz w:val="21"/>
        </w:rPr>
        <w:t>2）按照《东莞市城市精细化管理暂行办法》的要求标准，对广场、公园的市容管理、环境卫生、垃圾分类、防疫管控、园林小品维护及公厕管理的质量标准，采购方将通过“周检查、月通报、季考核、年总评”的方式，对项目管理实施考核。</w:t>
      </w:r>
    </w:p>
    <w:p>
      <w:pPr>
        <w:jc w:val="left"/>
      </w:pPr>
      <w:r>
        <w:rPr>
          <w:b/>
          <w:sz w:val="21"/>
        </w:rPr>
        <w:t>（二）日常园林绿化管理</w:t>
      </w:r>
    </w:p>
    <w:p>
      <w:pPr>
        <w:jc w:val="left"/>
      </w:pPr>
      <w:r>
        <w:rPr>
          <w:sz w:val="21"/>
        </w:rPr>
        <w:t>1、项目内容</w:t>
      </w:r>
    </w:p>
    <w:p>
      <w:pPr>
        <w:jc w:val="left"/>
      </w:pPr>
      <w:r>
        <w:rPr>
          <w:sz w:val="21"/>
        </w:rPr>
        <w:t>公园绿化面积</w:t>
      </w:r>
      <w:r>
        <w:rPr>
          <w:sz w:val="21"/>
        </w:rPr>
        <w:t>89675平方米，园内有大量的乔木、灌木、古荔枝树、芒果树和绿地，，此外，对广场、喷水池、管理门前、人造桥的花坛、树池等，每年进行四期时花种植。</w:t>
      </w:r>
    </w:p>
    <w:p>
      <w:pPr>
        <w:jc w:val="left"/>
      </w:pPr>
      <w:r>
        <w:rPr>
          <w:sz w:val="21"/>
        </w:rPr>
        <w:t>2、项目要求</w:t>
      </w:r>
    </w:p>
    <w:p>
      <w:pPr>
        <w:jc w:val="left"/>
      </w:pPr>
      <w:r>
        <w:rPr>
          <w:sz w:val="21"/>
        </w:rPr>
        <w:t>（</w:t>
      </w:r>
      <w:r>
        <w:rPr>
          <w:sz w:val="21"/>
        </w:rPr>
        <w:t>1）按照园林绿化二级养护标准，精心养护一草一木，努力营造优美的绿化景观。</w:t>
      </w:r>
    </w:p>
    <w:p>
      <w:pPr>
        <w:jc w:val="left"/>
      </w:pPr>
      <w:r>
        <w:rPr>
          <w:sz w:val="21"/>
        </w:rPr>
        <w:t>（</w:t>
      </w:r>
      <w:r>
        <w:rPr>
          <w:sz w:val="21"/>
        </w:rPr>
        <w:t>2）采购方按照《东莞市城市精细化管理暂行办法》的要求标准对养护质量进行考核。</w:t>
      </w:r>
    </w:p>
    <w:p>
      <w:pPr>
        <w:jc w:val="left"/>
      </w:pPr>
      <w:r>
        <w:rPr>
          <w:b/>
          <w:sz w:val="21"/>
        </w:rPr>
        <w:t>（三）公共设施维护维修管理</w:t>
      </w:r>
    </w:p>
    <w:p>
      <w:pPr>
        <w:jc w:val="left"/>
      </w:pPr>
      <w:r>
        <w:rPr>
          <w:sz w:val="21"/>
        </w:rPr>
        <w:t>1、项目内容</w:t>
      </w:r>
    </w:p>
    <w:p>
      <w:pPr>
        <w:ind w:firstLine="420"/>
        <w:jc w:val="left"/>
      </w:pPr>
      <w:r>
        <w:rPr>
          <w:sz w:val="21"/>
        </w:rPr>
        <w:t>公园各类基础设施齐全，项目主要工作包括对广场、供水、供电、环卫基础设施、绿化设施、市政建设设施、文化宣传设施等，做好日常维护管理工作和对损坏的设施进行维修、恢复工作。</w:t>
      </w:r>
    </w:p>
    <w:p>
      <w:pPr>
        <w:jc w:val="left"/>
      </w:pPr>
      <w:r>
        <w:rPr>
          <w:sz w:val="21"/>
        </w:rPr>
        <w:t>2、项目要求</w:t>
      </w:r>
    </w:p>
    <w:p>
      <w:pPr>
        <w:jc w:val="left"/>
      </w:pPr>
      <w:r>
        <w:rPr>
          <w:sz w:val="21"/>
        </w:rPr>
        <w:t>（</w:t>
      </w:r>
      <w:r>
        <w:rPr>
          <w:sz w:val="21"/>
        </w:rPr>
        <w:t>1）本项目要求建立健全各项具体的管理养护、维修恢复实施方案，确保广场、公园的市政基础设施经常处于完全完好的状态。</w:t>
      </w:r>
    </w:p>
    <w:p>
      <w:pPr>
        <w:jc w:val="left"/>
      </w:pPr>
      <w:r>
        <w:rPr>
          <w:sz w:val="21"/>
        </w:rPr>
        <w:t>（</w:t>
      </w:r>
      <w:r>
        <w:rPr>
          <w:sz w:val="21"/>
        </w:rPr>
        <w:t>2）采购方按照《东莞市城市精细化管理暂行办法》的要求进行考核。</w:t>
      </w:r>
    </w:p>
    <w:p>
      <w:pPr>
        <w:jc w:val="left"/>
      </w:pPr>
      <w:r>
        <w:rPr>
          <w:b/>
          <w:sz w:val="21"/>
        </w:rPr>
        <w:t>（四）</w:t>
      </w:r>
      <w:r>
        <w:rPr>
          <w:b/>
          <w:sz w:val="21"/>
        </w:rPr>
        <w:t>“荔枝特色主题园”打造</w:t>
      </w:r>
    </w:p>
    <w:p>
      <w:pPr>
        <w:jc w:val="left"/>
      </w:pPr>
      <w:r>
        <w:rPr>
          <w:sz w:val="21"/>
        </w:rPr>
        <w:t>1、项目内容</w:t>
      </w:r>
    </w:p>
    <w:p>
      <w:pPr>
        <w:ind w:firstLine="420"/>
        <w:jc w:val="left"/>
      </w:pPr>
      <w:r>
        <w:rPr>
          <w:sz w:val="21"/>
        </w:rPr>
        <w:t>围绕</w:t>
      </w:r>
      <w:r>
        <w:rPr>
          <w:sz w:val="21"/>
        </w:rPr>
        <w:t>“古荔枝树、芒果树保护、塑造生态”为鲜明特色的荔枝主题，进一步全面提升公园的生态环境。</w:t>
      </w:r>
    </w:p>
    <w:p>
      <w:pPr>
        <w:jc w:val="left"/>
      </w:pPr>
      <w:r>
        <w:rPr>
          <w:sz w:val="21"/>
        </w:rPr>
        <w:t>2、项目要求</w:t>
      </w:r>
    </w:p>
    <w:p>
      <w:pPr>
        <w:ind w:firstLine="420"/>
        <w:jc w:val="left"/>
      </w:pPr>
      <w:r>
        <w:rPr>
          <w:sz w:val="21"/>
        </w:rPr>
        <w:t>精心保护和管理好稀有的古荔枝林带，做好水肥管理，对荔枝树进行全面整修，常态化开展病虫害防治工作。</w:t>
      </w:r>
    </w:p>
    <w:p>
      <w:pPr>
        <w:jc w:val="left"/>
      </w:pPr>
      <w:r>
        <w:rPr>
          <w:b/>
          <w:sz w:val="21"/>
        </w:rPr>
        <w:t>六、项目质量、技术指标</w:t>
      </w:r>
    </w:p>
    <w:p>
      <w:pPr>
        <w:ind w:firstLine="420"/>
        <w:jc w:val="left"/>
      </w:pPr>
      <w:r>
        <w:rPr>
          <w:sz w:val="21"/>
        </w:rPr>
        <w:t>黄江公园公共环境卫生、绿化养护等市政类管理工作，项目涉及到城市管理的诸多方面内容，</w:t>
      </w:r>
      <w:r>
        <w:rPr>
          <w:sz w:val="21"/>
        </w:rPr>
        <w:t>“精细化、规范化、品质化”管理要求严格，它关涉到城市管理三年品质提升，项目中标企业必须深入落实各项工作内容，扎实推进各项工作的开展，以崭新的面貌交出一份合格的答卷。</w:t>
      </w:r>
    </w:p>
    <w:p>
      <w:pPr>
        <w:jc w:val="left"/>
      </w:pPr>
    </w:p>
    <w:p>
      <w:pPr>
        <w:jc w:val="left"/>
      </w:pPr>
      <w:r>
        <w:rPr>
          <w:b/>
          <w:sz w:val="21"/>
        </w:rPr>
        <w:t>项目各分项主要质量技术指标分述如下：</w:t>
      </w:r>
    </w:p>
    <w:tbl>
      <w:tblPr>
        <w:tblW w:w="0" w:type="auto"/>
        <w:tblBorders>
          <w:top w:val="none" w:color="000000" w:sz="4"/>
          <w:left w:val="none" w:color="000000" w:sz="4"/>
          <w:bottom w:val="none" w:color="000000" w:sz="4"/>
          <w:right w:val="none" w:color="000000" w:sz="4"/>
          <w:insideH w:val="none"/>
          <w:insideV w:val="none"/>
        </w:tblBorders>
      </w:tblPr>
      <w:tblGrid>
        <w:gridCol w:w="752"/>
        <w:gridCol w:w="677"/>
        <w:gridCol w:w="6877"/>
      </w:tblGrid>
      <w:tr>
        <w:tc>
          <w:tcPr>
            <w:tcW w:type="dxa" w:w="752"/>
            <w:tcBorders>
              <w:top w:val="single" w:color="000000" w:sz="4"/>
              <w:left w:val="single" w:color="000000" w:sz="4"/>
              <w:bottom w:val="single" w:color="000000" w:sz="4"/>
              <w:right w:val="single" w:color="000000" w:sz="4"/>
            </w:tcBorders>
            <w:vAlign w:val="top"/>
          </w:tcPr>
          <w:p>
            <w:pPr>
              <w:jc w:val="left"/>
            </w:pPr>
            <w:r>
              <w:rPr>
                <w:b/>
                <w:sz w:val="21"/>
              </w:rPr>
              <w:t>序号</w:t>
            </w:r>
          </w:p>
        </w:tc>
        <w:tc>
          <w:tcPr>
            <w:tcW w:type="dxa" w:w="677"/>
            <w:tcBorders>
              <w:top w:val="single" w:color="000000" w:sz="4"/>
              <w:left w:val="none" w:color="000000" w:sz="4"/>
              <w:bottom w:val="single" w:color="000000" w:sz="4"/>
              <w:right w:val="single" w:color="000000" w:sz="4"/>
            </w:tcBorders>
            <w:vAlign w:val="top"/>
          </w:tcPr>
          <w:p>
            <w:pPr>
              <w:jc w:val="left"/>
            </w:pPr>
            <w:r>
              <w:rPr>
                <w:b/>
                <w:sz w:val="21"/>
              </w:rPr>
              <w:t>项目</w:t>
            </w:r>
          </w:p>
        </w:tc>
        <w:tc>
          <w:tcPr>
            <w:tcW w:type="dxa" w:w="6877"/>
            <w:tcBorders>
              <w:top w:val="single" w:color="000000" w:sz="4"/>
              <w:left w:val="none" w:color="000000" w:sz="4"/>
              <w:bottom w:val="single" w:color="000000" w:sz="4"/>
              <w:right w:val="single" w:color="000000" w:sz="4"/>
            </w:tcBorders>
            <w:vAlign w:val="top"/>
          </w:tcPr>
          <w:p>
            <w:pPr>
              <w:jc w:val="left"/>
            </w:pPr>
            <w:r>
              <w:rPr>
                <w:b/>
                <w:sz w:val="21"/>
              </w:rPr>
              <w:t>项目管理服务主要质量技术指标</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1</w:t>
            </w:r>
          </w:p>
        </w:tc>
        <w:tc>
          <w:tcPr>
            <w:tcW w:type="dxa" w:w="677"/>
            <w:tcBorders>
              <w:top w:val="none" w:color="000000" w:sz="4"/>
              <w:left w:val="none" w:color="000000" w:sz="4"/>
              <w:bottom w:val="single" w:color="000000" w:sz="4"/>
              <w:right w:val="single" w:color="000000" w:sz="4"/>
            </w:tcBorders>
            <w:vAlign w:val="top"/>
          </w:tcPr>
          <w:p>
            <w:pPr>
              <w:jc w:val="left"/>
            </w:pPr>
            <w:r>
              <w:rPr>
                <w:sz w:val="21"/>
              </w:rPr>
              <w:t>清洁卫生</w:t>
            </w:r>
          </w:p>
        </w:tc>
        <w:tc>
          <w:tcPr>
            <w:tcW w:type="dxa" w:w="6877"/>
            <w:tcBorders>
              <w:top w:val="none" w:color="000000" w:sz="4"/>
              <w:left w:val="none" w:color="000000" w:sz="4"/>
              <w:bottom w:val="single" w:color="000000" w:sz="4"/>
              <w:right w:val="single" w:color="000000" w:sz="4"/>
            </w:tcBorders>
            <w:vAlign w:val="top"/>
          </w:tcPr>
          <w:p>
            <w:pPr>
              <w:jc w:val="left"/>
            </w:pPr>
            <w:r>
              <w:rPr>
                <w:sz w:val="21"/>
              </w:rPr>
              <w:t>（一）作业时间</w:t>
            </w:r>
          </w:p>
          <w:p>
            <w:pPr>
              <w:jc w:val="left"/>
            </w:pPr>
            <w:r>
              <w:rPr>
                <w:sz w:val="21"/>
              </w:rPr>
              <w:t>1、每天两次普扫时间：早上9:00前完成第一次普扫；下午14:00-16:00完成第二次普扫，保持路面、绿地、沟渠干净，无卫生死角。</w:t>
            </w:r>
          </w:p>
          <w:p>
            <w:pPr>
              <w:jc w:val="left"/>
            </w:pPr>
            <w:r>
              <w:rPr>
                <w:sz w:val="21"/>
              </w:rPr>
              <w:t>2、巡回保洁时间：上午9:00-11:30；下午16:00-18：00；晚间20:00-22:00，重大节庆、重大活动期间，保洁时间延长至晚间23:00。</w:t>
            </w:r>
          </w:p>
          <w:p>
            <w:pPr>
              <w:jc w:val="left"/>
            </w:pPr>
            <w:r>
              <w:rPr>
                <w:sz w:val="21"/>
              </w:rPr>
              <w:t>（二）公厕要有专人看管，经常性清洗确保干净、整洁、无异味、无乱张贴涂画（“牛皮癣”），公厕专人看管时间至晚间22:00。</w:t>
            </w:r>
          </w:p>
          <w:p>
            <w:pPr>
              <w:jc w:val="left"/>
            </w:pPr>
            <w:r>
              <w:rPr>
                <w:sz w:val="21"/>
              </w:rPr>
              <w:t>（三）重要的地面要按期冲洗（要求每周冲洗一次，冲洗时间要合理安排），保持地面干净，做到地面见本色。冲洗时，应放置提示牌提醒游人，并控制适当的水压，以免妨碍游人。</w:t>
            </w:r>
            <w:r>
              <w:br/>
            </w:r>
            <w:r>
              <w:rPr>
                <w:sz w:val="21"/>
              </w:rPr>
              <w:t>（四）在保洁时段，废弃物控制指标按照二级等级要求达标。</w:t>
            </w:r>
            <w:r>
              <w:br/>
            </w:r>
            <w:r>
              <w:rPr>
                <w:sz w:val="21"/>
              </w:rPr>
              <w:t>（五）每月定期清理一次沉沙井，每两月对沉沙井和下水井喷施一次药物，确保无四害孽生，下水道口畅通。</w:t>
            </w:r>
            <w:r>
              <w:br/>
            </w:r>
            <w:r>
              <w:rPr>
                <w:sz w:val="21"/>
              </w:rPr>
              <w:t>（六）果皮箱隔日擦洗一次，保持外观整洁，无污迹尘土，及时清理垃圾箱内的垃圾，做到垃圾不外漏，周边环境整洁。</w:t>
            </w:r>
            <w:r>
              <w:br/>
            </w:r>
            <w:r>
              <w:rPr>
                <w:sz w:val="21"/>
              </w:rPr>
              <w:t>（七）清扫保洁的垃圾随车收走，不漏收垃圾，不隐匿焚烧垃圾，收集过程中无遗漏扬撒，无渗透滴漏。</w:t>
            </w:r>
            <w:r>
              <w:br/>
            </w:r>
            <w:r>
              <w:rPr>
                <w:sz w:val="21"/>
              </w:rPr>
              <w:t>（八）每日冲洗保洁车，保持车体外观整洁。</w:t>
            </w:r>
            <w:r>
              <w:br/>
            </w:r>
            <w:r>
              <w:rPr>
                <w:sz w:val="21"/>
              </w:rPr>
              <w:t>（九）每日将垃圾运至公用事业服务中心指定的垃圾收集站做无害化处理。</w:t>
            </w:r>
            <w:r>
              <w:br/>
            </w:r>
            <w:r>
              <w:rPr>
                <w:sz w:val="21"/>
              </w:rPr>
              <w:t>（十）及时清除电线杆、树杆、地面等建筑物、构件体上各类城市“牛皮癣”。</w:t>
            </w:r>
            <w:r>
              <w:br/>
            </w:r>
            <w:r>
              <w:rPr>
                <w:sz w:val="21"/>
              </w:rPr>
              <w:t>（十一）每月对广场、路面进行两次清洗，及时清理清除地面上口香糖等污渍。</w:t>
            </w:r>
            <w:r>
              <w:br/>
            </w:r>
            <w:r>
              <w:rPr>
                <w:sz w:val="21"/>
              </w:rPr>
              <w:t>（十二）每年镇政府举办的活动（如美食节等），活动结束后的当日，及时清理清扫活动现场，并对广场、公园进行彻底清洗。</w:t>
            </w:r>
          </w:p>
          <w:p>
            <w:pPr>
              <w:jc w:val="left"/>
            </w:pPr>
            <w:r>
              <w:rPr>
                <w:sz w:val="21"/>
              </w:rPr>
              <w:t>（十三）作业间隙或完成时，清洁保洁工具应摆放整齐，保洁范围内有工具房的存放在工具房内，垃圾保洁车、垃圾运输车不得横向占道、乱停乱放。</w:t>
            </w:r>
            <w:r>
              <w:br/>
            </w:r>
            <w:r>
              <w:rPr>
                <w:sz w:val="21"/>
              </w:rPr>
              <w:t>（十四）清扫保洁作业质量标准：</w:t>
            </w:r>
            <w:r>
              <w:br/>
            </w:r>
            <w:r>
              <w:rPr>
                <w:sz w:val="21"/>
              </w:rPr>
              <w:t xml:space="preserve"> 1、清扫作业完成后，整体干净整洁，达到“八无八净一通”质量标准。</w:t>
            </w:r>
            <w:r>
              <w:br/>
            </w:r>
            <w:r>
              <w:rPr>
                <w:sz w:val="21"/>
              </w:rPr>
              <w:t xml:space="preserve">  ①八净标准：地面净、路沿石净，人行道净，公共区域净、树池绿化带净、墙基净，落水口净，果皮箱净。</w:t>
            </w:r>
          </w:p>
          <w:p>
            <w:pPr>
              <w:jc w:val="left"/>
            </w:pPr>
            <w:r>
              <w:rPr>
                <w:sz w:val="21"/>
              </w:rPr>
              <w:t xml:space="preserve"> ②八无标准：无沙石积水，无果皮纸屑，无痰迹，无烟头等废弃物，无人畜粪便，无漏收垃圾堆，无往落水口、明渠扫倒垃圾污物，无乱张贴广告纸。</w:t>
            </w:r>
          </w:p>
          <w:p>
            <w:pPr>
              <w:jc w:val="left"/>
            </w:pPr>
            <w:r>
              <w:rPr>
                <w:sz w:val="21"/>
              </w:rPr>
              <w:t xml:space="preserve"> ③一通：下水道口畅通。</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2</w:t>
            </w:r>
          </w:p>
        </w:tc>
        <w:tc>
          <w:tcPr>
            <w:tcW w:type="dxa" w:w="677"/>
            <w:tcBorders>
              <w:top w:val="none" w:color="000000" w:sz="4"/>
              <w:left w:val="none" w:color="000000" w:sz="4"/>
              <w:bottom w:val="single" w:color="000000" w:sz="4"/>
              <w:right w:val="single" w:color="000000" w:sz="4"/>
            </w:tcBorders>
            <w:vAlign w:val="top"/>
          </w:tcPr>
          <w:p>
            <w:pPr>
              <w:jc w:val="left"/>
            </w:pPr>
            <w:r>
              <w:rPr>
                <w:sz w:val="21"/>
              </w:rPr>
              <w:t>绿化养护</w:t>
            </w:r>
          </w:p>
        </w:tc>
        <w:tc>
          <w:tcPr>
            <w:tcW w:type="dxa" w:w="6877"/>
            <w:tcBorders>
              <w:top w:val="none" w:color="000000" w:sz="4"/>
              <w:left w:val="none" w:color="000000" w:sz="4"/>
              <w:bottom w:val="single" w:color="000000" w:sz="4"/>
              <w:right w:val="single" w:color="000000" w:sz="4"/>
            </w:tcBorders>
            <w:vAlign w:val="top"/>
          </w:tcPr>
          <w:p>
            <w:pPr>
              <w:jc w:val="left"/>
            </w:pPr>
            <w:r>
              <w:rPr>
                <w:sz w:val="21"/>
              </w:rPr>
              <w:t>（一）草坪养护标准</w:t>
            </w:r>
            <w:r>
              <w:br/>
            </w:r>
            <w:r>
              <w:rPr>
                <w:sz w:val="21"/>
              </w:rPr>
              <w:t>1、适时修剪，常年保持草坪植被高度在10cm以下，草坪整齐，无枯枝树叶，无人畜粪便。</w:t>
            </w:r>
            <w:r>
              <w:br/>
            </w:r>
            <w:r>
              <w:rPr>
                <w:sz w:val="21"/>
              </w:rPr>
              <w:t>2、草坪植被覆盖率达98％以上，无裸露地。</w:t>
            </w:r>
            <w:r>
              <w:br/>
            </w:r>
            <w:r>
              <w:rPr>
                <w:sz w:val="21"/>
              </w:rPr>
              <w:t>3、适时清理杂草，杂草率3％＜m²</w:t>
            </w:r>
            <w:r>
              <w:br/>
            </w:r>
            <w:r>
              <w:rPr>
                <w:sz w:val="21"/>
              </w:rPr>
              <w:t>4、每年8月到次年2月，每日早晚进行浇水，每年分四次普施一次化肥。</w:t>
            </w:r>
            <w:r>
              <w:br/>
            </w:r>
            <w:r>
              <w:rPr>
                <w:sz w:val="21"/>
              </w:rPr>
              <w:t>5、做好草坪病虫害防治工作，适时消除病虫害。</w:t>
            </w:r>
            <w:r>
              <w:br/>
            </w:r>
            <w:r>
              <w:rPr>
                <w:sz w:val="21"/>
              </w:rPr>
              <w:t>（二）灌木养护标准</w:t>
            </w:r>
            <w:r>
              <w:br/>
            </w:r>
            <w:r>
              <w:rPr>
                <w:sz w:val="21"/>
              </w:rPr>
              <w:t>1、修剪工艺精细，景观效果优良。</w:t>
            </w:r>
            <w:r>
              <w:br/>
            </w:r>
            <w:r>
              <w:rPr>
                <w:sz w:val="21"/>
              </w:rPr>
              <w:t>2、植物生长茂盛，保持植物四季花繁叶茂。</w:t>
            </w:r>
            <w:r>
              <w:br/>
            </w:r>
            <w:r>
              <w:rPr>
                <w:sz w:val="21"/>
              </w:rPr>
              <w:t>（三）乔木养护标准</w:t>
            </w:r>
            <w:r>
              <w:br/>
            </w:r>
            <w:r>
              <w:rPr>
                <w:sz w:val="21"/>
              </w:rPr>
              <w:t>植物生长茂盛，枝叶健硕，下沿线整齐，无枯死枝、无虫害、景观效果优良。</w:t>
            </w:r>
            <w:r>
              <w:br/>
            </w:r>
            <w:r>
              <w:rPr>
                <w:sz w:val="21"/>
              </w:rPr>
              <w:t>（四）因多种原因，广场、公园绿地裸露地较多，许多高大的乔木也历久未整修，项目中标方对破坏了整体景观效果的绿地和乔木需进行一次全面的整修、修复工作，相关整修、修复实施方案须报采购方审查和备案。</w:t>
            </w:r>
            <w:r>
              <w:br/>
            </w:r>
            <w:r>
              <w:rPr>
                <w:sz w:val="21"/>
              </w:rPr>
              <w:t>（五）因自然灾害造成绿化带苗木受损和破坏，中标方需采取措施，及时进行苗木移植、补植和应急、防护、修复培植等工作。</w:t>
            </w:r>
            <w:r>
              <w:br/>
            </w:r>
            <w:r>
              <w:rPr>
                <w:sz w:val="21"/>
              </w:rPr>
              <w:t>（六）每年冬季做好苗木防寒、防冻工作，防范低温冻害极端天气对苗木的破坏，确保苗木安全越冬。</w:t>
            </w:r>
            <w:r>
              <w:br/>
            </w:r>
            <w:r>
              <w:rPr>
                <w:sz w:val="21"/>
              </w:rPr>
              <w:t>（七）每日清扫落叶，加强绿地保洁，保持绿地整洁卫生。</w:t>
            </w:r>
            <w:r>
              <w:br/>
            </w:r>
            <w:r>
              <w:rPr>
                <w:sz w:val="21"/>
              </w:rPr>
              <w:t>（八）每年对乔木整修不少于1次，对造型灌木、绿篱修剪每年不少于12次，色块灌木修剪每年不少于8次。</w:t>
            </w:r>
            <w:r>
              <w:br/>
            </w:r>
            <w:r>
              <w:rPr>
                <w:sz w:val="21"/>
              </w:rPr>
              <w:t>（九）全年做好苗木虫害科学防治工作，加强对病虫害监测，采取化学防治和物理防治措施，防治和控制病虫害蔓延。</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3</w:t>
            </w:r>
          </w:p>
        </w:tc>
        <w:tc>
          <w:tcPr>
            <w:tcW w:type="dxa" w:w="677"/>
            <w:tcBorders>
              <w:top w:val="none" w:color="000000" w:sz="4"/>
              <w:left w:val="none" w:color="000000" w:sz="4"/>
              <w:bottom w:val="single" w:color="000000" w:sz="4"/>
              <w:right w:val="single" w:color="000000" w:sz="4"/>
            </w:tcBorders>
            <w:vAlign w:val="top"/>
          </w:tcPr>
          <w:p>
            <w:pPr>
              <w:jc w:val="left"/>
            </w:pPr>
            <w:r>
              <w:rPr>
                <w:sz w:val="21"/>
              </w:rPr>
              <w:t>公共设施维护维修</w:t>
            </w:r>
          </w:p>
        </w:tc>
        <w:tc>
          <w:tcPr>
            <w:tcW w:type="dxa" w:w="6877"/>
            <w:tcBorders>
              <w:top w:val="none" w:color="000000" w:sz="4"/>
              <w:left w:val="none" w:color="000000" w:sz="4"/>
              <w:bottom w:val="single" w:color="000000" w:sz="4"/>
              <w:right w:val="single" w:color="000000" w:sz="4"/>
            </w:tcBorders>
            <w:vAlign w:val="top"/>
          </w:tcPr>
          <w:p>
            <w:pPr>
              <w:jc w:val="left"/>
            </w:pPr>
            <w:r>
              <w:rPr>
                <w:sz w:val="21"/>
              </w:rPr>
              <w:t>1.本项目市政公共基础设施维护维修主要指对广场、公园被损坏、破坏的环卫设施、绿化设施、市政附属设施、管道等项目进行维护管理。</w:t>
            </w:r>
            <w:r>
              <w:br/>
            </w:r>
            <w:r>
              <w:rPr>
                <w:sz w:val="21"/>
              </w:rPr>
              <w:t>2.维护维修管理标准</w:t>
            </w:r>
            <w:r>
              <w:br/>
            </w:r>
            <w:r>
              <w:rPr>
                <w:sz w:val="21"/>
              </w:rPr>
              <w:t>（1）广场、舞台无破损、坑洞，无沉降积水，人行道、绿道砖体无缺失、松动，井口井盖无缺失损坏。</w:t>
            </w:r>
            <w:r>
              <w:br/>
            </w:r>
            <w:r>
              <w:rPr>
                <w:sz w:val="21"/>
              </w:rPr>
              <w:t>（2）果皮箱、垃圾桶内外整洁完好，无破损缺失。</w:t>
            </w:r>
            <w:r>
              <w:br/>
            </w:r>
            <w:r>
              <w:rPr>
                <w:sz w:val="21"/>
              </w:rPr>
              <w:t>（3）市政排水设施无堵塞、无积淤。</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4</w:t>
            </w:r>
          </w:p>
        </w:tc>
        <w:tc>
          <w:tcPr>
            <w:tcW w:type="dxa" w:w="677"/>
            <w:tcBorders>
              <w:top w:val="none" w:color="000000" w:sz="4"/>
              <w:left w:val="none" w:color="000000" w:sz="4"/>
              <w:bottom w:val="single" w:color="000000" w:sz="4"/>
              <w:right w:val="single" w:color="000000" w:sz="4"/>
            </w:tcBorders>
            <w:vAlign w:val="top"/>
          </w:tcPr>
          <w:p>
            <w:pPr>
              <w:jc w:val="left"/>
            </w:pPr>
            <w:r>
              <w:rPr>
                <w:sz w:val="21"/>
              </w:rPr>
              <w:t>给排水系统维护维修</w:t>
            </w:r>
          </w:p>
        </w:tc>
        <w:tc>
          <w:tcPr>
            <w:tcW w:type="dxa" w:w="6877"/>
            <w:tcBorders>
              <w:top w:val="none" w:color="000000" w:sz="4"/>
              <w:left w:val="none" w:color="000000" w:sz="4"/>
              <w:bottom w:val="single" w:color="000000" w:sz="4"/>
              <w:right w:val="single" w:color="000000" w:sz="4"/>
            </w:tcBorders>
            <w:vAlign w:val="top"/>
          </w:tcPr>
          <w:p>
            <w:pPr>
              <w:jc w:val="left"/>
            </w:pPr>
            <w:r>
              <w:rPr>
                <w:sz w:val="21"/>
              </w:rPr>
              <w:t>1.每季度对广场、公园范围内给排水系统，包括对阀门及附属设施进行一次大检，对存在影响给排水的潜在隐患，及时进行保养维护和维修。</w:t>
            </w:r>
            <w:r>
              <w:br/>
            </w:r>
            <w:r>
              <w:rPr>
                <w:sz w:val="21"/>
              </w:rPr>
              <w:t>2.在日常维护管理中，对影响到广场、公园正常给排水运行的故障，及时抢险维修，确保给排水系统良好运行。</w:t>
            </w:r>
            <w:r>
              <w:br/>
            </w:r>
            <w:r>
              <w:rPr>
                <w:sz w:val="21"/>
              </w:rPr>
              <w:t>3.广场、公园绿化用水、清洗用水、因管理不善造成的跑冒漏滴，以及其他用水所产生的维护费用由中标方承担。</w:t>
            </w:r>
          </w:p>
          <w:p>
            <w:pPr>
              <w:jc w:val="left"/>
            </w:pPr>
            <w:r>
              <w:rPr>
                <w:sz w:val="21"/>
              </w:rPr>
              <w:t>4.在维护管理过程中，发现损坏的设施需更换的经采购人同意后，更换设施的费用由采购人承担。</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5</w:t>
            </w:r>
          </w:p>
        </w:tc>
        <w:tc>
          <w:tcPr>
            <w:tcW w:type="dxa" w:w="677"/>
            <w:tcBorders>
              <w:top w:val="none" w:color="000000" w:sz="4"/>
              <w:left w:val="none" w:color="000000" w:sz="4"/>
              <w:bottom w:val="single" w:color="000000" w:sz="4"/>
              <w:right w:val="single" w:color="000000" w:sz="4"/>
            </w:tcBorders>
            <w:vAlign w:val="top"/>
          </w:tcPr>
          <w:p>
            <w:pPr>
              <w:jc w:val="left"/>
            </w:pPr>
            <w:r>
              <w:rPr>
                <w:sz w:val="21"/>
              </w:rPr>
              <w:t>公共秩序维护管理</w:t>
            </w:r>
          </w:p>
        </w:tc>
        <w:tc>
          <w:tcPr>
            <w:tcW w:type="dxa" w:w="6877"/>
            <w:tcBorders>
              <w:top w:val="none" w:color="000000" w:sz="4"/>
              <w:left w:val="none" w:color="000000" w:sz="4"/>
              <w:bottom w:val="single" w:color="000000" w:sz="4"/>
              <w:right w:val="single" w:color="000000" w:sz="4"/>
            </w:tcBorders>
            <w:vAlign w:val="top"/>
          </w:tcPr>
          <w:p>
            <w:pPr>
              <w:jc w:val="left"/>
            </w:pPr>
            <w:r>
              <w:rPr>
                <w:sz w:val="21"/>
              </w:rPr>
              <w:t>1.广场、公园乱摆卖问题比较突出，中标方在日常管理工作中，须积极协助采购方和相关部门的联合整洁行动，维护好广场、公园的良好秩序。</w:t>
            </w:r>
            <w:r>
              <w:br/>
            </w:r>
            <w:r>
              <w:rPr>
                <w:sz w:val="21"/>
              </w:rPr>
              <w:t>2.重大节庆、重大活动期间，中标方除配备足够人力加强活动现场保洁工作之外，还须根据采购方的部署安排，协助做好相关工作。</w:t>
            </w:r>
            <w:r>
              <w:br/>
            </w:r>
            <w:r>
              <w:rPr>
                <w:sz w:val="21"/>
              </w:rPr>
              <w:t>3.中标方在日常管理工作中，须做好广场、公园公共场所突发事件预防工作。一旦出现公共突发事件，中标方须协助相关部门有序做好事故的处置和救援工作。</w:t>
            </w:r>
            <w:r>
              <w:br/>
            </w:r>
            <w:r>
              <w:rPr>
                <w:sz w:val="21"/>
              </w:rPr>
              <w:t>4.中标方须在每晚10:00前对广场、公园噪声扰民予以制止，防止和减轻环境噪声对周边居民正常生活、工作和学习的干扰。</w:t>
            </w:r>
          </w:p>
        </w:tc>
      </w:tr>
      <w:tr>
        <w:tc>
          <w:tcPr>
            <w:tcW w:type="dxa" w:w="752"/>
            <w:tcBorders>
              <w:top w:val="none" w:color="000000" w:sz="4"/>
              <w:left w:val="single" w:color="000000" w:sz="4"/>
              <w:bottom w:val="single" w:color="000000" w:sz="4"/>
              <w:right w:val="single" w:color="000000" w:sz="4"/>
            </w:tcBorders>
            <w:vAlign w:val="top"/>
          </w:tcPr>
          <w:p>
            <w:pPr>
              <w:jc w:val="left"/>
            </w:pPr>
            <w:r>
              <w:rPr>
                <w:sz w:val="21"/>
              </w:rPr>
              <w:t>6</w:t>
            </w:r>
          </w:p>
        </w:tc>
        <w:tc>
          <w:tcPr>
            <w:tcW w:type="dxa" w:w="677"/>
            <w:tcBorders>
              <w:top w:val="none" w:color="000000" w:sz="4"/>
              <w:left w:val="none" w:color="000000" w:sz="4"/>
              <w:bottom w:val="single" w:color="000000" w:sz="4"/>
              <w:right w:val="single" w:color="000000" w:sz="4"/>
            </w:tcBorders>
            <w:vAlign w:val="top"/>
          </w:tcPr>
          <w:p>
            <w:pPr>
              <w:jc w:val="left"/>
            </w:pPr>
            <w:r>
              <w:rPr>
                <w:sz w:val="21"/>
              </w:rPr>
              <w:t>其他</w:t>
            </w:r>
          </w:p>
        </w:tc>
        <w:tc>
          <w:tcPr>
            <w:tcW w:type="dxa" w:w="6877"/>
            <w:tcBorders>
              <w:top w:val="none" w:color="000000" w:sz="4"/>
              <w:left w:val="none" w:color="000000" w:sz="4"/>
              <w:bottom w:val="single" w:color="000000" w:sz="4"/>
              <w:right w:val="single" w:color="000000" w:sz="4"/>
            </w:tcBorders>
            <w:vAlign w:val="top"/>
          </w:tcPr>
          <w:p>
            <w:pPr>
              <w:jc w:val="left"/>
            </w:pPr>
            <w:r>
              <w:rPr>
                <w:sz w:val="21"/>
              </w:rPr>
              <w:t>中标方须对涉及采购方的信息严格保密，未经采购方许可，不得将相关信息泄露给第三方，否则采购方有保留追究中标方法律责任的权利</w:t>
            </w:r>
          </w:p>
        </w:tc>
      </w:tr>
    </w:tbl>
    <w:p>
      <w:pPr>
        <w:jc w:val="both"/>
      </w:pPr>
      <w:r>
        <w:rPr>
          <w:b/>
          <w:sz w:val="21"/>
        </w:rPr>
        <w:t>七、</w:t>
      </w:r>
      <w:r>
        <w:rPr>
          <w:sz w:val="21"/>
        </w:rPr>
        <w:t>★</w:t>
      </w:r>
      <w:r>
        <w:rPr>
          <w:b/>
          <w:sz w:val="21"/>
        </w:rPr>
        <w:t>服务期限</w:t>
      </w:r>
    </w:p>
    <w:p>
      <w:pPr>
        <w:ind w:firstLine="420"/>
        <w:jc w:val="left"/>
      </w:pPr>
      <w:r>
        <w:rPr>
          <w:sz w:val="21"/>
        </w:rPr>
        <w:t>本项目服务期限为三年（合同签订之日起三年），每年</w:t>
      </w:r>
      <w:r>
        <w:rPr>
          <w:sz w:val="21"/>
        </w:rPr>
        <w:t>12月份的最后5个工作日，采购方对中标方一年来的工作进行综合考核评定。一年中，各项月考核扣分在40分以上的（不含40分）累计三次或三次以上的；在城市精细化管理第三方专业机构明察暗访考评中，尤其是文明创建、全市环境卫生大检查中，广场、公园范围内有重大扣分，造成恶劣影响的，采购方可单方终止合同履行，中标方不得以任何理由和借口追究采购方的责任，对此中标方需在投标文件中予以承诺。（投标人需单独提供承诺函并盖上公章，格式自拟)</w:t>
      </w:r>
    </w:p>
    <w:p>
      <w:pPr>
        <w:jc w:val="both"/>
      </w:pPr>
      <w:r>
        <w:rPr>
          <w:b/>
          <w:sz w:val="21"/>
        </w:rPr>
        <w:t>八、</w:t>
      </w:r>
      <w:r>
        <w:rPr>
          <w:sz w:val="21"/>
        </w:rPr>
        <w:t>★</w:t>
      </w:r>
      <w:r>
        <w:rPr>
          <w:b/>
          <w:sz w:val="21"/>
        </w:rPr>
        <w:t>付款方式</w:t>
      </w:r>
    </w:p>
    <w:p>
      <w:pPr>
        <w:ind w:firstLine="420"/>
        <w:jc w:val="left"/>
      </w:pPr>
      <w:r>
        <w:rPr>
          <w:sz w:val="21"/>
        </w:rPr>
        <w:t>服务费按月支付，甲方根据检查和考核结果于每月</w:t>
      </w:r>
      <w:r>
        <w:rPr>
          <w:sz w:val="21"/>
        </w:rPr>
        <w:t>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付款时间为甲方向政府采购支付部门提出支付申请的时间，不含政府支付部门审查时间。以转账支付的形式支付上月的作业经费。（投标人需单独提供承诺函</w:t>
      </w:r>
      <w:r>
        <w:rPr>
          <w:sz w:val="21"/>
        </w:rPr>
        <w:t>并盖上公章</w:t>
      </w:r>
      <w:r>
        <w:rPr>
          <w:sz w:val="21"/>
        </w:rPr>
        <w:t>，格式自拟)</w:t>
      </w:r>
    </w:p>
    <w:p>
      <w:pPr>
        <w:jc w:val="both"/>
      </w:pPr>
      <w:r>
        <w:rPr>
          <w:b/>
          <w:sz w:val="21"/>
        </w:rPr>
        <w:t>九、其它</w:t>
      </w:r>
    </w:p>
    <w:p>
      <w:pPr>
        <w:ind w:firstLine="420"/>
        <w:jc w:val="both"/>
      </w:pPr>
      <w:r>
        <w:rPr>
          <w:sz w:val="21"/>
        </w:rPr>
        <w:t>1.中标方须按照国家政策的有关规定与员工签订劳动合同，按时支付工人工资，并对符合条件的员工按规定缴纳社会保险；保障员工享受国家规定的福利、假期、劳动补贴、带薪年假、节日补贴等。投标人在投标文件中，就此项条款作单独承诺。</w:t>
      </w:r>
    </w:p>
    <w:p>
      <w:pPr>
        <w:ind w:firstLine="420"/>
        <w:jc w:val="both"/>
      </w:pPr>
      <w:r>
        <w:rPr>
          <w:sz w:val="21"/>
        </w:rPr>
        <w:t>2.合同期内，中标方未能按照合同规定的项目服务标准，按质按量完成相关服务工作，或发生三次以上员工罢工或者无故停止工作，视为中标方违约，采购方有权解除合同，并不予退还中标方支付的履约保证金。</w:t>
      </w:r>
    </w:p>
    <w:p>
      <w:pPr>
        <w:ind w:firstLine="420"/>
        <w:jc w:val="both"/>
      </w:pPr>
      <w:r>
        <w:rPr>
          <w:sz w:val="21"/>
        </w:rPr>
        <w:t>3.如因中标方管理不善被采购方终止合同，中标方有义务为采购方继续履行合同，直到新的作业单位接管业务，并赔偿采购方聘用新的作业单位额外支付的费用或其他损失。</w:t>
      </w:r>
    </w:p>
    <w:p>
      <w:pPr>
        <w:ind w:firstLine="420"/>
        <w:jc w:val="both"/>
      </w:pPr>
      <w:r>
        <w:rPr>
          <w:sz w:val="21"/>
        </w:rPr>
        <w:t>4.双方需要变更或中途终止合同，必须提前一个月以正式书面的形式通知另一方，另一方在收到书面通知后15日内应予以答复，拖延方应向另一方赔偿一个月服务费作为违约金。</w:t>
      </w:r>
    </w:p>
    <w:p>
      <w:pPr>
        <w:ind w:firstLine="420"/>
        <w:jc w:val="both"/>
      </w:pPr>
      <w:r>
        <w:rPr>
          <w:sz w:val="21"/>
        </w:rPr>
        <w:t>5.采购方对中标方的作业内容、作业质量进行全方面监督和指导，对作业不达标和不符合要求而责令限时落实整改的，中标方必须不折不扣地落实整改事项任务，对拖延或拒不落实整改的，采购方有权实施其他处罚方法。</w:t>
      </w:r>
    </w:p>
    <w:p>
      <w:pPr>
        <w:ind w:firstLine="420"/>
        <w:jc w:val="both"/>
      </w:pPr>
      <w:r>
        <w:rPr>
          <w:sz w:val="21"/>
        </w:rPr>
        <w:t>6.合同履行期限内，采购方根据实际需要或对项目实施调整和完善，要求增加人力，所增加的人力数按照相应的人均工资标准增加服务费和规费，并以书面的形式双方签署补充合同。</w:t>
      </w:r>
    </w:p>
    <w:p>
      <w:pPr>
        <w:ind w:firstLine="420"/>
        <w:jc w:val="both"/>
      </w:pPr>
      <w:r>
        <w:rPr>
          <w:sz w:val="21"/>
        </w:rPr>
        <w:t>7.中标方如因安全生产意识薄弱，导致工伤等意外事故发生，由中标方负责处理和承担相应的责任，采购方概不负任何责任。</w:t>
      </w:r>
    </w:p>
    <w:p>
      <w:pPr>
        <w:ind w:firstLine="420"/>
        <w:jc w:val="both"/>
      </w:pPr>
      <w:r>
        <w:rPr>
          <w:sz w:val="21"/>
        </w:rPr>
        <w:t>8.中标方须加强与城市管理等部门的沟通和协调，妥善处理处置日常废弃垃圾、建筑垃圾和园林绿化垃圾的倾倒和排放，如因中标方不按相关规定乱倒乱放垃圾，由此造成的责任由中标方承担。</w:t>
      </w:r>
    </w:p>
    <w:p>
      <w:pPr>
        <w:ind w:firstLine="420"/>
        <w:jc w:val="both"/>
      </w:pPr>
      <w:r>
        <w:rPr>
          <w:sz w:val="21"/>
        </w:rPr>
        <w:t>9.中标方在市政维护维修施工作业中，要认真抓好现场文明施工管理工作，防范安全事故发生，如因疏于安全管理，或违反操作流程，造成安全事故发生，由此造成的责任由中标方承担。</w:t>
      </w:r>
    </w:p>
    <w:p>
      <w:pPr>
        <w:ind w:firstLine="420"/>
        <w:jc w:val="left"/>
      </w:pPr>
      <w:r>
        <w:rPr>
          <w:sz w:val="21"/>
        </w:rPr>
        <w:t>10.中标方应在进场一个月内设置固定办公场所和固定联系电话。</w:t>
      </w:r>
    </w:p>
    <w:p>
      <w:pPr>
        <w:jc w:val="both"/>
      </w:pPr>
      <w:r>
        <w:rPr>
          <w:b/>
          <w:sz w:val="21"/>
        </w:rPr>
        <w:t>十、考核办法</w:t>
      </w:r>
    </w:p>
    <w:p>
      <w:pPr>
        <w:jc w:val="both"/>
      </w:pPr>
      <w:r>
        <w:rPr>
          <w:b/>
          <w:sz w:val="21"/>
        </w:rPr>
        <w:t>附件一：公园日常清扫保洁作业检查考核考评方法：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04"/>
        <w:gridCol w:w="5059"/>
        <w:gridCol w:w="664"/>
        <w:gridCol w:w="967"/>
        <w:gridCol w:w="1012"/>
      </w:tblGrid>
      <w:tr>
        <w:tc>
          <w:tcPr>
            <w:tcW w:type="dxa" w:w="6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059"/>
            <w:tcBorders>
              <w:top w:val="single" w:color="000000" w:sz="4"/>
              <w:left w:val="none" w:color="000000" w:sz="4"/>
              <w:bottom w:val="single" w:color="000000" w:sz="4"/>
              <w:right w:val="single" w:color="000000" w:sz="4"/>
            </w:tcBorders>
            <w:vAlign w:val="top"/>
          </w:tcPr>
          <w:p>
            <w:pPr>
              <w:jc w:val="center"/>
            </w:pPr>
            <w:r>
              <w:rPr>
                <w:sz w:val="21"/>
              </w:rPr>
              <w:t>现场考核内容</w:t>
            </w:r>
          </w:p>
        </w:tc>
        <w:tc>
          <w:tcPr>
            <w:tcW w:type="dxa" w:w="664"/>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967"/>
            <w:tcBorders>
              <w:top w:val="single" w:color="000000" w:sz="4"/>
              <w:left w:val="none" w:color="000000" w:sz="4"/>
              <w:bottom w:val="single" w:color="000000" w:sz="4"/>
              <w:right w:val="single" w:color="000000" w:sz="4"/>
            </w:tcBorders>
            <w:vAlign w:val="top"/>
          </w:tcPr>
          <w:p>
            <w:pPr>
              <w:jc w:val="center"/>
            </w:pPr>
            <w:r>
              <w:rPr>
                <w:sz w:val="21"/>
              </w:rPr>
              <w:t>检查扣分</w:t>
            </w:r>
          </w:p>
        </w:tc>
        <w:tc>
          <w:tcPr>
            <w:tcW w:type="dxa" w:w="1012"/>
            <w:tcBorders>
              <w:top w:val="single" w:color="000000" w:sz="4"/>
              <w:left w:val="none" w:color="000000" w:sz="4"/>
              <w:bottom w:val="single" w:color="000000" w:sz="4"/>
              <w:right w:val="single" w:color="000000" w:sz="4"/>
            </w:tcBorders>
            <w:vAlign w:val="top"/>
          </w:tcPr>
          <w:p>
            <w:pPr>
              <w:jc w:val="center"/>
            </w:pPr>
            <w:r>
              <w:rPr>
                <w:sz w:val="21"/>
              </w:rPr>
              <w:t>得分</w:t>
            </w: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059"/>
            <w:tcBorders>
              <w:top w:val="none" w:color="000000" w:sz="4"/>
              <w:left w:val="none" w:color="000000" w:sz="4"/>
              <w:bottom w:val="single" w:color="000000" w:sz="4"/>
              <w:right w:val="single" w:color="000000" w:sz="4"/>
            </w:tcBorders>
            <w:vAlign w:val="top"/>
          </w:tcPr>
          <w:p>
            <w:pPr>
              <w:jc w:val="both"/>
            </w:pPr>
            <w:r>
              <w:rPr>
                <w:sz w:val="21"/>
              </w:rPr>
              <w:t>全天没有清扫，垃圾成堆，卫生状况明显脏乱差，每次扣2分。</w:t>
            </w:r>
          </w:p>
        </w:tc>
        <w:tc>
          <w:tcPr>
            <w:tcW w:type="dxa" w:w="664"/>
            <w:tcBorders>
              <w:top w:val="none" w:color="000000" w:sz="4"/>
              <w:left w:val="none" w:color="000000" w:sz="4"/>
              <w:bottom w:val="single" w:color="000000" w:sz="4"/>
              <w:right w:val="single" w:color="000000" w:sz="4"/>
            </w:tcBorders>
            <w:vAlign w:val="top"/>
          </w:tcPr>
          <w:p>
            <w:pPr>
              <w:jc w:val="center"/>
            </w:pPr>
            <w:r>
              <w:rPr>
                <w:sz w:val="21"/>
              </w:rPr>
              <w:t>25</w:t>
            </w:r>
          </w:p>
        </w:tc>
        <w:tc>
          <w:tcPr>
            <w:tcW w:type="dxa" w:w="967"/>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059"/>
            <w:tcBorders>
              <w:top w:val="none" w:color="000000" w:sz="4"/>
              <w:left w:val="none" w:color="000000" w:sz="4"/>
              <w:bottom w:val="single" w:color="000000" w:sz="4"/>
              <w:right w:val="single" w:color="000000" w:sz="4"/>
            </w:tcBorders>
            <w:vAlign w:val="top"/>
          </w:tcPr>
          <w:p>
            <w:pPr>
              <w:jc w:val="both"/>
            </w:pPr>
            <w:r>
              <w:rPr>
                <w:sz w:val="21"/>
              </w:rPr>
              <w:t>垃圾箱没有及时清掏，垃圾外溢，周边脏乱差没有及时清洗，地面残留大量油渍和污染物，每次扣2分。</w:t>
            </w:r>
          </w:p>
        </w:tc>
        <w:tc>
          <w:tcPr>
            <w:tcW w:type="dxa" w:w="664"/>
            <w:tcBorders>
              <w:top w:val="none" w:color="000000" w:sz="4"/>
              <w:left w:val="none" w:color="000000" w:sz="4"/>
              <w:bottom w:val="single" w:color="000000" w:sz="4"/>
              <w:right w:val="single" w:color="000000" w:sz="4"/>
            </w:tcBorders>
            <w:vAlign w:val="top"/>
          </w:tcPr>
          <w:p>
            <w:pPr>
              <w:jc w:val="center"/>
            </w:pPr>
            <w:r>
              <w:rPr>
                <w:sz w:val="21"/>
              </w:rPr>
              <w:t>25</w:t>
            </w:r>
          </w:p>
        </w:tc>
        <w:tc>
          <w:tcPr>
            <w:tcW w:type="dxa" w:w="967"/>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059"/>
            <w:tcBorders>
              <w:top w:val="none" w:color="000000" w:sz="4"/>
              <w:left w:val="none" w:color="000000" w:sz="4"/>
              <w:bottom w:val="single" w:color="000000" w:sz="4"/>
              <w:right w:val="single" w:color="000000" w:sz="4"/>
            </w:tcBorders>
            <w:vAlign w:val="top"/>
          </w:tcPr>
          <w:p>
            <w:pPr>
              <w:jc w:val="both"/>
            </w:pPr>
            <w:r>
              <w:rPr>
                <w:sz w:val="21"/>
              </w:rPr>
              <w:t>在重大节假日和迎检工作中，未按采购方和环境卫生主管部门要求落实责任任务，每次扣1分。</w:t>
            </w:r>
          </w:p>
        </w:tc>
        <w:tc>
          <w:tcPr>
            <w:tcW w:type="dxa" w:w="664"/>
            <w:tcBorders>
              <w:top w:val="none" w:color="000000" w:sz="4"/>
              <w:left w:val="none" w:color="000000" w:sz="4"/>
              <w:bottom w:val="single" w:color="000000" w:sz="4"/>
              <w:right w:val="single" w:color="000000" w:sz="4"/>
            </w:tcBorders>
            <w:vAlign w:val="top"/>
          </w:tcPr>
          <w:p>
            <w:pPr>
              <w:jc w:val="center"/>
            </w:pPr>
            <w:r>
              <w:rPr>
                <w:sz w:val="21"/>
              </w:rPr>
              <w:t>25</w:t>
            </w:r>
          </w:p>
        </w:tc>
        <w:tc>
          <w:tcPr>
            <w:tcW w:type="dxa" w:w="967"/>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059"/>
            <w:tcBorders>
              <w:top w:val="none" w:color="000000" w:sz="4"/>
              <w:left w:val="none" w:color="000000" w:sz="4"/>
              <w:bottom w:val="single" w:color="000000" w:sz="4"/>
              <w:right w:val="single" w:color="000000" w:sz="4"/>
            </w:tcBorders>
            <w:vAlign w:val="top"/>
          </w:tcPr>
          <w:p>
            <w:pPr>
              <w:jc w:val="both"/>
            </w:pPr>
            <w:r>
              <w:rPr>
                <w:sz w:val="21"/>
              </w:rPr>
              <w:t>由于管理不善，工作不到位，卫生要求不达标，引起市民群众普遍不满而被投诉&lt;采购方，主管部门及其他部门转办来电、来访投诉&gt;，经现场查实，确系中标方责任，每次扣1分。</w:t>
            </w:r>
          </w:p>
        </w:tc>
        <w:tc>
          <w:tcPr>
            <w:tcW w:type="dxa" w:w="664"/>
            <w:tcBorders>
              <w:top w:val="none" w:color="000000" w:sz="4"/>
              <w:left w:val="none" w:color="000000" w:sz="4"/>
              <w:bottom w:val="single" w:color="000000" w:sz="4"/>
              <w:right w:val="single" w:color="000000" w:sz="4"/>
            </w:tcBorders>
            <w:vAlign w:val="top"/>
          </w:tcPr>
          <w:p>
            <w:pPr>
              <w:jc w:val="center"/>
            </w:pPr>
            <w:r>
              <w:rPr>
                <w:sz w:val="21"/>
              </w:rPr>
              <w:t>25</w:t>
            </w:r>
          </w:p>
        </w:tc>
        <w:tc>
          <w:tcPr>
            <w:tcW w:type="dxa" w:w="967"/>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r>
      <w:tr>
        <w:tc>
          <w:tcPr>
            <w:tcW w:type="dxa" w:w="604"/>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5059"/>
            <w:tcBorders>
              <w:top w:val="none" w:color="000000" w:sz="4"/>
              <w:left w:val="none" w:color="000000" w:sz="4"/>
              <w:bottom w:val="single" w:color="000000" w:sz="4"/>
              <w:right w:val="single" w:color="000000" w:sz="4"/>
            </w:tcBorders>
            <w:vAlign w:val="top"/>
          </w:tcPr>
          <w:p>
            <w:pPr>
              <w:jc w:val="both"/>
            </w:pPr>
          </w:p>
        </w:tc>
        <w:tc>
          <w:tcPr>
            <w:tcW w:type="dxa" w:w="664"/>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67"/>
            <w:tcBorders>
              <w:top w:val="none" w:color="000000" w:sz="4"/>
              <w:left w:val="none" w:color="000000" w:sz="4"/>
              <w:bottom w:val="single" w:color="000000" w:sz="4"/>
              <w:right w:val="single" w:color="000000" w:sz="4"/>
            </w:tcBorders>
            <w:vAlign w:val="top"/>
          </w:tcPr>
          <w:p>
            <w:pPr>
              <w:jc w:val="both"/>
            </w:pPr>
          </w:p>
        </w:tc>
        <w:tc>
          <w:tcPr>
            <w:tcW w:type="dxa" w:w="1012"/>
            <w:tcBorders>
              <w:top w:val="none" w:color="000000" w:sz="4"/>
              <w:left w:val="none" w:color="000000" w:sz="4"/>
              <w:bottom w:val="single" w:color="000000" w:sz="4"/>
              <w:right w:val="single" w:color="000000" w:sz="4"/>
            </w:tcBorders>
            <w:vAlign w:val="top"/>
          </w:tcPr>
          <w:p>
            <w:pPr>
              <w:jc w:val="both"/>
            </w:pPr>
          </w:p>
        </w:tc>
      </w:tr>
    </w:tbl>
    <w:p>
      <w:pPr>
        <w:jc w:val="both"/>
      </w:pPr>
      <w:r>
        <w:rPr>
          <w:sz w:val="21"/>
        </w:rPr>
        <w:t>评分说明：</w:t>
      </w:r>
    </w:p>
    <w:p>
      <w:pPr>
        <w:jc w:val="both"/>
      </w:pPr>
      <w:r>
        <w:rPr>
          <w:b/>
          <w:sz w:val="21"/>
        </w:rPr>
        <w:t>1.</w:t>
      </w:r>
      <w:r>
        <w:rPr>
          <w:sz w:val="21"/>
        </w:rPr>
        <w:t>考核满分为</w:t>
      </w:r>
      <w:r>
        <w:rPr>
          <w:sz w:val="21"/>
        </w:rPr>
        <w:t>100分，考核分=（100-考</w:t>
      </w:r>
      <w:r>
        <w:rPr>
          <w:sz w:val="21"/>
        </w:rPr>
        <w:t>扣</w:t>
      </w:r>
      <w:r>
        <w:rPr>
          <w:sz w:val="21"/>
        </w:rPr>
        <w:t>分）。</w:t>
      </w:r>
    </w:p>
    <w:p>
      <w:pPr>
        <w:jc w:val="both"/>
      </w:pPr>
      <w:r>
        <w:rPr>
          <w:b/>
          <w:sz w:val="21"/>
        </w:rPr>
        <w:t>2.</w:t>
      </w:r>
      <w:r>
        <w:rPr>
          <w:sz w:val="21"/>
        </w:rPr>
        <w:t>95分以下（91-94分），每分扣200元</w:t>
      </w:r>
      <w:r>
        <w:rPr>
          <w:sz w:val="21"/>
        </w:rPr>
        <w:t>计</w:t>
      </w:r>
      <w:r>
        <w:rPr>
          <w:sz w:val="21"/>
        </w:rPr>
        <w:t>为违约金</w:t>
      </w:r>
      <w:r>
        <w:rPr>
          <w:sz w:val="21"/>
        </w:rPr>
        <w:t>。</w:t>
      </w:r>
    </w:p>
    <w:p>
      <w:pPr>
        <w:jc w:val="left"/>
      </w:pPr>
      <w:r>
        <w:rPr>
          <w:b/>
          <w:sz w:val="21"/>
        </w:rPr>
        <w:t>3.</w:t>
      </w:r>
      <w:r>
        <w:rPr>
          <w:sz w:val="21"/>
        </w:rPr>
        <w:t>90分以下，按每分扣款400元扣减当月的服务经费</w:t>
      </w:r>
      <w:r>
        <w:rPr>
          <w:sz w:val="21"/>
        </w:rPr>
        <w:t>计</w:t>
      </w:r>
      <w:r>
        <w:rPr>
          <w:sz w:val="21"/>
        </w:rPr>
        <w:t>为违约金</w:t>
      </w:r>
      <w:r>
        <w:rPr>
          <w:sz w:val="21"/>
        </w:rPr>
        <w:t>，连续累计</w:t>
      </w:r>
      <w:r>
        <w:rPr>
          <w:sz w:val="21"/>
        </w:rPr>
        <w:t>3次仍达不到90分的，除扣减作业经费外，采购方可采取其他处罚，直至单方面解除合同。</w:t>
      </w:r>
    </w:p>
    <w:p>
      <w:pPr>
        <w:jc w:val="left"/>
      </w:pPr>
    </w:p>
    <w:p>
      <w:pPr>
        <w:jc w:val="left"/>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b/>
          <w:sz w:val="21"/>
        </w:rPr>
        <w:t>附件二：公园日常绿化养护检查考评办法：</w:t>
      </w:r>
    </w:p>
    <w:tbl>
      <w:tblPr>
        <w:tblW w:w="0" w:type="auto"/>
        <w:tblBorders>
          <w:top w:val="none" w:color="000000" w:sz="4"/>
          <w:left w:val="none" w:color="000000" w:sz="4"/>
          <w:bottom w:val="none" w:color="000000" w:sz="4"/>
          <w:right w:val="none" w:color="000000" w:sz="4"/>
          <w:insideH w:val="none"/>
          <w:insideV w:val="none"/>
        </w:tblBorders>
      </w:tblPr>
      <w:tblGrid>
        <w:gridCol w:w="574"/>
        <w:gridCol w:w="453"/>
        <w:gridCol w:w="634"/>
        <w:gridCol w:w="2009"/>
        <w:gridCol w:w="2386"/>
        <w:gridCol w:w="725"/>
        <w:gridCol w:w="695"/>
        <w:gridCol w:w="831"/>
      </w:tblGrid>
      <w:tr>
        <w:tc>
          <w:tcPr>
            <w:tcW w:type="dxa" w:w="574"/>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453"/>
            <w:tcBorders>
              <w:top w:val="single" w:color="000000" w:sz="4"/>
              <w:left w:val="none" w:color="000000" w:sz="4"/>
              <w:bottom w:val="single" w:color="000000" w:sz="4"/>
              <w:right w:val="single" w:color="000000" w:sz="4"/>
            </w:tcBorders>
            <w:vAlign w:val="top"/>
          </w:tcPr>
          <w:p>
            <w:pPr>
              <w:jc w:val="center"/>
            </w:pPr>
            <w:r>
              <w:rPr>
                <w:sz w:val="21"/>
              </w:rPr>
              <w:t>总分</w:t>
            </w:r>
          </w:p>
        </w:tc>
        <w:tc>
          <w:tcPr>
            <w:tcW w:type="dxa" w:w="634"/>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2009"/>
            <w:tcBorders>
              <w:top w:val="single" w:color="000000" w:sz="4"/>
              <w:left w:val="none" w:color="000000" w:sz="4"/>
              <w:bottom w:val="single" w:color="000000" w:sz="4"/>
              <w:right w:val="single" w:color="000000" w:sz="4"/>
            </w:tcBorders>
            <w:vAlign w:val="top"/>
          </w:tcPr>
          <w:p>
            <w:pPr>
              <w:jc w:val="center"/>
            </w:pPr>
            <w:r>
              <w:rPr>
                <w:sz w:val="21"/>
              </w:rPr>
              <w:t>检查方法及评估依据</w:t>
            </w:r>
          </w:p>
        </w:tc>
        <w:tc>
          <w:tcPr>
            <w:tcW w:type="dxa" w:w="2386"/>
            <w:tcBorders>
              <w:top w:val="single" w:color="000000" w:sz="4"/>
              <w:left w:val="none" w:color="000000" w:sz="4"/>
              <w:bottom w:val="single" w:color="000000" w:sz="4"/>
              <w:right w:val="single" w:color="000000" w:sz="4"/>
            </w:tcBorders>
            <w:vAlign w:val="top"/>
          </w:tcPr>
          <w:p>
            <w:pPr>
              <w:jc w:val="center"/>
            </w:pPr>
            <w:r>
              <w:rPr>
                <w:sz w:val="21"/>
              </w:rPr>
              <w:t>扣分方法</w:t>
            </w:r>
          </w:p>
        </w:tc>
        <w:tc>
          <w:tcPr>
            <w:tcW w:type="dxa" w:w="725"/>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检查扣分</w:t>
            </w:r>
          </w:p>
        </w:tc>
        <w:tc>
          <w:tcPr>
            <w:tcW w:type="dxa" w:w="831"/>
            <w:tcBorders>
              <w:top w:val="single" w:color="000000" w:sz="4"/>
              <w:left w:val="none" w:color="000000" w:sz="4"/>
              <w:bottom w:val="single" w:color="000000" w:sz="4"/>
              <w:right w:val="single" w:color="000000" w:sz="4"/>
            </w:tcBorders>
            <w:vAlign w:val="top"/>
          </w:tcPr>
          <w:p>
            <w:pPr>
              <w:jc w:val="center"/>
            </w:pPr>
            <w:r>
              <w:rPr>
                <w:sz w:val="21"/>
              </w:rPr>
              <w:t>应得分</w:t>
            </w:r>
          </w:p>
        </w:tc>
      </w:tr>
      <w:tr>
        <w:tc>
          <w:tcPr>
            <w:tcW w:type="dxa" w:w="574"/>
            <w:vMerge w:val="restart"/>
            <w:tcBorders>
              <w:top w:val="none" w:color="000000" w:sz="4"/>
              <w:left w:val="single" w:color="000000" w:sz="4"/>
              <w:bottom w:val="single" w:color="000000" w:sz="4"/>
              <w:right w:val="single" w:color="000000" w:sz="4"/>
            </w:tcBorders>
            <w:vAlign w:val="top"/>
          </w:tcPr>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绿</w:t>
            </w:r>
          </w:p>
          <w:p>
            <w:pPr>
              <w:jc w:val="center"/>
            </w:pPr>
            <w:r>
              <w:rPr>
                <w:sz w:val="21"/>
              </w:rPr>
              <w:t>化</w:t>
            </w:r>
          </w:p>
          <w:p>
            <w:pPr>
              <w:jc w:val="center"/>
            </w:pPr>
            <w:r>
              <w:rPr>
                <w:sz w:val="21"/>
              </w:rPr>
              <w:t>管</w:t>
            </w:r>
          </w:p>
          <w:p>
            <w:pPr>
              <w:jc w:val="center"/>
            </w:pPr>
            <w:r>
              <w:rPr>
                <w:sz w:val="21"/>
              </w:rPr>
              <w:t>理</w:t>
            </w:r>
          </w:p>
          <w:p>
            <w:pPr>
              <w:jc w:val="center"/>
            </w:pPr>
            <w:r>
              <w:rPr>
                <w:sz w:val="21"/>
              </w:rPr>
              <w:t>养</w:t>
            </w:r>
          </w:p>
          <w:p>
            <w:pPr>
              <w:jc w:val="center"/>
            </w:pPr>
            <w:r>
              <w:rPr>
                <w:sz w:val="21"/>
              </w:rPr>
              <w:t>护</w:t>
            </w:r>
          </w:p>
        </w:tc>
        <w:tc>
          <w:tcPr>
            <w:tcW w:type="dxa" w:w="453"/>
            <w:vMerge w:val="restart"/>
            <w:tcBorders>
              <w:top w:val="none" w:color="000000" w:sz="4"/>
              <w:left w:val="none" w:color="000000" w:sz="4"/>
              <w:bottom w:val="single" w:color="000000" w:sz="4"/>
              <w:right w:val="single" w:color="000000" w:sz="4"/>
            </w:tcBorders>
            <w:vAlign w:val="top"/>
          </w:tcPr>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1</w:t>
            </w:r>
          </w:p>
          <w:p>
            <w:pPr>
              <w:jc w:val="both"/>
            </w:pPr>
            <w:r>
              <w:rPr>
                <w:sz w:val="21"/>
              </w:rPr>
              <w:t>0</w:t>
            </w:r>
          </w:p>
          <w:p>
            <w:pPr>
              <w:jc w:val="both"/>
            </w:pPr>
            <w:r>
              <w:rPr>
                <w:sz w:val="21"/>
              </w:rPr>
              <w:t>0分</w:t>
            </w:r>
          </w:p>
        </w:tc>
        <w:tc>
          <w:tcPr>
            <w:tcW w:type="dxa" w:w="634"/>
            <w:tcBorders>
              <w:top w:val="none" w:color="000000" w:sz="4"/>
              <w:left w:val="none" w:color="000000" w:sz="4"/>
              <w:bottom w:val="single" w:color="000000" w:sz="4"/>
              <w:right w:val="single" w:color="000000" w:sz="4"/>
            </w:tcBorders>
            <w:vAlign w:val="top"/>
          </w:tcPr>
          <w:p>
            <w:pPr>
              <w:jc w:val="center"/>
            </w:pPr>
            <w:r>
              <w:rPr>
                <w:sz w:val="21"/>
              </w:rPr>
              <w:t>草地养护</w:t>
            </w:r>
          </w:p>
          <w:p>
            <w:pPr>
              <w:jc w:val="center"/>
            </w:pPr>
            <w:r>
              <w:rPr>
                <w:sz w:val="21"/>
              </w:rPr>
              <w:t>（15分）</w:t>
            </w:r>
          </w:p>
        </w:tc>
        <w:tc>
          <w:tcPr>
            <w:tcW w:type="dxa" w:w="2009"/>
            <w:tcBorders>
              <w:top w:val="none" w:color="000000" w:sz="4"/>
              <w:left w:val="none" w:color="000000" w:sz="4"/>
              <w:bottom w:val="single" w:color="000000" w:sz="4"/>
              <w:right w:val="single" w:color="000000" w:sz="4"/>
            </w:tcBorders>
            <w:vAlign w:val="top"/>
          </w:tcPr>
          <w:p>
            <w:pPr>
              <w:jc w:val="both"/>
            </w:pPr>
            <w:r>
              <w:rPr>
                <w:sz w:val="21"/>
              </w:rPr>
              <w:t>1.随机抽排查10平方绿化地，每平方绿化地杂草不超过3株。</w:t>
            </w:r>
          </w:p>
          <w:p>
            <w:pPr>
              <w:jc w:val="both"/>
            </w:pPr>
            <w:r>
              <w:rPr>
                <w:sz w:val="21"/>
              </w:rPr>
              <w:t>2.绿化带（单边）草皮及小灌木类的生长不超出路牙并及时修剪</w:t>
            </w:r>
          </w:p>
        </w:tc>
        <w:tc>
          <w:tcPr>
            <w:tcW w:type="dxa" w:w="2386"/>
            <w:tcBorders>
              <w:top w:val="none" w:color="000000" w:sz="4"/>
              <w:left w:val="none" w:color="000000" w:sz="4"/>
              <w:bottom w:val="single" w:color="000000" w:sz="4"/>
              <w:right w:val="single" w:color="000000" w:sz="4"/>
            </w:tcBorders>
            <w:vAlign w:val="top"/>
          </w:tcPr>
          <w:p>
            <w:pPr>
              <w:jc w:val="both"/>
            </w:pPr>
            <w:r>
              <w:rPr>
                <w:sz w:val="21"/>
              </w:rPr>
              <w:t>1.每平方米杂草超过3株的，每超过1株扣0.1分，扣完为止</w:t>
            </w:r>
          </w:p>
          <w:p>
            <w:pPr>
              <w:jc w:val="both"/>
            </w:pPr>
            <w:r>
              <w:rPr>
                <w:sz w:val="21"/>
              </w:rPr>
              <w:t>2.超过路牙不修剪的，超出部分每30米扣0.1分，扣完为止</w:t>
            </w:r>
          </w:p>
        </w:tc>
        <w:tc>
          <w:tcPr>
            <w:tcW w:type="dxa" w:w="725"/>
            <w:tcBorders>
              <w:top w:val="none" w:color="000000" w:sz="4"/>
              <w:left w:val="none" w:color="000000" w:sz="4"/>
              <w:bottom w:val="single" w:color="000000" w:sz="4"/>
              <w:right w:val="single" w:color="000000" w:sz="4"/>
            </w:tcBorders>
            <w:vAlign w:val="top"/>
          </w:tcPr>
          <w:p>
            <w:pPr>
              <w:jc w:val="both"/>
            </w:pPr>
            <w:r>
              <w:rPr>
                <w:sz w:val="21"/>
              </w:rPr>
              <w:t>15分</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831"/>
            <w:tcBorders>
              <w:top w:val="none" w:color="000000" w:sz="4"/>
              <w:left w:val="none" w:color="000000" w:sz="4"/>
              <w:bottom w:val="single" w:color="000000" w:sz="4"/>
              <w:right w:val="single" w:color="000000" w:sz="4"/>
            </w:tcBorders>
            <w:vAlign w:val="top"/>
          </w:tcPr>
          <w:p>
            <w:pPr>
              <w:jc w:val="both"/>
            </w:pPr>
          </w:p>
        </w:tc>
      </w:tr>
      <w:tr>
        <w:tc>
          <w:tcPr>
            <w:tcW w:type="dxa" w:w="574"/>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vAlign w:val="top"/>
          </w:tcPr>
          <w:p>
            <w:pPr>
              <w:jc w:val="center"/>
            </w:pPr>
            <w:r>
              <w:rPr>
                <w:sz w:val="21"/>
              </w:rPr>
              <w:t>乔木灌木修剪造型</w:t>
            </w:r>
          </w:p>
          <w:p>
            <w:pPr>
              <w:jc w:val="center"/>
            </w:pPr>
            <w:r>
              <w:rPr>
                <w:sz w:val="21"/>
              </w:rPr>
              <w:t>（20分）</w:t>
            </w:r>
          </w:p>
        </w:tc>
        <w:tc>
          <w:tcPr>
            <w:tcW w:type="dxa" w:w="2009"/>
            <w:tcBorders>
              <w:top w:val="none" w:color="000000" w:sz="4"/>
              <w:left w:val="none" w:color="000000" w:sz="4"/>
              <w:bottom w:val="single" w:color="000000" w:sz="4"/>
              <w:right w:val="single" w:color="000000" w:sz="4"/>
            </w:tcBorders>
            <w:vAlign w:val="top"/>
          </w:tcPr>
          <w:p>
            <w:pPr>
              <w:jc w:val="both"/>
            </w:pPr>
            <w:r>
              <w:rPr>
                <w:sz w:val="21"/>
              </w:rPr>
              <w:t>1.乔木因枝条过密，过低，有枯枝残枝头不超过2厘米。</w:t>
            </w:r>
          </w:p>
          <w:p>
            <w:pPr>
              <w:jc w:val="both"/>
            </w:pPr>
            <w:r>
              <w:rPr>
                <w:sz w:val="21"/>
              </w:rPr>
              <w:t>2.灌木或绿篱能及时修剪不影响美观。</w:t>
            </w:r>
          </w:p>
        </w:tc>
        <w:tc>
          <w:tcPr>
            <w:tcW w:type="dxa" w:w="2386"/>
            <w:tcBorders>
              <w:top w:val="none" w:color="000000" w:sz="4"/>
              <w:left w:val="none" w:color="000000" w:sz="4"/>
              <w:bottom w:val="single" w:color="000000" w:sz="4"/>
              <w:right w:val="single" w:color="000000" w:sz="4"/>
            </w:tcBorders>
            <w:vAlign w:val="top"/>
          </w:tcPr>
          <w:p>
            <w:pPr>
              <w:jc w:val="both"/>
            </w:pPr>
            <w:r>
              <w:rPr>
                <w:sz w:val="21"/>
              </w:rPr>
              <w:t>1.超过5厘米的，每株扣0.1分，扣完为止。</w:t>
            </w:r>
          </w:p>
          <w:p>
            <w:pPr>
              <w:jc w:val="both"/>
            </w:pPr>
            <w:r>
              <w:rPr>
                <w:sz w:val="21"/>
              </w:rPr>
              <w:t>2.因修剪不当或不修剪，影响美观的，每株扣0.1分或每平方米扣0.1分扣完为止。</w:t>
            </w:r>
          </w:p>
        </w:tc>
        <w:tc>
          <w:tcPr>
            <w:tcW w:type="dxa" w:w="725"/>
            <w:tcBorders>
              <w:top w:val="none" w:color="000000" w:sz="4"/>
              <w:left w:val="none" w:color="000000" w:sz="4"/>
              <w:bottom w:val="single" w:color="000000" w:sz="4"/>
              <w:right w:val="single" w:color="000000" w:sz="4"/>
            </w:tcBorders>
            <w:vAlign w:val="top"/>
          </w:tcPr>
          <w:p>
            <w:pPr>
              <w:jc w:val="both"/>
            </w:pPr>
            <w:r>
              <w:rPr>
                <w:sz w:val="21"/>
              </w:rPr>
              <w:t>20分</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831"/>
            <w:tcBorders>
              <w:top w:val="none" w:color="000000" w:sz="4"/>
              <w:left w:val="none" w:color="000000" w:sz="4"/>
              <w:bottom w:val="single" w:color="000000" w:sz="4"/>
              <w:right w:val="single" w:color="000000" w:sz="4"/>
            </w:tcBorders>
            <w:vAlign w:val="top"/>
          </w:tcPr>
          <w:p>
            <w:pPr>
              <w:jc w:val="both"/>
            </w:pPr>
          </w:p>
        </w:tc>
      </w:tr>
      <w:tr>
        <w:tc>
          <w:tcPr>
            <w:tcW w:type="dxa" w:w="574"/>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vAlign w:val="top"/>
          </w:tcPr>
          <w:p>
            <w:pPr>
              <w:jc w:val="center"/>
            </w:pPr>
            <w:r>
              <w:rPr>
                <w:sz w:val="21"/>
              </w:rPr>
              <w:t>绿地清洁卫生（30分）</w:t>
            </w:r>
          </w:p>
        </w:tc>
        <w:tc>
          <w:tcPr>
            <w:tcW w:type="dxa" w:w="2009"/>
            <w:tcBorders>
              <w:top w:val="none" w:color="000000" w:sz="4"/>
              <w:left w:val="none" w:color="000000" w:sz="4"/>
              <w:bottom w:val="single" w:color="000000" w:sz="4"/>
              <w:right w:val="single" w:color="000000" w:sz="4"/>
            </w:tcBorders>
            <w:vAlign w:val="top"/>
          </w:tcPr>
          <w:p>
            <w:pPr>
              <w:jc w:val="both"/>
            </w:pPr>
            <w:r>
              <w:rPr>
                <w:sz w:val="21"/>
              </w:rPr>
              <w:t>1.每天完成绿地清洁工作，做好保洁。</w:t>
            </w:r>
          </w:p>
          <w:p>
            <w:pPr>
              <w:jc w:val="both"/>
            </w:pPr>
            <w:r>
              <w:rPr>
                <w:sz w:val="21"/>
              </w:rPr>
              <w:t>2.在绿地区内未发生焚烧物</w:t>
            </w:r>
          </w:p>
          <w:p>
            <w:pPr>
              <w:jc w:val="both"/>
            </w:pPr>
            <w:r>
              <w:rPr>
                <w:sz w:val="21"/>
              </w:rPr>
              <w:t>3.绿地修剪后的枯枝干叶等，在修剪当天及时清扫保洁。</w:t>
            </w:r>
          </w:p>
        </w:tc>
        <w:tc>
          <w:tcPr>
            <w:tcW w:type="dxa" w:w="2386"/>
            <w:tcBorders>
              <w:top w:val="none" w:color="000000" w:sz="4"/>
              <w:left w:val="none" w:color="000000" w:sz="4"/>
              <w:bottom w:val="single" w:color="000000" w:sz="4"/>
              <w:right w:val="single" w:color="000000" w:sz="4"/>
            </w:tcBorders>
            <w:vAlign w:val="top"/>
          </w:tcPr>
          <w:p>
            <w:pPr>
              <w:jc w:val="both"/>
            </w:pPr>
            <w:r>
              <w:rPr>
                <w:sz w:val="21"/>
              </w:rPr>
              <w:t>1.草地每100平方米，分离绿化带每平方米，100米长度范围内有纸屑，胶袋，石块，杂物等超过5单位，每单位扣2分，扣完为止</w:t>
            </w:r>
          </w:p>
          <w:p>
            <w:pPr>
              <w:jc w:val="both"/>
            </w:pPr>
            <w:r>
              <w:rPr>
                <w:sz w:val="21"/>
              </w:rPr>
              <w:t>2.绿地发生焚烧杂物的，每处扣1分，扣完为止。</w:t>
            </w:r>
          </w:p>
          <w:p>
            <w:pPr>
              <w:jc w:val="both"/>
            </w:pPr>
            <w:r>
              <w:rPr>
                <w:sz w:val="21"/>
              </w:rPr>
              <w:t>3.未能及时运走和清扫保洁物的，每处扣0.1分，扣完为止。</w:t>
            </w:r>
          </w:p>
        </w:tc>
        <w:tc>
          <w:tcPr>
            <w:tcW w:type="dxa" w:w="725"/>
            <w:tcBorders>
              <w:top w:val="none" w:color="000000" w:sz="4"/>
              <w:left w:val="none" w:color="000000" w:sz="4"/>
              <w:bottom w:val="single" w:color="000000" w:sz="4"/>
              <w:right w:val="single" w:color="000000" w:sz="4"/>
            </w:tcBorders>
            <w:vAlign w:val="top"/>
          </w:tcPr>
          <w:p>
            <w:pPr>
              <w:jc w:val="both"/>
            </w:pPr>
            <w:r>
              <w:rPr>
                <w:sz w:val="21"/>
              </w:rPr>
              <w:t>30分</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831"/>
            <w:tcBorders>
              <w:top w:val="none" w:color="000000" w:sz="4"/>
              <w:left w:val="none" w:color="000000" w:sz="4"/>
              <w:bottom w:val="single" w:color="000000" w:sz="4"/>
              <w:right w:val="single" w:color="000000" w:sz="4"/>
            </w:tcBorders>
            <w:vAlign w:val="top"/>
          </w:tcPr>
          <w:p>
            <w:pPr>
              <w:jc w:val="both"/>
            </w:pPr>
          </w:p>
        </w:tc>
      </w:tr>
      <w:tr>
        <w:tc>
          <w:tcPr>
            <w:tcW w:type="dxa" w:w="574"/>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634"/>
            <w:tcBorders>
              <w:top w:val="none" w:color="000000" w:sz="4"/>
              <w:left w:val="none" w:color="000000" w:sz="4"/>
              <w:bottom w:val="single" w:color="000000" w:sz="4"/>
              <w:right w:val="single" w:color="000000" w:sz="4"/>
            </w:tcBorders>
            <w:vAlign w:val="top"/>
          </w:tcPr>
          <w:p>
            <w:pPr>
              <w:jc w:val="center"/>
            </w:pPr>
            <w:r>
              <w:rPr>
                <w:sz w:val="21"/>
              </w:rPr>
              <w:t>苗木草地的生长养护</w:t>
            </w:r>
          </w:p>
          <w:p>
            <w:pPr>
              <w:jc w:val="center"/>
            </w:pPr>
            <w:r>
              <w:rPr>
                <w:sz w:val="21"/>
              </w:rPr>
              <w:t>（35分）</w:t>
            </w:r>
          </w:p>
        </w:tc>
        <w:tc>
          <w:tcPr>
            <w:tcW w:type="dxa" w:w="2009"/>
            <w:tcBorders>
              <w:top w:val="none" w:color="000000" w:sz="4"/>
              <w:left w:val="none" w:color="000000" w:sz="4"/>
              <w:bottom w:val="single" w:color="000000" w:sz="4"/>
              <w:right w:val="single" w:color="000000" w:sz="4"/>
            </w:tcBorders>
            <w:vAlign w:val="top"/>
          </w:tcPr>
          <w:p>
            <w:pPr>
              <w:jc w:val="both"/>
            </w:pPr>
            <w:r>
              <w:rPr>
                <w:sz w:val="21"/>
              </w:rPr>
              <w:t>1.管理养护（能及时淋水，施肥，松土，除杂等）得当，未有病虫害发生，苗木长势茂盛。</w:t>
            </w:r>
          </w:p>
          <w:p>
            <w:pPr>
              <w:jc w:val="both"/>
            </w:pPr>
            <w:r>
              <w:rPr>
                <w:sz w:val="21"/>
              </w:rPr>
              <w:t>2.管理养护（能及时淋水，施肥，松土除杂等）得当未有病虫害发生，草地长势茂盛。</w:t>
            </w:r>
          </w:p>
          <w:p>
            <w:pPr>
              <w:jc w:val="both"/>
            </w:pPr>
            <w:r>
              <w:rPr>
                <w:sz w:val="21"/>
              </w:rPr>
              <w:t>3.苗木缺损能及时采取补救措施。</w:t>
            </w:r>
          </w:p>
        </w:tc>
        <w:tc>
          <w:tcPr>
            <w:tcW w:type="dxa" w:w="2386"/>
            <w:tcBorders>
              <w:top w:val="none" w:color="000000" w:sz="4"/>
              <w:left w:val="none" w:color="000000" w:sz="4"/>
              <w:bottom w:val="single" w:color="000000" w:sz="4"/>
              <w:right w:val="single" w:color="000000" w:sz="4"/>
            </w:tcBorders>
            <w:vAlign w:val="top"/>
          </w:tcPr>
          <w:p>
            <w:pPr>
              <w:jc w:val="both"/>
            </w:pPr>
            <w:r>
              <w:rPr>
                <w:sz w:val="21"/>
              </w:rPr>
              <w:t>1.因养护不当，及病虫害而导致苗木长势太弱，不够茂盛，每株乔、灌木，扣0.2分，扣完为止</w:t>
            </w:r>
          </w:p>
          <w:p>
            <w:pPr>
              <w:jc w:val="both"/>
            </w:pPr>
            <w:r>
              <w:rPr>
                <w:sz w:val="21"/>
              </w:rPr>
              <w:t>2.因养护不当，及病虫害而导致苗木长势太弱，不够茂盛，草地或绿篱，每30平方米扣0.5分，扣完为止。</w:t>
            </w:r>
          </w:p>
          <w:p>
            <w:pPr>
              <w:jc w:val="both"/>
            </w:pPr>
            <w:r>
              <w:rPr>
                <w:sz w:val="21"/>
              </w:rPr>
              <w:t>3.未及时采用补救措施的，每株扣0.1分，乔木、草地或绿篱，每10平方米扣0.5分，扣完为止。</w:t>
            </w:r>
          </w:p>
        </w:tc>
        <w:tc>
          <w:tcPr>
            <w:tcW w:type="dxa" w:w="725"/>
            <w:tcBorders>
              <w:top w:val="none" w:color="000000" w:sz="4"/>
              <w:left w:val="none" w:color="000000" w:sz="4"/>
              <w:bottom w:val="single" w:color="000000" w:sz="4"/>
              <w:right w:val="single" w:color="000000" w:sz="4"/>
            </w:tcBorders>
            <w:vAlign w:val="top"/>
          </w:tcPr>
          <w:p>
            <w:pPr>
              <w:jc w:val="both"/>
            </w:pPr>
            <w:r>
              <w:rPr>
                <w:sz w:val="21"/>
              </w:rPr>
              <w:t>35分</w:t>
            </w: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831"/>
            <w:tcBorders>
              <w:top w:val="none" w:color="000000" w:sz="4"/>
              <w:left w:val="none" w:color="000000" w:sz="4"/>
              <w:bottom w:val="single" w:color="000000" w:sz="4"/>
              <w:right w:val="single" w:color="000000" w:sz="4"/>
            </w:tcBorders>
            <w:vAlign w:val="top"/>
          </w:tcPr>
          <w:p>
            <w:pPr>
              <w:jc w:val="both"/>
            </w:pPr>
          </w:p>
        </w:tc>
      </w:tr>
      <w:tr>
        <w:tc>
          <w:tcPr>
            <w:tcW w:type="dxa" w:w="574"/>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453"/>
            <w:tcBorders>
              <w:top w:val="none" w:color="000000" w:sz="4"/>
              <w:left w:val="none" w:color="000000" w:sz="4"/>
              <w:bottom w:val="single" w:color="000000" w:sz="4"/>
              <w:right w:val="single" w:color="000000" w:sz="4"/>
            </w:tcBorders>
            <w:vAlign w:val="top"/>
          </w:tcPr>
          <w:p>
            <w:pPr>
              <w:jc w:val="both"/>
            </w:pPr>
          </w:p>
        </w:tc>
        <w:tc>
          <w:tcPr>
            <w:tcW w:type="dxa" w:w="634"/>
            <w:tcBorders>
              <w:top w:val="none" w:color="000000" w:sz="4"/>
              <w:left w:val="none" w:color="000000" w:sz="4"/>
              <w:bottom w:val="single" w:color="000000" w:sz="4"/>
              <w:right w:val="single" w:color="000000" w:sz="4"/>
            </w:tcBorders>
            <w:vAlign w:val="top"/>
          </w:tcPr>
          <w:p>
            <w:pPr>
              <w:jc w:val="both"/>
            </w:pPr>
          </w:p>
        </w:tc>
        <w:tc>
          <w:tcPr>
            <w:tcW w:type="dxa" w:w="2009"/>
            <w:tcBorders>
              <w:top w:val="none" w:color="000000" w:sz="4"/>
              <w:left w:val="none" w:color="000000" w:sz="4"/>
              <w:bottom w:val="single" w:color="000000" w:sz="4"/>
              <w:right w:val="single" w:color="000000" w:sz="4"/>
            </w:tcBorders>
            <w:vAlign w:val="top"/>
          </w:tcPr>
          <w:p>
            <w:pPr>
              <w:jc w:val="both"/>
            </w:pPr>
          </w:p>
        </w:tc>
        <w:tc>
          <w:tcPr>
            <w:tcW w:type="dxa" w:w="2386"/>
            <w:tcBorders>
              <w:top w:val="none" w:color="000000" w:sz="4"/>
              <w:left w:val="none" w:color="000000" w:sz="4"/>
              <w:bottom w:val="single" w:color="000000" w:sz="4"/>
              <w:right w:val="single" w:color="000000" w:sz="4"/>
            </w:tcBorders>
            <w:vAlign w:val="top"/>
          </w:tcPr>
          <w:p>
            <w:pPr>
              <w:jc w:val="both"/>
            </w:pPr>
          </w:p>
        </w:tc>
        <w:tc>
          <w:tcPr>
            <w:tcW w:type="dxa" w:w="725"/>
            <w:tcBorders>
              <w:top w:val="none" w:color="000000" w:sz="4"/>
              <w:left w:val="none" w:color="000000" w:sz="4"/>
              <w:bottom w:val="single" w:color="000000" w:sz="4"/>
              <w:right w:val="single" w:color="000000" w:sz="4"/>
            </w:tcBorders>
            <w:vAlign w:val="top"/>
          </w:tcPr>
          <w:p>
            <w:pPr>
              <w:jc w:val="both"/>
            </w:pPr>
          </w:p>
        </w:tc>
        <w:tc>
          <w:tcPr>
            <w:tcW w:type="dxa" w:w="695"/>
            <w:tcBorders>
              <w:top w:val="none" w:color="000000" w:sz="4"/>
              <w:left w:val="none" w:color="000000" w:sz="4"/>
              <w:bottom w:val="single" w:color="000000" w:sz="4"/>
              <w:right w:val="single" w:color="000000" w:sz="4"/>
            </w:tcBorders>
            <w:vAlign w:val="top"/>
          </w:tcPr>
          <w:p>
            <w:pPr>
              <w:jc w:val="both"/>
            </w:pPr>
          </w:p>
        </w:tc>
        <w:tc>
          <w:tcPr>
            <w:tcW w:type="dxa" w:w="831"/>
            <w:tcBorders>
              <w:top w:val="none" w:color="000000" w:sz="4"/>
              <w:left w:val="none" w:color="000000" w:sz="4"/>
              <w:bottom w:val="single" w:color="000000" w:sz="4"/>
              <w:right w:val="single" w:color="000000" w:sz="4"/>
            </w:tcBorders>
            <w:vAlign w:val="top"/>
          </w:tcPr>
          <w:p>
            <w:pPr>
              <w:jc w:val="both"/>
            </w:pPr>
          </w:p>
          <w:p>
            <w:pPr>
              <w:jc w:val="both"/>
            </w:pPr>
            <w:r>
              <w:rPr>
                <w:sz w:val="21"/>
              </w:rPr>
              <w:t xml:space="preserve"> </w:t>
            </w:r>
          </w:p>
        </w:tc>
      </w:tr>
    </w:tbl>
    <w:p>
      <w:pPr>
        <w:jc w:val="both"/>
      </w:pPr>
      <w:r>
        <w:rPr>
          <w:sz w:val="21"/>
        </w:rPr>
        <w:t>评分说明：</w:t>
      </w:r>
    </w:p>
    <w:p>
      <w:pPr>
        <w:jc w:val="both"/>
      </w:pPr>
      <w:r>
        <w:rPr>
          <w:b/>
          <w:sz w:val="21"/>
        </w:rPr>
        <w:t>1.</w:t>
      </w:r>
      <w:r>
        <w:rPr>
          <w:sz w:val="21"/>
        </w:rPr>
        <w:t>考核满分为</w:t>
      </w:r>
      <w:r>
        <w:rPr>
          <w:sz w:val="21"/>
        </w:rPr>
        <w:t>100分，考核分=（100-考扣分）</w:t>
      </w:r>
    </w:p>
    <w:p>
      <w:pPr>
        <w:jc w:val="both"/>
      </w:pPr>
      <w:r>
        <w:rPr>
          <w:b/>
          <w:sz w:val="21"/>
        </w:rPr>
        <w:t>2.</w:t>
      </w:r>
      <w:r>
        <w:rPr>
          <w:sz w:val="21"/>
        </w:rPr>
        <w:t>95分以下（91-94）每分扣200元</w:t>
      </w:r>
      <w:r>
        <w:rPr>
          <w:sz w:val="21"/>
        </w:rPr>
        <w:t>计</w:t>
      </w:r>
      <w:r>
        <w:rPr>
          <w:sz w:val="21"/>
        </w:rPr>
        <w:t>为违约金</w:t>
      </w:r>
      <w:r>
        <w:rPr>
          <w:sz w:val="21"/>
        </w:rPr>
        <w:t>。</w:t>
      </w:r>
    </w:p>
    <w:p>
      <w:pPr>
        <w:jc w:val="left"/>
      </w:pPr>
      <w:r>
        <w:rPr>
          <w:b/>
          <w:sz w:val="21"/>
        </w:rPr>
        <w:t>3.</w:t>
      </w:r>
      <w:r>
        <w:rPr>
          <w:sz w:val="21"/>
        </w:rPr>
        <w:t>90分以下的，按每分扣款400元扣减当月的承包经费</w:t>
      </w:r>
      <w:r>
        <w:rPr>
          <w:sz w:val="21"/>
        </w:rPr>
        <w:t>计</w:t>
      </w:r>
      <w:r>
        <w:rPr>
          <w:sz w:val="21"/>
        </w:rPr>
        <w:t>为违约金</w:t>
      </w:r>
      <w:r>
        <w:rPr>
          <w:sz w:val="21"/>
        </w:rPr>
        <w:t>，连续累计</w:t>
      </w:r>
      <w:r>
        <w:rPr>
          <w:sz w:val="21"/>
        </w:rPr>
        <w:t>3次仍达不到90分的，除扣减作业经费外，可单方面解除合同。</w:t>
      </w:r>
    </w:p>
    <w:p>
      <w:pPr>
        <w:jc w:val="left"/>
      </w:pPr>
    </w:p>
    <w:p>
      <w:pPr>
        <w:jc w:val="left"/>
      </w:pPr>
    </w:p>
    <w:p>
      <w:pPr>
        <w:jc w:val="left"/>
      </w:pPr>
    </w:p>
    <w:p>
      <w:pPr>
        <w:jc w:val="both"/>
      </w:pPr>
      <w:r>
        <w:rPr>
          <w:sz w:val="21"/>
        </w:rPr>
        <w:t xml:space="preserve"> </w:t>
      </w:r>
    </w:p>
    <w:p>
      <w:pPr>
        <w:jc w:val="both"/>
      </w:pPr>
      <w:r>
        <w:rPr>
          <w:sz w:val="21"/>
        </w:rPr>
        <w:t xml:space="preserve"> </w:t>
      </w:r>
    </w:p>
    <w:p>
      <w:pPr>
        <w:jc w:val="both"/>
      </w:pPr>
      <w:r>
        <w:rPr>
          <w:b/>
          <w:sz w:val="21"/>
        </w:rPr>
        <w:t>附件三</w:t>
      </w:r>
      <w:r>
        <w:rPr>
          <w:b/>
          <w:sz w:val="21"/>
        </w:rPr>
        <w:t>:公共基础设施维护管理考核评分表:</w:t>
      </w:r>
    </w:p>
    <w:tbl>
      <w:tblPr>
        <w:tblW w:w="0" w:type="auto"/>
        <w:tblBorders>
          <w:top w:val="none" w:color="000000" w:sz="4"/>
          <w:left w:val="none" w:color="000000" w:sz="4"/>
          <w:bottom w:val="none" w:color="000000" w:sz="4"/>
          <w:right w:val="none" w:color="000000" w:sz="4"/>
          <w:insideH w:val="none"/>
          <w:insideV w:val="none"/>
        </w:tblBorders>
      </w:tblPr>
      <w:tblGrid>
        <w:gridCol w:w="707"/>
        <w:gridCol w:w="4830"/>
        <w:gridCol w:w="737"/>
        <w:gridCol w:w="632"/>
        <w:gridCol w:w="692"/>
        <w:gridCol w:w="707"/>
      </w:tblGrid>
      <w:tr>
        <w:tc>
          <w:tcPr>
            <w:tcW w:type="dxa" w:w="707"/>
            <w:tcBorders>
              <w:top w:val="single" w:color="000000" w:sz="4"/>
              <w:left w:val="single" w:color="000000" w:sz="4"/>
              <w:bottom w:val="single" w:color="000000" w:sz="4"/>
              <w:right w:val="single" w:color="000000" w:sz="4"/>
            </w:tcBorders>
            <w:vAlign w:val="top"/>
          </w:tcPr>
          <w:p>
            <w:pPr>
              <w:jc w:val="center"/>
            </w:pPr>
            <w:r>
              <w:rPr>
                <w:sz w:val="21"/>
              </w:rPr>
              <w:t>考核项目</w:t>
            </w:r>
          </w:p>
        </w:tc>
        <w:tc>
          <w:tcPr>
            <w:tcW w:type="dxa" w:w="4830"/>
            <w:tcBorders>
              <w:top w:val="single" w:color="000000" w:sz="4"/>
              <w:left w:val="none" w:color="000000" w:sz="4"/>
              <w:bottom w:val="single" w:color="000000" w:sz="4"/>
              <w:right w:val="single" w:color="000000" w:sz="4"/>
            </w:tcBorders>
            <w:vAlign w:val="top"/>
          </w:tcPr>
          <w:p>
            <w:pPr>
              <w:jc w:val="center"/>
            </w:pPr>
            <w:r>
              <w:rPr>
                <w:sz w:val="21"/>
              </w:rPr>
              <w:t>扣分项目及标准</w:t>
            </w:r>
          </w:p>
        </w:tc>
        <w:tc>
          <w:tcPr>
            <w:tcW w:type="dxa" w:w="737"/>
            <w:tcBorders>
              <w:top w:val="single" w:color="000000" w:sz="4"/>
              <w:left w:val="none" w:color="000000" w:sz="4"/>
              <w:bottom w:val="single" w:color="000000" w:sz="4"/>
              <w:right w:val="single" w:color="000000" w:sz="4"/>
            </w:tcBorders>
            <w:vAlign w:val="top"/>
          </w:tcPr>
          <w:p>
            <w:pPr>
              <w:jc w:val="center"/>
            </w:pPr>
            <w:r>
              <w:rPr>
                <w:sz w:val="21"/>
              </w:rPr>
              <w:t>总分</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扣分</w:t>
            </w:r>
          </w:p>
        </w:tc>
        <w:tc>
          <w:tcPr>
            <w:tcW w:type="dxa" w:w="692"/>
            <w:tcBorders>
              <w:top w:val="single" w:color="000000" w:sz="4"/>
              <w:left w:val="none" w:color="000000" w:sz="4"/>
              <w:bottom w:val="single" w:color="000000" w:sz="4"/>
              <w:right w:val="single" w:color="000000" w:sz="4"/>
            </w:tcBorders>
            <w:vAlign w:val="top"/>
          </w:tcPr>
          <w:p>
            <w:pPr>
              <w:jc w:val="center"/>
            </w:pPr>
            <w:r>
              <w:rPr>
                <w:sz w:val="21"/>
              </w:rPr>
              <w:t>得分</w:t>
            </w:r>
          </w:p>
        </w:tc>
        <w:tc>
          <w:tcPr>
            <w:tcW w:type="dxa" w:w="707"/>
            <w:tcBorders>
              <w:top w:val="single" w:color="000000" w:sz="4"/>
              <w:left w:val="none" w:color="000000" w:sz="4"/>
              <w:bottom w:val="single" w:color="000000" w:sz="4"/>
              <w:right w:val="single" w:color="000000" w:sz="4"/>
            </w:tcBorders>
            <w:vAlign w:val="top"/>
          </w:tcPr>
          <w:p>
            <w:pPr>
              <w:jc w:val="center"/>
            </w:pPr>
            <w:r>
              <w:rPr>
                <w:sz w:val="21"/>
              </w:rPr>
              <w:t>扣分原因</w:t>
            </w:r>
          </w:p>
        </w:tc>
      </w:tr>
      <w:tr>
        <w:tc>
          <w:tcPr>
            <w:tcW w:type="dxa" w:w="707"/>
            <w:tcBorders>
              <w:top w:val="none" w:color="000000" w:sz="4"/>
              <w:left w:val="single" w:color="000000" w:sz="4"/>
              <w:bottom w:val="single" w:color="000000" w:sz="4"/>
              <w:right w:val="single" w:color="000000" w:sz="4"/>
            </w:tcBorders>
            <w:vAlign w:val="top"/>
          </w:tcPr>
          <w:p>
            <w:pPr>
              <w:jc w:val="center"/>
            </w:pPr>
            <w:r>
              <w:rPr>
                <w:sz w:val="21"/>
              </w:rPr>
              <w:t>资料考核</w:t>
            </w:r>
          </w:p>
        </w:tc>
        <w:tc>
          <w:tcPr>
            <w:tcW w:type="dxa" w:w="4830"/>
            <w:tcBorders>
              <w:top w:val="none" w:color="000000" w:sz="4"/>
              <w:left w:val="none" w:color="000000" w:sz="4"/>
              <w:bottom w:val="single" w:color="000000" w:sz="4"/>
              <w:right w:val="single" w:color="000000" w:sz="4"/>
            </w:tcBorders>
            <w:vAlign w:val="top"/>
          </w:tcPr>
          <w:p>
            <w:pPr>
              <w:jc w:val="both"/>
            </w:pPr>
            <w:r>
              <w:rPr>
                <w:sz w:val="21"/>
              </w:rPr>
              <w:t>维护管理月报表（巡查、养护、维修）未上报，出现一次扣2分。</w:t>
            </w:r>
          </w:p>
        </w:tc>
        <w:tc>
          <w:tcPr>
            <w:tcW w:type="dxa" w:w="7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92"/>
            <w:tcBorders>
              <w:top w:val="none" w:color="000000" w:sz="4"/>
              <w:left w:val="none" w:color="000000" w:sz="4"/>
              <w:bottom w:val="single" w:color="000000" w:sz="4"/>
              <w:right w:val="single" w:color="000000" w:sz="4"/>
            </w:tcBorders>
            <w:vAlign w:val="top"/>
          </w:tcPr>
          <w:p>
            <w:pPr>
              <w:jc w:val="center"/>
            </w:pP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707"/>
            <w:tcBorders>
              <w:top w:val="none" w:color="000000" w:sz="4"/>
              <w:left w:val="single" w:color="000000" w:sz="4"/>
              <w:bottom w:val="single" w:color="000000" w:sz="4"/>
              <w:right w:val="single" w:color="000000" w:sz="4"/>
            </w:tcBorders>
            <w:vAlign w:val="top"/>
          </w:tcPr>
          <w:p>
            <w:pPr>
              <w:jc w:val="center"/>
            </w:pPr>
            <w:r>
              <w:rPr>
                <w:sz w:val="21"/>
              </w:rPr>
              <w:t>现场考核</w:t>
            </w:r>
          </w:p>
        </w:tc>
        <w:tc>
          <w:tcPr>
            <w:tcW w:type="dxa" w:w="4830"/>
            <w:tcBorders>
              <w:top w:val="none" w:color="000000" w:sz="4"/>
              <w:left w:val="none" w:color="000000" w:sz="4"/>
              <w:bottom w:val="single" w:color="000000" w:sz="4"/>
              <w:right w:val="single" w:color="000000" w:sz="4"/>
            </w:tcBorders>
            <w:vAlign w:val="top"/>
          </w:tcPr>
          <w:p>
            <w:pPr>
              <w:jc w:val="both"/>
            </w:pPr>
            <w:r>
              <w:rPr>
                <w:sz w:val="21"/>
              </w:rPr>
              <w:t>1.人行道路面有坑洞、沉陷，地面砖体松动、缺失无落实维修计划或无实施维修，每处扣2分。</w:t>
            </w:r>
          </w:p>
          <w:p>
            <w:pPr>
              <w:jc w:val="both"/>
            </w:pPr>
            <w:r>
              <w:rPr>
                <w:sz w:val="21"/>
              </w:rPr>
              <w:t>2.广场、舞台、人行步梯、休闲坐凳等石材松动、缺损无落实及时修复，每处扣2分。</w:t>
            </w:r>
          </w:p>
          <w:p>
            <w:pPr>
              <w:jc w:val="both"/>
            </w:pPr>
            <w:r>
              <w:rPr>
                <w:sz w:val="21"/>
              </w:rPr>
              <w:t>3.垃圾箱积尘垢，内外破损无维修更换；绿化喷淋等设施锈蚀、破坏无维修，每处扣2分</w:t>
            </w:r>
          </w:p>
          <w:p>
            <w:pPr>
              <w:jc w:val="both"/>
            </w:pPr>
            <w:r>
              <w:rPr>
                <w:sz w:val="21"/>
              </w:rPr>
              <w:t>4.各类宣传栏外观不整洁，宣传页面脱落无恢复，每处扣2分。</w:t>
            </w:r>
          </w:p>
          <w:p>
            <w:pPr>
              <w:jc w:val="both"/>
            </w:pPr>
            <w:r>
              <w:rPr>
                <w:sz w:val="21"/>
              </w:rPr>
              <w:t>5.乱张贴或喷涂在建筑物、构筑物上的各类城市“牛皮癣”未及时清除，或清除不合要求，不规范，每处扣1分。</w:t>
            </w:r>
          </w:p>
          <w:p>
            <w:pPr>
              <w:jc w:val="both"/>
            </w:pPr>
            <w:r>
              <w:rPr>
                <w:sz w:val="21"/>
              </w:rPr>
              <w:t>6.沉沙井未疏通、井盖被损坏，给排水系统不畅流，扣2分。</w:t>
            </w:r>
          </w:p>
        </w:tc>
        <w:tc>
          <w:tcPr>
            <w:tcW w:type="dxa" w:w="737"/>
            <w:tcBorders>
              <w:top w:val="none" w:color="000000" w:sz="4"/>
              <w:left w:val="none" w:color="000000" w:sz="4"/>
              <w:bottom w:val="single" w:color="000000" w:sz="4"/>
              <w:right w:val="single" w:color="000000" w:sz="4"/>
            </w:tcBorders>
            <w:vAlign w:val="top"/>
          </w:tcPr>
          <w:p>
            <w:pPr>
              <w:jc w:val="center"/>
            </w:pPr>
            <w:r>
              <w:rPr>
                <w:sz w:val="21"/>
              </w:rPr>
              <w:t>70</w:t>
            </w: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92"/>
            <w:tcBorders>
              <w:top w:val="none" w:color="000000" w:sz="4"/>
              <w:left w:val="none" w:color="000000" w:sz="4"/>
              <w:bottom w:val="single" w:color="000000" w:sz="4"/>
              <w:right w:val="single" w:color="000000" w:sz="4"/>
            </w:tcBorders>
            <w:vAlign w:val="top"/>
          </w:tcPr>
          <w:p>
            <w:pPr>
              <w:jc w:val="center"/>
            </w:pP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707"/>
            <w:tcBorders>
              <w:top w:val="none" w:color="000000" w:sz="4"/>
              <w:left w:val="single" w:color="000000" w:sz="4"/>
              <w:bottom w:val="single" w:color="000000" w:sz="4"/>
              <w:right w:val="single" w:color="000000" w:sz="4"/>
            </w:tcBorders>
            <w:vAlign w:val="top"/>
          </w:tcPr>
          <w:p>
            <w:pPr>
              <w:jc w:val="center"/>
            </w:pPr>
            <w:r>
              <w:rPr>
                <w:sz w:val="21"/>
              </w:rPr>
              <w:t>安全生产突发事件处置</w:t>
            </w:r>
          </w:p>
        </w:tc>
        <w:tc>
          <w:tcPr>
            <w:tcW w:type="dxa" w:w="4830"/>
            <w:tcBorders>
              <w:top w:val="none" w:color="000000" w:sz="4"/>
              <w:left w:val="none" w:color="000000" w:sz="4"/>
              <w:bottom w:val="single" w:color="000000" w:sz="4"/>
              <w:right w:val="single" w:color="000000" w:sz="4"/>
            </w:tcBorders>
            <w:vAlign w:val="top"/>
          </w:tcPr>
          <w:p>
            <w:pPr>
              <w:jc w:val="both"/>
            </w:pPr>
            <w:r>
              <w:rPr>
                <w:sz w:val="21"/>
              </w:rPr>
              <w:t>1.公共设施维护管理安全文明措施落实不到位，存在安全隐患，每次扣2分。</w:t>
            </w:r>
          </w:p>
          <w:p>
            <w:pPr>
              <w:jc w:val="both"/>
            </w:pPr>
            <w:r>
              <w:rPr>
                <w:sz w:val="21"/>
              </w:rPr>
              <w:t>2.防范和处置设施安全、水电安全、消防安全、绿地安全等突发事件不及时、不作为，每次扣3分</w:t>
            </w:r>
          </w:p>
        </w:tc>
        <w:tc>
          <w:tcPr>
            <w:tcW w:type="dxa" w:w="737"/>
            <w:tcBorders>
              <w:top w:val="none" w:color="000000" w:sz="4"/>
              <w:left w:val="none" w:color="000000" w:sz="4"/>
              <w:bottom w:val="single" w:color="000000" w:sz="4"/>
              <w:right w:val="single" w:color="000000" w:sz="4"/>
            </w:tcBorders>
            <w:vAlign w:val="top"/>
          </w:tcPr>
          <w:p>
            <w:pPr>
              <w:jc w:val="center"/>
            </w:pPr>
            <w:r>
              <w:rPr>
                <w:sz w:val="21"/>
              </w:rPr>
              <w:t>20</w:t>
            </w: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92"/>
            <w:tcBorders>
              <w:top w:val="none" w:color="000000" w:sz="4"/>
              <w:left w:val="none" w:color="000000" w:sz="4"/>
              <w:bottom w:val="single" w:color="000000" w:sz="4"/>
              <w:right w:val="single" w:color="000000" w:sz="4"/>
            </w:tcBorders>
            <w:vAlign w:val="top"/>
          </w:tcPr>
          <w:p>
            <w:pPr>
              <w:jc w:val="center"/>
            </w:pPr>
          </w:p>
        </w:tc>
        <w:tc>
          <w:tcPr>
            <w:tcW w:type="dxa" w:w="707"/>
            <w:tcBorders>
              <w:top w:val="none" w:color="000000" w:sz="4"/>
              <w:left w:val="none" w:color="000000" w:sz="4"/>
              <w:bottom w:val="single" w:color="000000" w:sz="4"/>
              <w:right w:val="single" w:color="000000" w:sz="4"/>
            </w:tcBorders>
            <w:vAlign w:val="top"/>
          </w:tcPr>
          <w:p>
            <w:pPr>
              <w:jc w:val="center"/>
            </w:pPr>
          </w:p>
        </w:tc>
      </w:tr>
    </w:tbl>
    <w:p>
      <w:pPr>
        <w:jc w:val="both"/>
      </w:pPr>
      <w:r>
        <w:rPr>
          <w:sz w:val="21"/>
        </w:rPr>
        <w:t>说明：</w:t>
      </w:r>
      <w:r>
        <w:rPr>
          <w:sz w:val="21"/>
        </w:rPr>
        <w:t>1.满分为100分，90分以上&lt;含90分&gt;为合格。</w:t>
      </w:r>
    </w:p>
    <w:p>
      <w:pPr>
        <w:ind w:firstLine="600"/>
        <w:jc w:val="both"/>
      </w:pPr>
      <w:r>
        <w:rPr>
          <w:sz w:val="21"/>
        </w:rPr>
        <w:t>2.90分以下，每分扣减经费300元</w:t>
      </w:r>
      <w:r>
        <w:rPr>
          <w:sz w:val="21"/>
        </w:rPr>
        <w:t>计</w:t>
      </w:r>
      <w:r>
        <w:rPr>
          <w:sz w:val="21"/>
        </w:rPr>
        <w:t>为违约金</w:t>
      </w:r>
      <w:r>
        <w:rPr>
          <w:sz w:val="21"/>
        </w:rPr>
        <w:t>。</w:t>
      </w:r>
    </w:p>
    <w:p>
      <w:pPr>
        <w:ind w:firstLine="600"/>
        <w:jc w:val="left"/>
      </w:pPr>
      <w:r>
        <w:rPr>
          <w:sz w:val="21"/>
        </w:rPr>
        <w:t>3.每月进行一次考核，全月总扣分情况纳入年度综合考核评定。</w:t>
      </w:r>
    </w:p>
    <w:p/>
    <w:p>
      <w:pPr>
        <w:ind w:firstLine="480"/>
      </w:pPr>
    </w:p>
    <w:p/>
    <w:p>
      <w:r>
        <w:rPr/>
        <w:t>采购包1（黄江镇黄江公园环卫绿化服务项目（重新招标））：</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自合同签订之日起三年。</w:t>
            </w:r>
          </w:p>
        </w:tc>
      </w:tr>
      <w:tr>
        <w:tc>
          <w:tcPr>
            <w:tcW w:type="dxa" w:w="4153"/>
          </w:tcPr>
          <w:p>
            <w:r>
              <w:rPr/>
              <w:t>标的提供的地点</w:t>
            </w:r>
          </w:p>
        </w:tc>
        <w:tc>
          <w:tcPr>
            <w:tcW w:type="dxa" w:w="4153"/>
          </w:tcPr>
          <w:p>
            <w:pPr>
              <w:jc w:val="left"/>
            </w:pPr>
          </w:p>
          <w:p>
            <w:r>
              <w:rPr/>
              <w:t>东莞市黄江镇人民公园。</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担）。付款时间为甲方向政府采购支付部门提出支付申请的时间，不含政府支付部门审查时间。</w:t>
            </w:r>
          </w:p>
        </w:tc>
      </w:tr>
      <w:tr>
        <w:tc>
          <w:tcPr>
            <w:tcW w:type="dxa" w:w="4153"/>
          </w:tcPr>
          <w:p>
            <w:r>
              <w:rPr/>
              <w:t>验收要求</w:t>
            </w:r>
          </w:p>
        </w:tc>
        <w:tc>
          <w:tcPr>
            <w:tcW w:type="dxa" w:w="4153"/>
          </w:tcPr>
          <w:p>
            <w:pPr>
              <w:jc w:val="left"/>
            </w:pPr>
          </w:p>
          <w:p/>
          <w:p/>
          <w:p>
            <w:r>
              <w:rPr/>
              <w:t>1期：按照合同内容及需求进行验收。</w:t>
            </w:r>
          </w:p>
        </w:tc>
      </w:tr>
      <w:tr>
        <w:tc>
          <w:tcPr>
            <w:tcW w:type="dxa" w:w="4153"/>
          </w:tcPr>
          <w:p>
            <w:r>
              <w:rPr/>
              <w:t>履约保证金</w:t>
            </w:r>
          </w:p>
        </w:tc>
        <w:tc>
          <w:tcPr>
            <w:tcW w:type="dxa" w:w="4153"/>
          </w:tcPr>
          <w:p>
            <w:pPr>
              <w:jc w:val="left"/>
            </w:pPr>
          </w:p>
          <w:p/>
          <w:p/>
          <w:p/>
          <w:p>
            <w:r>
              <w:rPr/>
              <w:t>收取比例：5%,说明：履约保证金形式：以金融机构出具的担保函的形式缴交。 履约保证金提交时间：合同签订之日起一个月内。</w:t>
            </w:r>
          </w:p>
        </w:tc>
      </w:tr>
      <w:tr>
        <w:tc>
          <w:tcPr>
            <w:tcW w:type="dxa" w:w="4153"/>
          </w:tcPr>
          <w:p>
            <w:r>
              <w:rPr/>
              <w:t>其他</w:t>
            </w:r>
          </w:p>
        </w:tc>
        <w:tc>
          <w:tcPr>
            <w:tcW w:type="dxa" w:w="4153"/>
          </w:tcPr>
          <w:p>
            <w:pPr>
              <w:jc w:val="left"/>
            </w:pPr>
          </w:p>
          <w:p/>
          <w:p>
            <w:r>
              <w:rPr/>
              <w:t>报价内容:报价应包含完成本次招标所有服务内容的费用，包括人工费、劳保费、保险费、材料费、设备使用费、各种税务费、必须的辅助材料费及合同实施过程中不可预见费用等全部费用。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物业管理服务</w:t>
            </w:r>
          </w:p>
        </w:tc>
        <w:tc>
          <w:tcPr>
            <w:tcW w:type="dxa" w:w="1923"/>
          </w:tcPr>
          <w:p>
            <w:r>
              <w:rPr/>
              <w:t>黄江镇黄江公园环卫绿化服务项目（重新招标）</w:t>
            </w:r>
          </w:p>
        </w:tc>
        <w:tc>
          <w:tcPr>
            <w:tcW w:type="dxa" w:w="385"/>
          </w:tcPr>
          <w:p>
            <w:r>
              <w:rPr/>
              <w:t>项</w:t>
            </w:r>
          </w:p>
        </w:tc>
        <w:tc>
          <w:tcPr>
            <w:tcW w:type="dxa" w:w="769"/>
          </w:tcPr>
          <w:p>
            <w:pPr>
              <w:jc w:val="right"/>
            </w:pPr>
            <w:r>
              <w:rPr/>
              <w:t>1.0000</w:t>
            </w:r>
          </w:p>
        </w:tc>
        <w:tc>
          <w:tcPr>
            <w:tcW w:type="dxa" w:w="769"/>
          </w:tcPr>
          <w:p>
            <w:pPr>
              <w:jc w:val="right"/>
            </w:pPr>
            <w:r>
              <w:rPr/>
              <w:t>5,960,868.05</w:t>
            </w:r>
          </w:p>
        </w:tc>
        <w:tc>
          <w:tcPr>
            <w:tcW w:type="dxa" w:w="769"/>
          </w:tcPr>
          <w:p>
            <w:pPr>
              <w:jc w:val="right"/>
            </w:pPr>
            <w:r>
              <w:rPr/>
              <w:t>5,960,868.05</w:t>
            </w:r>
          </w:p>
        </w:tc>
        <w:tc>
          <w:tcPr>
            <w:tcW w:type="dxa" w:w="769"/>
          </w:tcPr>
          <w:p>
            <w:r>
              <w:rPr/>
              <w:t>物业管理</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黄江镇黄江公园环卫绿化服务项目（重新招标）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二、项目人力要求</w:t>
            </w:r>
          </w:p>
          <w:p>
            <w:pPr>
              <w:jc w:val="left"/>
            </w:pPr>
            <w:r>
              <w:rPr>
                <w:sz w:val="21"/>
              </w:rPr>
              <w:t>（一）</w:t>
            </w:r>
            <w:r>
              <w:rPr>
                <w:sz w:val="21"/>
              </w:rPr>
              <w:t>★人员安排：合计39人，其中项目负责人1人，环卫保洁主管1人，绿化管养主管1人，清扫保洁工23人，绿化养护工13人（13人中必须配1名有果树管理经验的人员，对公园古果树进行特色管护，保障挂果成熟及相关看管养事宜）。(投标人需单独提供承诺函</w:t>
            </w:r>
            <w:r>
              <w:rPr>
                <w:sz w:val="21"/>
              </w:rPr>
              <w:t>并盖上公章</w:t>
            </w:r>
            <w:r>
              <w:rPr>
                <w:sz w:val="21"/>
              </w:rPr>
              <w:t>，格式自拟)</w:t>
            </w:r>
          </w:p>
          <w:p>
            <w:pPr>
              <w:jc w:val="left"/>
            </w:pPr>
            <w:r>
              <w:rPr/>
              <w:t xml:space="preserve"> </w:t>
            </w:r>
          </w:p>
        </w:tc>
      </w:tr>
      <w:tr>
        <w:tc>
          <w:tcPr>
            <w:tcW w:type="dxa" w:w="2076"/>
          </w:tcPr>
          <w:p>
            <w:r>
              <w:rPr/>
              <w:t>★</w:t>
            </w:r>
          </w:p>
        </w:tc>
        <w:tc>
          <w:tcPr>
            <w:tcW w:type="dxa" w:w="415"/>
          </w:tcPr>
          <w:p>
            <w:r>
              <w:rPr/>
              <w:t>2</w:t>
            </w:r>
          </w:p>
        </w:tc>
        <w:tc>
          <w:tcPr>
            <w:tcW w:type="dxa" w:w="5814"/>
          </w:tcPr>
          <w:p>
            <w:pPr>
              <w:jc w:val="both"/>
            </w:pPr>
            <w:r>
              <w:rPr>
                <w:b/>
                <w:sz w:val="21"/>
              </w:rPr>
              <w:t>七、</w:t>
            </w:r>
            <w:r>
              <w:rPr>
                <w:sz w:val="21"/>
              </w:rPr>
              <w:t>★</w:t>
            </w:r>
            <w:r>
              <w:rPr>
                <w:b/>
                <w:sz w:val="21"/>
              </w:rPr>
              <w:t>服务期限</w:t>
            </w:r>
          </w:p>
          <w:p>
            <w:pPr>
              <w:jc w:val="both"/>
            </w:pPr>
            <w:r>
              <w:rPr>
                <w:sz w:val="21"/>
              </w:rPr>
              <w:t>本项目服务期限为三年（合同签订之日起三年），</w:t>
            </w:r>
            <w:r>
              <w:rPr>
                <w:sz w:val="21"/>
              </w:rPr>
              <w:t>每年</w:t>
            </w:r>
            <w:r>
              <w:rPr>
                <w:sz w:val="21"/>
              </w:rPr>
              <w:t>12月份的最后5个工作日，采购方对中标方一年来的工作进行综合考核评定。一年中，各项月考核扣分在40分以上的（不含40分）累计三次或三次以上的；在城市精细化管理第三方专业机构明察暗访考评中，尤其是文明创建、全市环境卫生大检查中，广场、公园范围内有重大扣分，造成恶劣影响的，采购方可单方终止合同履行，中标方不得以任何理由和借口追究采购方的责任，对此中标方需在投标文件中予以承诺。(投标人需单独提供承诺函</w:t>
            </w:r>
            <w:r>
              <w:rPr>
                <w:sz w:val="21"/>
              </w:rPr>
              <w:t>并盖上公章</w:t>
            </w:r>
            <w:r>
              <w:rPr>
                <w:sz w:val="21"/>
              </w:rPr>
              <w:t>，格式自拟)</w:t>
            </w:r>
          </w:p>
        </w:tc>
      </w:tr>
      <w:tr>
        <w:tc>
          <w:tcPr>
            <w:tcW w:type="dxa" w:w="2076"/>
          </w:tcPr>
          <w:p>
            <w:r>
              <w:rPr/>
              <w:t>★</w:t>
            </w:r>
          </w:p>
        </w:tc>
        <w:tc>
          <w:tcPr>
            <w:tcW w:type="dxa" w:w="415"/>
          </w:tcPr>
          <w:p>
            <w:r>
              <w:rPr/>
              <w:t>3</w:t>
            </w:r>
          </w:p>
        </w:tc>
        <w:tc>
          <w:tcPr>
            <w:tcW w:type="dxa" w:w="5814"/>
          </w:tcPr>
          <w:p>
            <w:pPr>
              <w:jc w:val="both"/>
            </w:pPr>
            <w:r>
              <w:rPr>
                <w:b/>
                <w:sz w:val="21"/>
              </w:rPr>
              <w:t>八、</w:t>
            </w:r>
            <w:r>
              <w:rPr>
                <w:sz w:val="21"/>
              </w:rPr>
              <w:t>★</w:t>
            </w:r>
            <w:r>
              <w:rPr>
                <w:b/>
                <w:sz w:val="21"/>
              </w:rPr>
              <w:t>付款方式</w:t>
            </w:r>
          </w:p>
          <w:p>
            <w:pPr>
              <w:jc w:val="both"/>
            </w:pPr>
            <w:r>
              <w:rPr>
                <w:sz w:val="21"/>
              </w:rPr>
              <w:t>服务费按月支付，甲方根据检查和考核结果于每月</w:t>
            </w:r>
            <w:r>
              <w:rPr>
                <w:sz w:val="21"/>
              </w:rPr>
              <w:t>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付款时间为甲方向政府采购支付部门提出支付申请的时间，不含政府支付部门审查时间。以转账支付的形式支付上月的作业经费。(投标人需单独提供承诺函</w:t>
            </w:r>
            <w:r>
              <w:rPr>
                <w:sz w:val="21"/>
              </w:rPr>
              <w:t>并盖上公章</w:t>
            </w:r>
            <w:r>
              <w:rPr>
                <w:sz w:val="21"/>
              </w:rPr>
              <w:t>，格式自拟)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采购包1：保证金人民币：100,000.00元整。</w:t>
            </w:r>
          </w:p>
          <w:p>
            <w:r>
              <w:rPr/>
              <w:t>开户单位：</w:t>
            </w:r>
            <w:r>
              <w:rPr/>
              <w:t>东莞市黄江镇招投标服务所</w:t>
            </w:r>
          </w:p>
          <w:p>
            <w:r>
              <w:rPr/>
              <w:t>开户账号：</w:t>
            </w:r>
            <w:r>
              <w:rPr/>
              <w:t>580003701004308000035</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袁小姐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黄江公园环卫绿化服务项目（重新招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采购包1（黄江镇黄江公园环卫绿化服务项目（重新招标））：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采购包1（黄江镇黄江公园环卫绿化服务项目（重新招标））：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中小企业须符合本项目采购标的对应行业（本项目采购标的所属行业为：物业管理）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采购包1（黄江镇黄江公园环卫绿化服务项目（重新招标））：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按照招标文件的规定提交投标保证金的</w:t>
            </w:r>
          </w:p>
        </w:tc>
        <w:tc>
          <w:tcPr>
            <w:tcW w:type="dxa" w:w="4238"/>
          </w:tcPr>
          <w:p>
            <w:r>
              <w:rPr/>
              <w:t>按照招标文件的规定提交投标保证金的（投标保证金包括：银行转账、支票、本票、汇票、电子保函和纸质保函等）；</w:t>
            </w:r>
          </w:p>
        </w:tc>
      </w:tr>
      <w:tr>
        <w:tc>
          <w:tcPr>
            <w:tcW w:type="dxa" w:w="890"/>
          </w:tcPr>
          <w:p>
            <w:r>
              <w:rPr/>
              <w:t>4</w:t>
            </w:r>
          </w:p>
        </w:tc>
        <w:tc>
          <w:tcPr>
            <w:tcW w:type="dxa" w:w="3178"/>
          </w:tcPr>
          <w:p>
            <w:r>
              <w:rPr/>
              <w:t>投标报价未超过招标文件中规定的预算金额或最高限价</w:t>
            </w:r>
          </w:p>
        </w:tc>
        <w:tc>
          <w:tcPr>
            <w:tcW w:type="dxa" w:w="4238"/>
          </w:tcPr>
          <w:p>
            <w:r>
              <w:rPr/>
              <w:t>投标报价未超过招标文件中规定的预算金额或最高限价</w:t>
            </w:r>
          </w:p>
        </w:tc>
      </w:tr>
      <w:tr>
        <w:tc>
          <w:tcPr>
            <w:tcW w:type="dxa" w:w="890"/>
          </w:tcPr>
          <w:p>
            <w:r>
              <w:rPr/>
              <w:t>5</w:t>
            </w:r>
          </w:p>
        </w:tc>
        <w:tc>
          <w:tcPr>
            <w:tcW w:type="dxa" w:w="3178"/>
          </w:tcPr>
          <w:p>
            <w:r>
              <w:rPr/>
              <w:t>满足招标文件用户需求中带“★”要求的</w:t>
            </w:r>
          </w:p>
        </w:tc>
        <w:tc>
          <w:tcPr>
            <w:tcW w:type="dxa" w:w="4238"/>
          </w:tcPr>
          <w:p>
            <w:r>
              <w:rPr/>
              <w:t>满足招标文件用户需求中带“★”要求的</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 定的其它无效投标条款的</w:t>
            </w:r>
          </w:p>
        </w:tc>
      </w:tr>
      <w:tr>
        <w:tc>
          <w:tcPr>
            <w:tcW w:type="dxa" w:w="890"/>
          </w:tcPr>
          <w:p>
            <w:r>
              <w:rPr/>
              <w:t>7</w:t>
            </w:r>
          </w:p>
        </w:tc>
        <w:tc>
          <w:tcPr>
            <w:tcW w:type="dxa" w:w="3178"/>
          </w:tcPr>
          <w:p>
            <w:r>
              <w:rPr/>
              <w:t>符合法律、法规和招标文件规定的其他要求</w:t>
            </w:r>
          </w:p>
        </w:tc>
        <w:tc>
          <w:tcPr>
            <w:tcW w:type="dxa" w:w="4238"/>
          </w:tcPr>
          <w:p>
            <w:r>
              <w:rPr/>
              <w:t>符合法律、法规和招标文件规定的其他要求。</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采购包1黄江镇黄江公园环卫绿化服务项目（重新招标）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总体实施方案 (10.0分)</w:t>
            </w:r>
            <w:r>
              <w:rPr/>
              <w:t>，（等次分值选择：</w:t>
            </w:r>
            <w:r>
              <w:rPr/>
              <w:t>0.0;</w:t>
            </w:r>
            <w:r>
              <w:rPr/>
              <w:t>1.0;</w:t>
            </w:r>
            <w:r>
              <w:rPr/>
              <w:t>4.0;</w:t>
            </w:r>
            <w:r>
              <w:rPr/>
              <w:t>7.0;</w:t>
            </w:r>
            <w:r>
              <w:rPr/>
              <w:t>10.0;</w:t>
            </w:r>
            <w:r>
              <w:rPr/>
              <w:t>）</w:t>
            </w:r>
          </w:p>
        </w:tc>
        <w:tc>
          <w:tcPr>
            <w:tcW w:type="dxa" w:w="5076"/>
          </w:tcPr>
          <w:p>
            <w:pPr>
              <w:jc w:val="left"/>
            </w:pPr>
            <w:r>
              <w:rPr/>
              <w:t>对投标人的总体实施方案进行评审：  1.总体实施方案措施全面、可行，对整体情况熟悉、对保洁绿化服务内容的策略重点、难点分析及解决方案详细、实效，得10分； 2.总体实施方案措施较全面、可行，对整体情况较熟悉、对保洁绿化服务内容的策略重点、难点分析及解决方案较详细、实效，得7分；  3.总体实施方案有具体措施，对整体情况熟悉、对保洁绿化服务内容有具体 描述，得4分；  4.总体实施方案不具体、不详细，对整体情况基本熟悉、对保洁绿化服务内容描述笼统，得1分； 5.未提供方案的不得分。</w:t>
            </w:r>
          </w:p>
        </w:tc>
      </w:tr>
      <w:tr>
        <w:tc>
          <w:tcPr>
            <w:tcW w:type="dxa" w:w="922"/>
            <w:gridSpan w:val="2"/>
            <w:vMerge/>
          </w:tcPr>
          <w:p/>
        </w:tc>
        <w:tc>
          <w:tcPr>
            <w:tcW w:type="dxa" w:w="2307"/>
          </w:tcPr>
          <w:p>
            <w:pPr>
              <w:jc w:val="left"/>
            </w:pPr>
            <w:r>
              <w:rPr/>
              <w:t>管理方式、工作计划 (8.0分)</w:t>
            </w:r>
            <w:r>
              <w:rPr/>
              <w:t>，（等次分值选择：</w:t>
            </w:r>
            <w:r>
              <w:rPr/>
              <w:t>0.0;</w:t>
            </w:r>
            <w:r>
              <w:rPr/>
              <w:t>1.0;</w:t>
            </w:r>
            <w:r>
              <w:rPr/>
              <w:t>3.0;</w:t>
            </w:r>
            <w:r>
              <w:rPr/>
              <w:t>6.0;</w:t>
            </w:r>
            <w:r>
              <w:rPr/>
              <w:t>8.0;</w:t>
            </w:r>
            <w:r>
              <w:rPr/>
              <w:t>）</w:t>
            </w:r>
          </w:p>
        </w:tc>
        <w:tc>
          <w:tcPr>
            <w:tcW w:type="dxa" w:w="5076"/>
          </w:tcPr>
          <w:p>
            <w:pPr>
              <w:jc w:val="left"/>
            </w:pPr>
            <w:r>
              <w:rPr/>
              <w:t>根据投标人针对本项目实际情况和特点制定的管理方式、工作计划进行评审： 1.所制定管理方式、工作计划非常符合实际的、可操作性非常强，得8分 2.所制定管理方式、工作计划符合实际的、可操作性强，得6分； 3.所制定管理方式、工作计划合理性及可操作性一般，得3分； 4.所制定管理方式、工作计划合理性一般，可操作性弱，得1分； 5.未提供方案的不得分。</w:t>
            </w:r>
          </w:p>
        </w:tc>
      </w:tr>
      <w:tr>
        <w:tc>
          <w:tcPr>
            <w:tcW w:type="dxa" w:w="922"/>
            <w:gridSpan w:val="2"/>
            <w:vMerge/>
          </w:tcPr>
          <w:p/>
        </w:tc>
        <w:tc>
          <w:tcPr>
            <w:tcW w:type="dxa" w:w="2307"/>
          </w:tcPr>
          <w:p>
            <w:pPr>
              <w:jc w:val="left"/>
            </w:pPr>
            <w:r>
              <w:rPr/>
              <w:t>安全防范管理方案 (8.0分)</w:t>
            </w:r>
            <w:r>
              <w:rPr/>
              <w:t>，（等次分值选择：</w:t>
            </w:r>
            <w:r>
              <w:rPr/>
              <w:t>0.0;</w:t>
            </w:r>
            <w:r>
              <w:rPr/>
              <w:t>1.0;</w:t>
            </w:r>
            <w:r>
              <w:rPr/>
              <w:t>3.0;</w:t>
            </w:r>
            <w:r>
              <w:rPr/>
              <w:t>6.0;</w:t>
            </w:r>
            <w:r>
              <w:rPr/>
              <w:t>8.0;</w:t>
            </w:r>
            <w:r>
              <w:rPr/>
              <w:t>）</w:t>
            </w:r>
          </w:p>
        </w:tc>
        <w:tc>
          <w:tcPr>
            <w:tcW w:type="dxa" w:w="5076"/>
          </w:tcPr>
          <w:p>
            <w:pPr>
              <w:jc w:val="left"/>
            </w:pPr>
            <w:r>
              <w:rPr/>
              <w:t>对项目安全防范管理方案的可行性、详细合理性与实用性进行综合比较评审： 1.方案详细合理，可行性及实用性强，完全满足且优于招标文件要求得8分； 2.方案详细合理，可行性及实用性强，完全满足招标文件要求得6分 3.方案较为详细合理，可行 性及实用性一般，完全满足招标文件要求得3分； 4.方案不够详细合理，可行性及实用性差，内容不够全面，未能完全满足招标文件要求得1分。 5.未提供方案的不得分。</w:t>
            </w:r>
          </w:p>
        </w:tc>
      </w:tr>
      <w:tr>
        <w:tc>
          <w:tcPr>
            <w:tcW w:type="dxa" w:w="922"/>
            <w:gridSpan w:val="2"/>
            <w:vMerge/>
          </w:tcPr>
          <w:p/>
        </w:tc>
        <w:tc>
          <w:tcPr>
            <w:tcW w:type="dxa" w:w="2307"/>
          </w:tcPr>
          <w:p>
            <w:pPr>
              <w:jc w:val="left"/>
            </w:pPr>
            <w:r>
              <w:rPr/>
              <w:t>清洁卫生服务方案 (8.0分)</w:t>
            </w:r>
            <w:r>
              <w:rPr/>
              <w:t>，（等次分值选择：</w:t>
            </w:r>
            <w:r>
              <w:rPr/>
              <w:t>0.0;</w:t>
            </w:r>
            <w:r>
              <w:rPr/>
              <w:t>1.0;</w:t>
            </w:r>
            <w:r>
              <w:rPr/>
              <w:t>3.0;</w:t>
            </w:r>
            <w:r>
              <w:rPr/>
              <w:t>6.0;</w:t>
            </w:r>
            <w:r>
              <w:rPr/>
              <w:t>8.0;</w:t>
            </w:r>
            <w:r>
              <w:rPr/>
              <w:t>）</w:t>
            </w:r>
          </w:p>
        </w:tc>
        <w:tc>
          <w:tcPr>
            <w:tcW w:type="dxa" w:w="5076"/>
          </w:tcPr>
          <w:p>
            <w:pPr>
              <w:jc w:val="left"/>
            </w:pPr>
            <w:r>
              <w:rPr/>
              <w:t>投标人针对公园小路、小径保洁服务管理方案的情况，详细具体，具有针对性，综合比较评审。 1.方案合理、针对性强，优于项目需要的得8分； 2. 方案合理、针对性强，完全满足项目需要的得6分 3.方案较合理、针对性一般，能基本满足项目要求的得3分；  4.方案简单，内容没有针对性的得 1 分； 5.未提供方案的不得分。</w:t>
            </w:r>
          </w:p>
        </w:tc>
      </w:tr>
      <w:tr>
        <w:tc>
          <w:tcPr>
            <w:tcW w:type="dxa" w:w="922"/>
            <w:gridSpan w:val="2"/>
            <w:vMerge/>
          </w:tcPr>
          <w:p/>
        </w:tc>
        <w:tc>
          <w:tcPr>
            <w:tcW w:type="dxa" w:w="2307"/>
          </w:tcPr>
          <w:p>
            <w:pPr>
              <w:jc w:val="left"/>
            </w:pPr>
            <w:r>
              <w:rPr/>
              <w:t>绿化养护管理方案 (8.0分)</w:t>
            </w:r>
            <w:r>
              <w:rPr/>
              <w:t>，（等次分值选择：</w:t>
            </w:r>
            <w:r>
              <w:rPr/>
              <w:t>0.0;</w:t>
            </w:r>
            <w:r>
              <w:rPr/>
              <w:t>1.0;</w:t>
            </w:r>
            <w:r>
              <w:rPr/>
              <w:t>3.0;</w:t>
            </w:r>
            <w:r>
              <w:rPr/>
              <w:t>6.0;</w:t>
            </w:r>
            <w:r>
              <w:rPr/>
              <w:t>8.0;</w:t>
            </w:r>
            <w:r>
              <w:rPr/>
              <w:t>）</w:t>
            </w:r>
          </w:p>
        </w:tc>
        <w:tc>
          <w:tcPr>
            <w:tcW w:type="dxa" w:w="5076"/>
          </w:tcPr>
          <w:p>
            <w:pPr>
              <w:jc w:val="left"/>
            </w:pPr>
            <w:r>
              <w:rPr/>
              <w:t>对项目绿化养护及绿植租摆管理方案的可行性、详细合理性与实用性进行 综合比较评审： 1.方案详细合理，可行性及实用性强，优于招标文件要求得 8分； 2.方案详细合理，可行性及实用性强，完全满足招标文件要求得6分 3.方案较为详细合理，可行 性及实用性一般，完全满足招标文件要求得3分； 4.方案不够详细合理，可行性及实用性差，内容不够全面，未能完全满足招标文件要求得1分。 5.未提供方案的不得分。</w:t>
            </w:r>
          </w:p>
        </w:tc>
      </w:tr>
      <w:tr>
        <w:tc>
          <w:tcPr>
            <w:tcW w:type="dxa" w:w="922"/>
            <w:gridSpan w:val="2"/>
            <w:vMerge/>
          </w:tcPr>
          <w:p/>
        </w:tc>
        <w:tc>
          <w:tcPr>
            <w:tcW w:type="dxa" w:w="2307"/>
          </w:tcPr>
          <w:p>
            <w:pPr>
              <w:jc w:val="left"/>
            </w:pPr>
            <w:r>
              <w:rPr/>
              <w:t>应急处置方案 (4.0分)</w:t>
            </w:r>
            <w:r>
              <w:rPr/>
              <w:t>，（等次分值选择：</w:t>
            </w:r>
            <w:r>
              <w:rPr/>
              <w:t>0.0;</w:t>
            </w:r>
            <w:r>
              <w:rPr/>
              <w:t>1.0;</w:t>
            </w:r>
            <w:r>
              <w:rPr/>
              <w:t>2.0;</w:t>
            </w:r>
            <w:r>
              <w:rPr/>
              <w:t>4.0;</w:t>
            </w:r>
            <w:r>
              <w:rPr/>
              <w:t>）</w:t>
            </w:r>
          </w:p>
        </w:tc>
        <w:tc>
          <w:tcPr>
            <w:tcW w:type="dxa" w:w="5076"/>
          </w:tcPr>
          <w:p>
            <w:pPr>
              <w:jc w:val="left"/>
            </w:pPr>
            <w:r>
              <w:rPr/>
              <w:t>根据投标人应急处置方案进行评审： 1.对项目发生突发事件的处理原则、流程、方法等制定针对性强和可操作性高的应急处理预案，得4分； 2.对项目发生突发事件的处理原则、流程、方法等制定针对性较强和可操作性较高的应急处理预案，得2分； 3.对项目发生突发事件的处理原则、流程、方法等制定针对性一般和可操作性一般的应急处理预案，得1分； 4.未提供应急处理预案的不得分。</w:t>
            </w:r>
          </w:p>
        </w:tc>
      </w:tr>
      <w:tr>
        <w:tc>
          <w:tcPr>
            <w:tcW w:type="dxa" w:w="922"/>
            <w:gridSpan w:val="2"/>
            <w:vMerge/>
          </w:tcPr>
          <w:p/>
        </w:tc>
        <w:tc>
          <w:tcPr>
            <w:tcW w:type="dxa" w:w="2307"/>
          </w:tcPr>
          <w:p>
            <w:pPr>
              <w:jc w:val="left"/>
            </w:pPr>
            <w:r>
              <w:rPr/>
              <w:t>人员考核方案 (4.0分)</w:t>
            </w:r>
            <w:r>
              <w:rPr/>
              <w:t>，（等次分值选择：</w:t>
            </w:r>
            <w:r>
              <w:rPr/>
              <w:t>0.0;</w:t>
            </w:r>
            <w:r>
              <w:rPr/>
              <w:t>1.0;</w:t>
            </w:r>
            <w:r>
              <w:rPr/>
              <w:t>2.0;</w:t>
            </w:r>
            <w:r>
              <w:rPr/>
              <w:t>3.0;</w:t>
            </w:r>
            <w:r>
              <w:rPr/>
              <w:t>4.0;</w:t>
            </w:r>
            <w:r>
              <w:rPr/>
              <w:t>）</w:t>
            </w:r>
          </w:p>
        </w:tc>
        <w:tc>
          <w:tcPr>
            <w:tcW w:type="dxa" w:w="5076"/>
          </w:tcPr>
          <w:p>
            <w:pPr>
              <w:jc w:val="left"/>
            </w:pPr>
            <w:r>
              <w:rPr/>
              <w:t>根据投标人的人员考核方案：对各类人员录用与考核淘汰机制、协调关系、服务意识、奖惩制度等进行评审： 1.人员考核方案科学完整，服务意识强，具有完善的奖惩制度，可行性高的，得 4 分；  2.人员考核方案比较科学完整，服务意识较强，有设定较合理的奖惩制度，可行性较高的，得 3分； 3.人员考核方案基本完整，服务意识一般，有设定合理的奖惩制度，可行性一般的，得 2 分；  4.人员考核方案不科学不完整，服务意识较差，奖惩制度缺漏，可行性低的，得 1 分；  5.未提供方案不得分。</w:t>
            </w:r>
          </w:p>
        </w:tc>
      </w:tr>
      <w:tr>
        <w:tc>
          <w:tcPr>
            <w:tcW w:type="dxa" w:w="922"/>
            <w:gridSpan w:val="2"/>
            <w:vMerge w:val="restart"/>
          </w:tcPr>
          <w:p>
            <w:pPr>
              <w:jc w:val="center"/>
            </w:pPr>
            <w:r>
              <w:rPr/>
              <w:t>商务部分</w:t>
            </w:r>
          </w:p>
        </w:tc>
        <w:tc>
          <w:tcPr>
            <w:tcW w:type="dxa" w:w="2307"/>
          </w:tcPr>
          <w:p>
            <w:pPr>
              <w:jc w:val="left"/>
            </w:pPr>
            <w:r>
              <w:rPr/>
              <w:t>业绩 (20.0分)</w:t>
            </w:r>
          </w:p>
        </w:tc>
        <w:tc>
          <w:tcPr>
            <w:tcW w:type="dxa" w:w="5076"/>
          </w:tcPr>
          <w:p>
            <w:pPr>
              <w:jc w:val="left"/>
            </w:pPr>
            <w:r>
              <w:rPr/>
              <w:t>投标人2017年1月1日至今（以合同签订日期为准）具有（正在管理或已完成）保洁或绿化服务经验的业绩证明,每提供一个有效业绩得2分，满分20分。  注：须提供合同关键页复印件加盖投标人公章，不提供不得分，以上项目业绩同一单位不重复计算。</w:t>
            </w:r>
          </w:p>
        </w:tc>
      </w:tr>
      <w:tr>
        <w:tc>
          <w:tcPr>
            <w:tcW w:type="dxa" w:w="922"/>
            <w:gridSpan w:val="2"/>
            <w:vMerge/>
          </w:tcPr>
          <w:p/>
        </w:tc>
        <w:tc>
          <w:tcPr>
            <w:tcW w:type="dxa" w:w="2307"/>
          </w:tcPr>
          <w:p>
            <w:pPr>
              <w:jc w:val="left"/>
            </w:pPr>
            <w:r>
              <w:rPr/>
              <w:t>拟投入本项目服务人员的配备情况 (6.0分)</w:t>
            </w:r>
          </w:p>
        </w:tc>
        <w:tc>
          <w:tcPr>
            <w:tcW w:type="dxa" w:w="5076"/>
          </w:tcPr>
          <w:p>
            <w:pPr>
              <w:jc w:val="left"/>
            </w:pPr>
            <w:r>
              <w:rPr/>
              <w:t>投标人拟安排的项目负责人：具有大专或以上学历得3分；具有3年或以上保洁或绿化管理经验得3分；本项最高得6分。 注：需提供学历证明、合同关键页或投标人出具的证明，提供人员社保部门出具的投标截止日前3个月（不含开标当月）投标人为其缴纳社保的有效凭证复印件加盖投标人公章，不提供不得分。</w:t>
            </w:r>
          </w:p>
        </w:tc>
      </w:tr>
      <w:tr>
        <w:tc>
          <w:tcPr>
            <w:tcW w:type="dxa" w:w="922"/>
            <w:gridSpan w:val="2"/>
            <w:vMerge/>
          </w:tcPr>
          <w:p/>
        </w:tc>
        <w:tc>
          <w:tcPr>
            <w:tcW w:type="dxa" w:w="2307"/>
          </w:tcPr>
          <w:p>
            <w:pPr>
              <w:jc w:val="left"/>
            </w:pPr>
            <w:r>
              <w:rPr/>
              <w:t>服务承诺 (4.0分)</w:t>
            </w:r>
          </w:p>
        </w:tc>
        <w:tc>
          <w:tcPr>
            <w:tcW w:type="dxa" w:w="5076"/>
          </w:tcPr>
          <w:p>
            <w:pPr>
              <w:jc w:val="left"/>
            </w:pPr>
            <w:r>
              <w:rPr/>
              <w:t>1.投标人承诺在接到采购人通知后，项目负责人60分钟内到现场，得 4 分； 2.承诺在接到采购人通知后,项目负责人2个小时内到现场，得 2 分；  3.承诺在接到采购人通知后,项目负责人3个小时内到现场，得 0.5 分。  4.其余不得分。 注： 须提供单独书面承诺函，加盖投标人公章，无承诺不得分。（本项目不接受外包形式的服务）</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center"/>
      </w:pPr>
      <w:r>
        <w:rPr>
          <w:b/>
          <w:sz w:val="21"/>
        </w:rPr>
        <w:t>广东省政府采购</w:t>
      </w:r>
    </w:p>
    <w:p>
      <w:pPr>
        <w:jc w:val="center"/>
      </w:pPr>
      <w:r>
        <w:rPr>
          <w:b/>
          <w:sz w:val="21"/>
        </w:rPr>
        <w:t>合　同　书</w:t>
      </w:r>
    </w:p>
    <w:p>
      <w:pPr>
        <w:ind w:firstLine="419"/>
        <w:jc w:val="center"/>
      </w:pPr>
      <w:r>
        <w:rPr>
          <w:b/>
          <w:sz w:val="21"/>
        </w:rPr>
        <w:t>（本格式仅供投标人参考，投标时不需填写）</w:t>
      </w:r>
    </w:p>
    <w:p>
      <w:pPr>
        <w:jc w:val="both"/>
      </w:pPr>
    </w:p>
    <w:p>
      <w:pPr>
        <w:jc w:val="both"/>
      </w:pPr>
    </w:p>
    <w:p/>
    <w:p>
      <w:pPr>
        <w:jc w:val="center"/>
      </w:pPr>
    </w:p>
    <w:p>
      <w:pPr>
        <w:ind w:firstLine="4800"/>
        <w:jc w:val="right"/>
      </w:pPr>
      <w:r>
        <w:rPr>
          <w:sz w:val="24"/>
        </w:rPr>
        <w:t>合同编号：</w:t>
      </w:r>
      <w:r>
        <w:rPr>
          <w:sz w:val="21"/>
          <w:u w:val="single"/>
        </w:rPr>
        <w:t xml:space="preserve">           </w:t>
      </w:r>
      <w:r>
        <w:rPr>
          <w:sz w:val="21"/>
          <w:u w:val="single"/>
        </w:rPr>
        <w:t xml:space="preserve">           </w:t>
      </w:r>
    </w:p>
    <w:p>
      <w:pPr>
        <w:jc w:val="right"/>
      </w:pPr>
    </w:p>
    <w:p>
      <w:pPr>
        <w:jc w:val="center"/>
      </w:pPr>
      <w:r>
        <w:rPr>
          <w:b/>
          <w:sz w:val="32"/>
        </w:rPr>
        <w:t>黄江</w:t>
      </w:r>
      <w:r>
        <w:rPr>
          <w:b/>
          <w:sz w:val="32"/>
        </w:rPr>
        <w:t>镇人民</w:t>
      </w:r>
      <w:r>
        <w:rPr>
          <w:b/>
          <w:sz w:val="32"/>
        </w:rPr>
        <w:t>公园环卫绿化</w:t>
      </w:r>
      <w:r>
        <w:rPr>
          <w:b/>
          <w:sz w:val="32"/>
        </w:rPr>
        <w:t>养护</w:t>
      </w:r>
      <w:r>
        <w:rPr>
          <w:b/>
          <w:sz w:val="32"/>
        </w:rPr>
        <w:t>服务</w:t>
      </w:r>
    </w:p>
    <w:p>
      <w:pPr>
        <w:jc w:val="center"/>
      </w:pPr>
    </w:p>
    <w:p>
      <w:pPr>
        <w:jc w:val="center"/>
      </w:pPr>
    </w:p>
    <w:p>
      <w:pPr>
        <w:jc w:val="center"/>
      </w:pPr>
    </w:p>
    <w:p>
      <w:pPr>
        <w:jc w:val="center"/>
      </w:pPr>
    </w:p>
    <w:p>
      <w:pPr>
        <w:jc w:val="center"/>
      </w:pPr>
      <w:r>
        <w:rPr>
          <w:b/>
          <w:sz w:val="44"/>
        </w:rPr>
        <w:t>合同书</w:t>
      </w:r>
    </w:p>
    <w:p>
      <w:pPr>
        <w:jc w:val="center"/>
      </w:pPr>
    </w:p>
    <w:p>
      <w:pPr>
        <w:jc w:val="center"/>
      </w:pPr>
    </w:p>
    <w:p>
      <w:pPr>
        <w:jc w:val="center"/>
      </w:pPr>
    </w:p>
    <w:p>
      <w:pPr>
        <w:jc w:val="center"/>
      </w:pPr>
    </w:p>
    <w:p>
      <w:pPr>
        <w:ind w:firstLine="630"/>
        <w:jc w:val="both"/>
      </w:pPr>
      <w:r>
        <w:rPr>
          <w:sz w:val="21"/>
        </w:rPr>
        <w:t>甲</w:t>
      </w:r>
      <w:r>
        <w:rPr>
          <w:sz w:val="21"/>
        </w:rPr>
        <w:t>方（盖章）：</w:t>
      </w:r>
      <w:r>
        <w:rPr>
          <w:sz w:val="21"/>
          <w:u w:val="single"/>
        </w:rPr>
        <w:t xml:space="preserve">   </w:t>
      </w:r>
      <w:r>
        <w:rPr>
          <w:sz w:val="21"/>
          <w:u w:val="single"/>
        </w:rPr>
        <w:t>东莞市黄江镇</w:t>
      </w:r>
      <w:r>
        <w:rPr>
          <w:sz w:val="21"/>
          <w:u w:val="single"/>
        </w:rPr>
        <w:t>公用事业服务中心</w:t>
      </w:r>
    </w:p>
    <w:p>
      <w:pPr>
        <w:ind w:firstLine="630"/>
        <w:jc w:val="both"/>
      </w:pPr>
      <w:r>
        <w:rPr>
          <w:sz w:val="21"/>
        </w:rPr>
        <w:t>乙</w:t>
      </w:r>
      <w:r>
        <w:rPr>
          <w:sz w:val="21"/>
        </w:rPr>
        <w:t>方（盖章）：</w:t>
      </w:r>
      <w:r>
        <w:rPr>
          <w:sz w:val="21"/>
          <w:u w:val="single"/>
        </w:rPr>
        <w:t xml:space="preserve">  </w:t>
      </w:r>
      <w:r>
        <w:rPr>
          <w:sz w:val="21"/>
          <w:u w:val="single"/>
        </w:rPr>
        <w:t xml:space="preserve">                          </w:t>
      </w:r>
      <w:r>
        <w:rPr>
          <w:sz w:val="21"/>
          <w:u w:val="single"/>
        </w:rPr>
        <w:t xml:space="preserve"> </w:t>
      </w:r>
    </w:p>
    <w:p>
      <w:pPr>
        <w:ind w:firstLine="630"/>
        <w:jc w:val="both"/>
      </w:pPr>
      <w:r>
        <w:rPr>
          <w:sz w:val="21"/>
        </w:rPr>
        <w:t>签订时间：</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630"/>
        <w:jc w:val="both"/>
      </w:pPr>
      <w:r>
        <w:rPr>
          <w:sz w:val="21"/>
        </w:rPr>
        <w:t>签订地点：</w:t>
      </w:r>
      <w:r>
        <w:rPr>
          <w:sz w:val="21"/>
          <w:u w:val="single"/>
        </w:rPr>
        <w:t xml:space="preserve">    </w:t>
      </w:r>
      <w:r>
        <w:rPr>
          <w:sz w:val="21"/>
          <w:u w:val="single"/>
        </w:rPr>
        <w:t>东莞市黄江镇</w:t>
      </w:r>
      <w:r>
        <w:rPr>
          <w:sz w:val="21"/>
          <w:u w:val="single"/>
        </w:rPr>
        <w:t xml:space="preserve">        </w:t>
      </w:r>
      <w:r>
        <w:rPr>
          <w:sz w:val="21"/>
          <w:u w:val="single"/>
        </w:rPr>
        <w:t xml:space="preserve">  </w:t>
      </w:r>
      <w:r>
        <w:rPr>
          <w:sz w:val="21"/>
          <w:u w:val="single"/>
        </w:rPr>
        <w:t xml:space="preserve">       </w:t>
      </w:r>
    </w:p>
    <w:p>
      <w:pPr>
        <w:jc w:val="center"/>
      </w:pPr>
    </w:p>
    <w:p>
      <w:pPr>
        <w:ind w:firstLine="4200"/>
        <w:jc w:val="left"/>
      </w:pPr>
    </w:p>
    <w:p/>
    <w:p>
      <w:r>
        <w:rPr/>
        <w:t xml:space="preserve"> </w:t>
      </w:r>
    </w:p>
    <w:p>
      <w:pPr>
        <w:jc w:val="right"/>
      </w:pPr>
    </w:p>
    <w:p>
      <w:pPr>
        <w:jc w:val="both"/>
      </w:pPr>
      <w:r>
        <w:rPr>
          <w:b/>
          <w:sz w:val="21"/>
        </w:rPr>
        <w:t>甲方（采购人）：</w:t>
      </w:r>
      <w:r>
        <w:rPr>
          <w:b/>
          <w:sz w:val="21"/>
          <w:u w:val="single"/>
        </w:rPr>
        <w:t xml:space="preserve">  </w:t>
      </w:r>
      <w:r>
        <w:rPr>
          <w:b/>
          <w:sz w:val="21"/>
          <w:u w:val="single"/>
        </w:rPr>
        <w:t>东莞市黄江镇</w:t>
      </w:r>
      <w:r>
        <w:rPr>
          <w:b/>
          <w:sz w:val="21"/>
          <w:u w:val="single"/>
        </w:rPr>
        <w:t>公用事业服务中心</w:t>
      </w:r>
      <w:r>
        <w:rPr>
          <w:b/>
          <w:sz w:val="21"/>
          <w:u w:val="single"/>
        </w:rPr>
        <w:t xml:space="preserve">  </w:t>
      </w:r>
    </w:p>
    <w:p>
      <w:pPr>
        <w:jc w:val="both"/>
      </w:pPr>
      <w:r>
        <w:rPr>
          <w:b/>
          <w:sz w:val="21"/>
        </w:rPr>
        <w:t>乙方（中标人）：</w:t>
      </w:r>
      <w:r>
        <w:rPr>
          <w:b/>
          <w:sz w:val="21"/>
          <w:u w:val="single"/>
        </w:rPr>
        <w:t xml:space="preserve">  </w:t>
      </w:r>
      <w:r>
        <w:rPr>
          <w:b/>
          <w:sz w:val="21"/>
          <w:u w:val="single"/>
        </w:rPr>
        <w:t xml:space="preserve">                            </w:t>
      </w:r>
      <w:r>
        <w:rPr>
          <w:b/>
          <w:sz w:val="21"/>
          <w:u w:val="single"/>
        </w:rPr>
        <w:t xml:space="preserve"> </w:t>
      </w:r>
      <w:r>
        <w:rPr>
          <w:b/>
          <w:sz w:val="21"/>
        </w:rPr>
        <w:t xml:space="preserve"> </w:t>
      </w:r>
    </w:p>
    <w:p>
      <w:pPr>
        <w:ind w:firstLine="420"/>
        <w:jc w:val="both"/>
      </w:pPr>
      <w:r>
        <w:rPr>
          <w:sz w:val="21"/>
        </w:rPr>
        <w:t>根据《中华人民共和国</w:t>
      </w:r>
      <w:r>
        <w:rPr>
          <w:sz w:val="21"/>
        </w:rPr>
        <w:t>民法典</w:t>
      </w:r>
      <w:r>
        <w:rPr>
          <w:sz w:val="21"/>
        </w:rPr>
        <w:t>》、《中华人民共和国政府采购法》及</w:t>
      </w:r>
      <w:r>
        <w:rPr>
          <w:sz w:val="21"/>
        </w:rPr>
        <w:t>东莞市黄江镇招投标服务所</w:t>
      </w:r>
      <w:r>
        <w:rPr>
          <w:sz w:val="21"/>
        </w:rPr>
        <w:t xml:space="preserve"> “</w:t>
      </w:r>
      <w:r>
        <w:rPr>
          <w:sz w:val="21"/>
          <w:u w:val="single"/>
        </w:rPr>
        <w:t xml:space="preserve">  </w:t>
      </w:r>
      <w:r>
        <w:rPr>
          <w:sz w:val="21"/>
          <w:u w:val="single"/>
        </w:rPr>
        <w:t>黄江镇</w:t>
      </w:r>
      <w:r>
        <w:rPr>
          <w:sz w:val="21"/>
          <w:u w:val="single"/>
        </w:rPr>
        <w:t>人民</w:t>
      </w:r>
      <w:r>
        <w:rPr>
          <w:sz w:val="21"/>
          <w:u w:val="single"/>
        </w:rPr>
        <w:t>公园环卫绿化</w:t>
      </w:r>
      <w:r>
        <w:rPr>
          <w:sz w:val="21"/>
          <w:u w:val="single"/>
        </w:rPr>
        <w:t>养护</w:t>
      </w:r>
      <w:r>
        <w:rPr>
          <w:sz w:val="21"/>
          <w:u w:val="single"/>
        </w:rPr>
        <w:t>服务</w:t>
      </w:r>
      <w:r>
        <w:rPr>
          <w:sz w:val="21"/>
          <w:u w:val="single"/>
        </w:rPr>
        <w:t xml:space="preserve"> </w:t>
      </w:r>
      <w:r>
        <w:rPr>
          <w:sz w:val="21"/>
        </w:rPr>
        <w:t>”（项目编号：</w:t>
      </w:r>
      <w:r>
        <w:rPr>
          <w:sz w:val="21"/>
          <w:u w:val="single"/>
        </w:rPr>
        <w:t xml:space="preserve"> </w:t>
      </w:r>
      <w:r>
        <w:rPr>
          <w:sz w:val="21"/>
          <w:u w:val="single"/>
        </w:rPr>
        <w:t xml:space="preserve">                                 </w:t>
      </w:r>
      <w:r>
        <w:rPr>
          <w:sz w:val="21"/>
        </w:rPr>
        <w:t>）采购文件的要求和评审结果及中标通知书的要求，经甲乙双方协商一致，签订本合同。双方共同遵守如下条款：</w:t>
      </w:r>
    </w:p>
    <w:p>
      <w:pPr>
        <w:jc w:val="both"/>
      </w:pPr>
      <w:r>
        <w:rPr>
          <w:b/>
          <w:sz w:val="21"/>
        </w:rPr>
        <w:t>一、项目概况：</w:t>
      </w:r>
    </w:p>
    <w:p>
      <w:pPr>
        <w:jc w:val="both"/>
      </w:pPr>
      <w:r>
        <w:rPr>
          <w:sz w:val="21"/>
        </w:rPr>
        <w:t>1、项目名称：“</w:t>
      </w:r>
      <w:r>
        <w:rPr>
          <w:sz w:val="21"/>
          <w:u w:val="single"/>
        </w:rPr>
        <w:t>黄江镇</w:t>
      </w:r>
      <w:r>
        <w:rPr>
          <w:sz w:val="21"/>
          <w:u w:val="single"/>
        </w:rPr>
        <w:t>人民</w:t>
      </w:r>
      <w:r>
        <w:rPr>
          <w:sz w:val="21"/>
          <w:u w:val="single"/>
        </w:rPr>
        <w:t>公园环卫绿化</w:t>
      </w:r>
      <w:r>
        <w:rPr>
          <w:sz w:val="21"/>
          <w:u w:val="single"/>
        </w:rPr>
        <w:t>养护</w:t>
      </w:r>
      <w:r>
        <w:rPr>
          <w:sz w:val="21"/>
          <w:u w:val="single"/>
        </w:rPr>
        <w:t>服务</w:t>
      </w:r>
      <w:r>
        <w:rPr>
          <w:sz w:val="21"/>
        </w:rPr>
        <w:t>”；</w:t>
      </w:r>
    </w:p>
    <w:p>
      <w:pPr>
        <w:jc w:val="both"/>
      </w:pPr>
      <w:r>
        <w:rPr>
          <w:sz w:val="21"/>
        </w:rPr>
        <w:t>2、合作期限（服务期）：合同签订之日起三年（</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rPr>
        <w:t>日至</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r>
        <w:rPr>
          <w:sz w:val="21"/>
        </w:rPr>
        <w:t>止</w:t>
      </w:r>
      <w:r>
        <w:rPr>
          <w:sz w:val="21"/>
        </w:rPr>
        <w:t>。</w:t>
      </w:r>
    </w:p>
    <w:p>
      <w:pPr>
        <w:jc w:val="both"/>
      </w:pPr>
      <w:r>
        <w:rPr>
          <w:sz w:val="21"/>
        </w:rPr>
        <w:t>3</w:t>
      </w:r>
      <w:r>
        <w:rPr>
          <w:sz w:val="21"/>
        </w:rPr>
        <w:t>、合同金额：费用三年共计</w:t>
      </w:r>
      <w:r>
        <w:rPr>
          <w:sz w:val="21"/>
        </w:rPr>
        <w:t xml:space="preserve">      </w:t>
      </w:r>
      <w:r>
        <w:rPr>
          <w:sz w:val="21"/>
        </w:rPr>
        <w:t>元</w:t>
      </w:r>
    </w:p>
    <w:p>
      <w:pPr>
        <w:jc w:val="both"/>
      </w:pPr>
      <w:r>
        <w:rPr>
          <w:b/>
          <w:sz w:val="21"/>
        </w:rPr>
        <w:t>二、服务内容：</w:t>
      </w:r>
    </w:p>
    <w:p>
      <w:r>
        <w:rPr>
          <w:b/>
          <w:sz w:val="21"/>
        </w:rPr>
        <w:t>1.</w:t>
      </w:r>
      <w:r>
        <w:rPr>
          <w:b/>
          <w:sz w:val="21"/>
        </w:rPr>
        <w:t>项目概况</w:t>
      </w:r>
    </w:p>
    <w:p>
      <w:r>
        <w:rPr>
          <w:sz w:val="21"/>
        </w:rPr>
        <w:t>1.1.</w:t>
      </w:r>
      <w:r>
        <w:rPr>
          <w:sz w:val="21"/>
        </w:rPr>
        <w:t>为进一步</w:t>
      </w:r>
      <w:r>
        <w:rPr>
          <w:sz w:val="21"/>
        </w:rPr>
        <w:t>提高黄江人民公园环卫绿化的服务质量和管理水平，满足人民群众对公园各项服务指标日益增长的需求，打造优美、安全、</w:t>
      </w:r>
      <w:r>
        <w:rPr>
          <w:sz w:val="21"/>
        </w:rPr>
        <w:t>舒适的休闲环境，现将黄江人民公园的环卫保洁和绿化养护服务项目实行市场化管理。黄江公园占地面积为</w:t>
      </w:r>
      <w:r>
        <w:rPr>
          <w:sz w:val="21"/>
        </w:rPr>
        <w:t>154,401平方米，其中绿化面积为89,675平方米，保洁面积为145,875平方米（日常保洁面积为120,034平方米；人工湖、假山及广场水体保洁面积为25,841平方米）。</w:t>
      </w:r>
    </w:p>
    <w:p>
      <w:r>
        <w:rPr>
          <w:sz w:val="21"/>
        </w:rPr>
        <w:t>1.2.</w:t>
      </w:r>
      <w:r>
        <w:rPr>
          <w:sz w:val="21"/>
        </w:rPr>
        <w:t>黄江公园环境优美。园内有大量的灌木和乔木、古荔枝树、芒果树，以及广场、绿地、休闲娱乐区、运运区、观光塔、廊式观赏台、停车场、休闲座台座凳、人行道、公厕、精巧园林凉亭台榭等公共设施。园内设有消防知识主题公园、法治公园、指示牌、社会主义核心价值观宣传栏等多项主题宣传专栏。</w:t>
      </w:r>
    </w:p>
    <w:p>
      <w:r>
        <w:rPr>
          <w:b/>
          <w:sz w:val="21"/>
        </w:rPr>
        <w:t xml:space="preserve">2.  </w:t>
      </w:r>
      <w:r>
        <w:rPr>
          <w:b/>
          <w:sz w:val="21"/>
        </w:rPr>
        <w:t>项目人力要求</w:t>
      </w:r>
    </w:p>
    <w:p>
      <w:r>
        <w:rPr>
          <w:sz w:val="21"/>
        </w:rPr>
        <w:t>2.1.</w:t>
      </w:r>
      <w:r>
        <w:rPr>
          <w:sz w:val="21"/>
        </w:rPr>
        <w:t>人员安排：合计</w:t>
      </w:r>
      <w:r>
        <w:rPr>
          <w:sz w:val="21"/>
        </w:rPr>
        <w:t>39人。含项目负责人1人，</w:t>
      </w:r>
      <w:r>
        <w:rPr>
          <w:sz w:val="21"/>
        </w:rPr>
        <w:t>环卫保洁</w:t>
      </w:r>
      <w:r>
        <w:rPr>
          <w:sz w:val="21"/>
        </w:rPr>
        <w:t>主管人员1人、</w:t>
      </w:r>
      <w:r>
        <w:rPr>
          <w:sz w:val="21"/>
        </w:rPr>
        <w:t>绿化管</w:t>
      </w:r>
      <w:r>
        <w:rPr>
          <w:sz w:val="21"/>
        </w:rPr>
        <w:t>养主管人员1人</w:t>
      </w:r>
      <w:r>
        <w:rPr>
          <w:sz w:val="21"/>
        </w:rPr>
        <w:t>、</w:t>
      </w:r>
      <w:r>
        <w:rPr>
          <w:sz w:val="21"/>
        </w:rPr>
        <w:t>清扫保洁工人</w:t>
      </w:r>
      <w:r>
        <w:rPr>
          <w:sz w:val="21"/>
        </w:rPr>
        <w:t>23人，绿化养护工人1</w:t>
      </w:r>
      <w:r>
        <w:rPr>
          <w:sz w:val="21"/>
        </w:rPr>
        <w:t>3</w:t>
      </w:r>
      <w:r>
        <w:rPr>
          <w:sz w:val="21"/>
        </w:rPr>
        <w:t>人。</w:t>
      </w:r>
    </w:p>
    <w:p>
      <w:r>
        <w:rPr>
          <w:sz w:val="21"/>
        </w:rPr>
        <w:t>2.2.</w:t>
      </w:r>
      <w:r>
        <w:rPr>
          <w:sz w:val="21"/>
        </w:rPr>
        <w:t>绿化</w:t>
      </w:r>
      <w:r>
        <w:rPr>
          <w:sz w:val="21"/>
        </w:rPr>
        <w:t>管养人员中</w:t>
      </w:r>
      <w:r>
        <w:rPr>
          <w:sz w:val="21"/>
        </w:rPr>
        <w:t>必须配</w:t>
      </w:r>
      <w:r>
        <w:rPr>
          <w:sz w:val="21"/>
        </w:rPr>
        <w:t>1名有果树管理经验的</w:t>
      </w:r>
      <w:r>
        <w:rPr>
          <w:sz w:val="21"/>
        </w:rPr>
        <w:t>人</w:t>
      </w:r>
      <w:r>
        <w:rPr>
          <w:sz w:val="21"/>
        </w:rPr>
        <w:t>员，对公园古树林带进行特色管护，保障挂果成熟及相关看管养护事宜。</w:t>
      </w:r>
    </w:p>
    <w:p>
      <w:r>
        <w:rPr>
          <w:sz w:val="21"/>
        </w:rPr>
        <w:t>2.2.1.</w:t>
      </w:r>
      <w:r>
        <w:rPr>
          <w:sz w:val="21"/>
        </w:rPr>
        <w:t>项目负责人要求从事相关管理多年，有丰富的项目管理经验，并且全面熟悉现代环卫、绿化、市政管理，有较强的组织管理能力和语言文字表达能力。该项目负责人由乙方派驻项目实施地负责日常项目管理工作。</w:t>
      </w:r>
    </w:p>
    <w:p>
      <w:r>
        <w:rPr>
          <w:sz w:val="21"/>
        </w:rPr>
        <w:t>2.2.2.</w:t>
      </w:r>
      <w:r>
        <w:rPr>
          <w:sz w:val="21"/>
        </w:rPr>
        <w:t>清扫保洁工人年龄</w:t>
      </w:r>
      <w:r>
        <w:rPr>
          <w:sz w:val="21"/>
        </w:rPr>
        <w:t>50周岁以下，身体健康，热爱环卫本职工作，勤奋努力。清洁工人</w:t>
      </w:r>
      <w:r>
        <w:rPr>
          <w:sz w:val="21"/>
        </w:rPr>
        <w:t>必须</w:t>
      </w:r>
      <w:r>
        <w:rPr>
          <w:sz w:val="21"/>
        </w:rPr>
        <w:t>足额配置到位，凡因事假、病假或轮休，乙方</w:t>
      </w:r>
      <w:r>
        <w:rPr>
          <w:sz w:val="21"/>
        </w:rPr>
        <w:t>必须</w:t>
      </w:r>
      <w:r>
        <w:rPr>
          <w:sz w:val="21"/>
        </w:rPr>
        <w:t>及时安排好相应岗位的清洁工人上班作业。</w:t>
      </w:r>
    </w:p>
    <w:p>
      <w:r>
        <w:rPr>
          <w:sz w:val="21"/>
        </w:rPr>
        <w:t>2.2.3.</w:t>
      </w:r>
      <w:r>
        <w:rPr>
          <w:sz w:val="21"/>
        </w:rPr>
        <w:t>绿化工人年龄</w:t>
      </w:r>
      <w:r>
        <w:rPr>
          <w:sz w:val="21"/>
        </w:rPr>
        <w:t>50周岁以下，身体健康，熟悉园林绿化施工作业及养护管理的操作规范和流程，掌握各种植物的养护管理技术，熟练使用和操作各种绿林绿化机械。</w:t>
      </w:r>
    </w:p>
    <w:p>
      <w:r>
        <w:rPr>
          <w:sz w:val="21"/>
        </w:rPr>
        <w:t>2.3.</w:t>
      </w:r>
      <w:r>
        <w:rPr>
          <w:sz w:val="21"/>
        </w:rPr>
        <w:t>以上岗位人力安排，</w:t>
      </w:r>
      <w:r>
        <w:rPr>
          <w:sz w:val="21"/>
        </w:rPr>
        <w:t>须</w:t>
      </w:r>
      <w:r>
        <w:rPr>
          <w:sz w:val="21"/>
        </w:rPr>
        <w:t>满员配置，甲方采取不定期，不定时段检查、核查作业工人到位情况，如发现岗位人员缺漏，或工人怠岗、离岗等情况，甲方有权对乙方进行处罚，如发现因工人安排不合理、不到位造成环境脏乱差，严重影响市容环境的，甲方有权按照相关规定程序，对乙方实施处罚，直至解除中标合同。</w:t>
      </w:r>
    </w:p>
    <w:p>
      <w:r>
        <w:rPr>
          <w:sz w:val="21"/>
        </w:rPr>
        <w:t>2.4.</w:t>
      </w:r>
      <w:r>
        <w:rPr>
          <w:sz w:val="21"/>
        </w:rPr>
        <w:t>员工食宿、办公场所及所需添置的设施、设备，由乙方统一妥善安置，有关安置办法、管理方式、安全责任等由乙方负责协调解决。</w:t>
      </w:r>
    </w:p>
    <w:p>
      <w:r>
        <w:rPr>
          <w:sz w:val="21"/>
        </w:rPr>
        <w:t>2.5.</w:t>
      </w:r>
      <w:r>
        <w:rPr>
          <w:sz w:val="21"/>
        </w:rPr>
        <w:t>乙方需为投入本项目的所有人员作入职体检（需到三甲医院体检），并在领取中标通知书后到签署合同前，向甲方提供投入本项目所有人员的简历、体检报告等资料存档备案。人员变动后，也</w:t>
      </w:r>
      <w:r>
        <w:rPr>
          <w:sz w:val="21"/>
        </w:rPr>
        <w:t>必须</w:t>
      </w:r>
      <w:r>
        <w:rPr>
          <w:sz w:val="21"/>
        </w:rPr>
        <w:t>及时提供相关变动资料。乙方不得伪造、虚列人员资料信息欺骗甲方，如有此类情况发生，甲方有权单方面终止合同。</w:t>
      </w:r>
    </w:p>
    <w:p>
      <w:r>
        <w:rPr>
          <w:sz w:val="21"/>
        </w:rPr>
        <w:t>2.6.</w:t>
      </w:r>
      <w:r>
        <w:rPr>
          <w:sz w:val="21"/>
        </w:rPr>
        <w:t>乙方需为投入本项目的所有人员购买保额不少于</w:t>
      </w:r>
      <w:r>
        <w:rPr>
          <w:sz w:val="21"/>
        </w:rPr>
        <w:t>100万元的人身意外保险，对符合条件的员工并按国家有关规定和标准为员工购买“五险一金”。</w:t>
      </w:r>
    </w:p>
    <w:p>
      <w:r>
        <w:rPr>
          <w:b/>
          <w:sz w:val="21"/>
        </w:rPr>
        <w:t xml:space="preserve">3.  </w:t>
      </w:r>
      <w:r>
        <w:rPr>
          <w:b/>
          <w:sz w:val="21"/>
        </w:rPr>
        <w:t>作业服装、防护用品</w:t>
      </w:r>
    </w:p>
    <w:p>
      <w:r>
        <w:rPr>
          <w:sz w:val="21"/>
        </w:rPr>
        <w:t>3.1.</w:t>
      </w:r>
      <w:r>
        <w:rPr>
          <w:sz w:val="21"/>
        </w:rPr>
        <w:t>清扫保洁人员和绿化工人统一穿着反光服装，每年换四次服装，要求服装款式新颖，能充分展示当代环卫工人和绿化工人充满活力的风采。服装款式设计、规格、颜色等需报甲方确认。</w:t>
      </w:r>
    </w:p>
    <w:p>
      <w:r>
        <w:rPr>
          <w:sz w:val="21"/>
        </w:rPr>
        <w:t>3.2.</w:t>
      </w:r>
      <w:r>
        <w:rPr>
          <w:sz w:val="21"/>
        </w:rPr>
        <w:t>草帽、手套、口罩、水靴、雨披等防护用品，每年不少于普发四次，要求雨披统一款式和颜色。</w:t>
      </w:r>
    </w:p>
    <w:p>
      <w:r>
        <w:rPr>
          <w:b/>
          <w:sz w:val="21"/>
        </w:rPr>
        <w:t xml:space="preserve">4.  </w:t>
      </w:r>
      <w:r>
        <w:rPr>
          <w:b/>
          <w:sz w:val="21"/>
        </w:rPr>
        <w:t>清洁作业工具、绿化机械及其它设施设备、物料耗材</w:t>
      </w:r>
    </w:p>
    <w:p>
      <w:r>
        <w:rPr>
          <w:sz w:val="21"/>
        </w:rPr>
        <w:t>4.1.</w:t>
      </w:r>
      <w:r>
        <w:rPr>
          <w:sz w:val="21"/>
        </w:rPr>
        <w:t>大扫把、保洁扫、垃圾铲等易耗物，实时发放，每人每月按使用</w:t>
      </w:r>
      <w:r>
        <w:rPr>
          <w:sz w:val="21"/>
        </w:rPr>
        <w:t>6把发放，严禁使用不规范的报废作业工具</w:t>
      </w:r>
      <w:r>
        <w:rPr>
          <w:sz w:val="21"/>
        </w:rPr>
        <w:t>；手推式保洁车</w:t>
      </w:r>
      <w:r>
        <w:rPr>
          <w:sz w:val="21"/>
        </w:rPr>
        <w:t>8</w:t>
      </w:r>
      <w:r>
        <w:rPr>
          <w:sz w:val="21"/>
        </w:rPr>
        <w:t>辆，要求规格、样式统一，在使用中每天清洗，保持外观整洁</w:t>
      </w:r>
      <w:r>
        <w:rPr>
          <w:sz w:val="21"/>
        </w:rPr>
        <w:t>。</w:t>
      </w:r>
    </w:p>
    <w:p>
      <w:r>
        <w:rPr>
          <w:sz w:val="21"/>
        </w:rPr>
        <w:t>4.2.</w:t>
      </w:r>
      <w:r>
        <w:rPr>
          <w:sz w:val="21"/>
        </w:rPr>
        <w:t>绿化推草机</w:t>
      </w:r>
      <w:r>
        <w:rPr>
          <w:sz w:val="21"/>
        </w:rPr>
        <w:t>4台，切边机2台，油锯2台，高枝油锯2台，绿篱机3台、打药机2台，手锯、锄头、竹扒、竹筐若干。本项绿化机械及配置，乙方需将采购信息报甲方备案。</w:t>
      </w:r>
    </w:p>
    <w:p>
      <w:r>
        <w:rPr>
          <w:sz w:val="21"/>
        </w:rPr>
        <w:t>4.3.</w:t>
      </w:r>
      <w:r>
        <w:rPr>
          <w:sz w:val="21"/>
        </w:rPr>
        <w:t>高压清洗机、</w:t>
      </w:r>
      <w:r>
        <w:rPr>
          <w:sz w:val="21"/>
        </w:rPr>
        <w:t>洗扫机</w:t>
      </w:r>
      <w:r>
        <w:rPr>
          <w:sz w:val="21"/>
        </w:rPr>
        <w:t>、</w:t>
      </w:r>
      <w:r>
        <w:rPr>
          <w:sz w:val="21"/>
        </w:rPr>
        <w:t>绿化树枝处置、</w:t>
      </w:r>
      <w:r>
        <w:rPr>
          <w:sz w:val="21"/>
        </w:rPr>
        <w:t>清运垃圾车等设备由乙方自行配备</w:t>
      </w:r>
      <w:r>
        <w:rPr>
          <w:sz w:val="21"/>
        </w:rPr>
        <w:t>解决</w:t>
      </w:r>
      <w:r>
        <w:rPr>
          <w:sz w:val="21"/>
        </w:rPr>
        <w:t>。</w:t>
      </w:r>
    </w:p>
    <w:p>
      <w:r>
        <w:rPr>
          <w:sz w:val="21"/>
        </w:rPr>
        <w:t>4.4.</w:t>
      </w:r>
      <w:r>
        <w:rPr>
          <w:sz w:val="21"/>
        </w:rPr>
        <w:t>现有的环卫垃圾箱完好，乙方在合同期内对内外有损毁的垃圾箱需及时置换，以后如果在公共场所强制实施垃圾分类项目，所需垃圾分类专用箱由</w:t>
      </w:r>
      <w:r>
        <w:rPr>
          <w:sz w:val="21"/>
        </w:rPr>
        <w:t>甲乙</w:t>
      </w:r>
      <w:r>
        <w:rPr>
          <w:sz w:val="21"/>
        </w:rPr>
        <w:t>方添置和维护管理。</w:t>
      </w:r>
    </w:p>
    <w:p>
      <w:r>
        <w:rPr>
          <w:sz w:val="21"/>
        </w:rPr>
        <w:t>4.5.</w:t>
      </w:r>
      <w:r>
        <w:rPr>
          <w:sz w:val="21"/>
        </w:rPr>
        <w:t>公共设施维护维修、城市</w:t>
      </w:r>
      <w:r>
        <w:rPr>
          <w:sz w:val="21"/>
        </w:rPr>
        <w:t>“牛皮癣”清理所需的物料、耗材；绿化养护所需的燃油、用具、农药、化肥、病虫害防治、消除四害、苗木移植补植、因自然灾害对苗木的应急防护、修复、培植，以及广场</w:t>
      </w:r>
      <w:r>
        <w:rPr>
          <w:sz w:val="21"/>
        </w:rPr>
        <w:t>、</w:t>
      </w:r>
      <w:r>
        <w:rPr>
          <w:sz w:val="21"/>
        </w:rPr>
        <w:t>花坛每年四期时花采购、种植、养护等所发生的相关费用，由乙方负责，乙方需按照项目要求标准，保质保量实施项目工作。</w:t>
      </w:r>
    </w:p>
    <w:p>
      <w:r>
        <w:rPr>
          <w:b/>
          <w:sz w:val="21"/>
        </w:rPr>
        <w:t xml:space="preserve">5.  </w:t>
      </w:r>
      <w:r>
        <w:rPr>
          <w:b/>
          <w:sz w:val="21"/>
        </w:rPr>
        <w:t>公园管理项目四大部分工作要求概况</w:t>
      </w:r>
    </w:p>
    <w:p>
      <w:r>
        <w:rPr>
          <w:sz w:val="21"/>
        </w:rPr>
        <w:t>5.1.</w:t>
      </w:r>
      <w:r>
        <w:rPr>
          <w:sz w:val="21"/>
        </w:rPr>
        <w:t>日常环境卫生管理</w:t>
      </w:r>
    </w:p>
    <w:p>
      <w:r>
        <w:rPr>
          <w:sz w:val="21"/>
        </w:rPr>
        <w:t>5.1.1</w:t>
      </w:r>
      <w:r>
        <w:rPr>
          <w:sz w:val="21"/>
        </w:rPr>
        <w:t>项目内容</w:t>
      </w:r>
    </w:p>
    <w:p>
      <w:pPr>
        <w:ind w:firstLine="420"/>
        <w:jc w:val="both"/>
      </w:pPr>
      <w:r>
        <w:rPr>
          <w:sz w:val="21"/>
        </w:rPr>
        <w:t>公园是市民健身、休闲、娱乐活动的重要场所，是镇内举办群众性文体活动的重要场地，</w:t>
      </w:r>
      <w:r>
        <w:rPr>
          <w:sz w:val="21"/>
        </w:rPr>
        <w:t>保洁面积为</w:t>
      </w:r>
      <w:r>
        <w:rPr>
          <w:sz w:val="21"/>
        </w:rPr>
        <w:t>145875平方米</w:t>
      </w:r>
      <w:r>
        <w:rPr>
          <w:sz w:val="21"/>
        </w:rPr>
        <w:t>。</w:t>
      </w:r>
    </w:p>
    <w:p>
      <w:r>
        <w:rPr>
          <w:sz w:val="21"/>
        </w:rPr>
        <w:t>5.1.2.</w:t>
      </w:r>
      <w:r>
        <w:rPr>
          <w:sz w:val="21"/>
        </w:rPr>
        <w:t>项目要求</w:t>
      </w:r>
    </w:p>
    <w:p>
      <w:pPr>
        <w:jc w:val="both"/>
      </w:pPr>
      <w:r>
        <w:rPr>
          <w:sz w:val="21"/>
        </w:rPr>
        <w:t>（</w:t>
      </w:r>
      <w:r>
        <w:rPr>
          <w:sz w:val="21"/>
        </w:rPr>
        <w:t>1）</w:t>
      </w:r>
      <w:r>
        <w:rPr>
          <w:sz w:val="21"/>
        </w:rPr>
        <w:t>按照《东莞市城市精细化管理标准》，实行全天</w:t>
      </w:r>
      <w:r>
        <w:rPr>
          <w:sz w:val="21"/>
        </w:rPr>
        <w:t>12小时清扫保洁作业方式，作业等级为二级。</w:t>
      </w:r>
    </w:p>
    <w:p>
      <w:pPr>
        <w:ind w:firstLine="420"/>
        <w:jc w:val="both"/>
      </w:pPr>
      <w:r>
        <w:rPr>
          <w:sz w:val="21"/>
        </w:rPr>
        <w:t>（</w:t>
      </w:r>
      <w:r>
        <w:rPr>
          <w:sz w:val="21"/>
        </w:rPr>
        <w:t>2）</w:t>
      </w:r>
      <w:r>
        <w:rPr>
          <w:sz w:val="21"/>
        </w:rPr>
        <w:t>按照《东莞市城市精细化管理暂行办法》的要求标准，对广场、公园的市容管理、环境卫生</w:t>
      </w:r>
      <w:r>
        <w:rPr>
          <w:sz w:val="21"/>
        </w:rPr>
        <w:t>、垃圾分类、防疫管控、园林小品维护及公厕</w:t>
      </w:r>
      <w:r>
        <w:rPr>
          <w:sz w:val="21"/>
        </w:rPr>
        <w:t>管理的质量标准，甲方将通过</w:t>
      </w:r>
      <w:r>
        <w:rPr>
          <w:sz w:val="21"/>
        </w:rPr>
        <w:t>“周检查、月通报、季考核、年总评”的方式，对项目管理实施考核。</w:t>
      </w:r>
    </w:p>
    <w:p>
      <w:r>
        <w:rPr>
          <w:sz w:val="21"/>
        </w:rPr>
        <w:t>5.2.</w:t>
      </w:r>
      <w:r>
        <w:rPr>
          <w:sz w:val="21"/>
        </w:rPr>
        <w:t>日常园林绿化管理</w:t>
      </w:r>
    </w:p>
    <w:p>
      <w:r>
        <w:rPr>
          <w:sz w:val="21"/>
        </w:rPr>
        <w:t>5.2.1.</w:t>
      </w:r>
      <w:r>
        <w:rPr>
          <w:sz w:val="21"/>
        </w:rPr>
        <w:t>项目内容</w:t>
      </w:r>
    </w:p>
    <w:p>
      <w:pPr>
        <w:ind w:firstLine="420"/>
        <w:jc w:val="both"/>
      </w:pPr>
      <w:r>
        <w:rPr>
          <w:sz w:val="21"/>
        </w:rPr>
        <w:t>公园绿化面积</w:t>
      </w:r>
      <w:r>
        <w:rPr>
          <w:sz w:val="21"/>
        </w:rPr>
        <w:t>89675平方米，园内有大量的乔木、灌木、古荔枝树、芒果树和绿</w:t>
      </w:r>
      <w:r>
        <w:rPr>
          <w:sz w:val="21"/>
        </w:rPr>
        <w:t>地，此外，对广场、喷水池、管理</w:t>
      </w:r>
      <w:r>
        <w:rPr>
          <w:sz w:val="21"/>
        </w:rPr>
        <w:t>处</w:t>
      </w:r>
      <w:r>
        <w:rPr>
          <w:sz w:val="21"/>
        </w:rPr>
        <w:t>门前、人造桥的花坛、树池等，每年进行四期时花种植。</w:t>
      </w:r>
    </w:p>
    <w:p>
      <w:r>
        <w:rPr>
          <w:sz w:val="21"/>
        </w:rPr>
        <w:t>5.2.2.</w:t>
      </w:r>
      <w:r>
        <w:rPr>
          <w:sz w:val="21"/>
        </w:rPr>
        <w:t>项目要求</w:t>
      </w:r>
    </w:p>
    <w:p>
      <w:pPr>
        <w:jc w:val="both"/>
      </w:pPr>
      <w:r>
        <w:rPr>
          <w:sz w:val="21"/>
        </w:rPr>
        <w:t>（</w:t>
      </w:r>
      <w:r>
        <w:rPr>
          <w:sz w:val="21"/>
        </w:rPr>
        <w:t>1</w:t>
      </w:r>
      <w:r>
        <w:rPr>
          <w:sz w:val="21"/>
        </w:rPr>
        <w:t>）</w:t>
      </w:r>
      <w:r>
        <w:rPr>
          <w:sz w:val="21"/>
        </w:rPr>
        <w:t>按照园林绿化二级养护标准，精心养护一草一木，努力营造优美的绿化景观。</w:t>
      </w:r>
    </w:p>
    <w:p>
      <w:pPr>
        <w:jc w:val="both"/>
      </w:pPr>
      <w:r>
        <w:rPr>
          <w:sz w:val="21"/>
        </w:rPr>
        <w:t>（</w:t>
      </w:r>
      <w:r>
        <w:rPr>
          <w:sz w:val="21"/>
        </w:rPr>
        <w:t>2</w:t>
      </w:r>
      <w:r>
        <w:rPr>
          <w:sz w:val="21"/>
        </w:rPr>
        <w:t>）</w:t>
      </w:r>
      <w:r>
        <w:rPr>
          <w:sz w:val="21"/>
        </w:rPr>
        <w:t>甲方按照《东莞市城市精细化管理暂行办法》的要求标准对养护质量进行考核。</w:t>
      </w:r>
    </w:p>
    <w:p>
      <w:r>
        <w:rPr>
          <w:sz w:val="21"/>
        </w:rPr>
        <w:t>5.3.</w:t>
      </w:r>
      <w:r>
        <w:rPr>
          <w:sz w:val="21"/>
        </w:rPr>
        <w:t>公共设施维护维修管理</w:t>
      </w:r>
    </w:p>
    <w:p>
      <w:r>
        <w:rPr>
          <w:sz w:val="21"/>
        </w:rPr>
        <w:t>5.3.1.</w:t>
      </w:r>
      <w:r>
        <w:rPr>
          <w:sz w:val="21"/>
        </w:rPr>
        <w:t>项目内容</w:t>
      </w:r>
    </w:p>
    <w:p>
      <w:pPr>
        <w:ind w:firstLine="420"/>
        <w:jc w:val="both"/>
      </w:pPr>
      <w:r>
        <w:rPr>
          <w:sz w:val="21"/>
        </w:rPr>
        <w:t>公园各类基础设施齐全，项目主要工作包括对广场、供水、供电、环卫基础设施、绿化设施、市政建设设施、文化宣传设施等，做好日常维护管理工作和对损坏的设施进行维修、恢复工作。</w:t>
      </w:r>
    </w:p>
    <w:p>
      <w:r>
        <w:rPr>
          <w:sz w:val="21"/>
        </w:rPr>
        <w:t>5.3.2.</w:t>
      </w:r>
      <w:r>
        <w:rPr>
          <w:sz w:val="21"/>
        </w:rPr>
        <w:t>项目要求</w:t>
      </w:r>
    </w:p>
    <w:p>
      <w:pPr>
        <w:jc w:val="both"/>
      </w:pPr>
      <w:r>
        <w:rPr>
          <w:sz w:val="21"/>
        </w:rPr>
        <w:t>（</w:t>
      </w:r>
      <w:r>
        <w:rPr>
          <w:sz w:val="21"/>
        </w:rPr>
        <w:t>1</w:t>
      </w:r>
      <w:r>
        <w:rPr>
          <w:sz w:val="21"/>
        </w:rPr>
        <w:t>）</w:t>
      </w:r>
      <w:r>
        <w:rPr>
          <w:sz w:val="21"/>
        </w:rPr>
        <w:t>本项目要求建立健全各项具体的管理养护、维修恢复实施方案，确保广场、公园的市政基础设施经常处于完全完好的状态。</w:t>
      </w:r>
    </w:p>
    <w:p>
      <w:pPr>
        <w:jc w:val="both"/>
      </w:pPr>
      <w:r>
        <w:rPr>
          <w:sz w:val="21"/>
        </w:rPr>
        <w:t>（</w:t>
      </w:r>
      <w:r>
        <w:rPr>
          <w:sz w:val="21"/>
        </w:rPr>
        <w:t>2</w:t>
      </w:r>
      <w:r>
        <w:rPr>
          <w:sz w:val="21"/>
        </w:rPr>
        <w:t>）</w:t>
      </w:r>
      <w:r>
        <w:rPr>
          <w:sz w:val="21"/>
        </w:rPr>
        <w:t>甲方按照《东莞市城市精细化管理暂行办法》的要求进行考核。</w:t>
      </w:r>
    </w:p>
    <w:p>
      <w:r>
        <w:rPr>
          <w:sz w:val="21"/>
        </w:rPr>
        <w:t>5.4.</w:t>
      </w:r>
      <w:r>
        <w:rPr>
          <w:sz w:val="21"/>
        </w:rPr>
        <w:t>“荔枝特色主题园”打造</w:t>
      </w:r>
    </w:p>
    <w:p>
      <w:r>
        <w:rPr>
          <w:sz w:val="21"/>
        </w:rPr>
        <w:t>5.4.1.</w:t>
      </w:r>
      <w:r>
        <w:rPr>
          <w:sz w:val="21"/>
        </w:rPr>
        <w:t>项目内容</w:t>
      </w:r>
    </w:p>
    <w:p>
      <w:pPr>
        <w:ind w:firstLine="420"/>
        <w:jc w:val="left"/>
      </w:pPr>
      <w:r>
        <w:rPr>
          <w:sz w:val="21"/>
        </w:rPr>
        <w:t>围绕</w:t>
      </w:r>
      <w:r>
        <w:rPr>
          <w:sz w:val="21"/>
        </w:rPr>
        <w:t>“古荔枝树、芒果树保护、塑造生态”为鲜明特色的荔枝主题，进一步全面提升公园的生态环境。</w:t>
      </w:r>
    </w:p>
    <w:p>
      <w:r>
        <w:rPr>
          <w:sz w:val="21"/>
        </w:rPr>
        <w:t>5.4.2.</w:t>
      </w:r>
      <w:r>
        <w:rPr>
          <w:sz w:val="21"/>
        </w:rPr>
        <w:t>项目要求</w:t>
      </w:r>
    </w:p>
    <w:p>
      <w:pPr>
        <w:ind w:firstLine="420"/>
        <w:jc w:val="both"/>
      </w:pPr>
      <w:r>
        <w:rPr>
          <w:sz w:val="21"/>
        </w:rPr>
        <w:t>精心保护和管理好稀有的古荔枝林带，做好水肥管理，对荔枝树进行全面整修，常态化开展病虫害防治工作。</w:t>
      </w:r>
    </w:p>
    <w:p>
      <w:r>
        <w:rPr>
          <w:b/>
          <w:sz w:val="21"/>
        </w:rPr>
        <w:t xml:space="preserve">6.  </w:t>
      </w:r>
      <w:r>
        <w:rPr>
          <w:b/>
          <w:sz w:val="21"/>
        </w:rPr>
        <w:t>项目质量、技术指标</w:t>
      </w:r>
    </w:p>
    <w:p>
      <w:r>
        <w:rPr>
          <w:sz w:val="21"/>
        </w:rPr>
        <w:t>6.1.</w:t>
      </w:r>
      <w:r>
        <w:rPr>
          <w:sz w:val="21"/>
        </w:rPr>
        <w:t>黄江公园公共环境卫生、绿化养护等市政类管理工作，项目涉及到城市管理的诸多方面内容，</w:t>
      </w:r>
      <w:r>
        <w:rPr>
          <w:sz w:val="21"/>
        </w:rPr>
        <w:t>“精细化、规范化、品质化”管理要求严格，它关涉到城市管理三年品质提升，项目中标企业需深入落实各项工作内容，扎实推进各项工作的开展，以崭新的面貌交出一份合格的答卷。</w:t>
      </w:r>
    </w:p>
    <w:p>
      <w:r>
        <w:rPr>
          <w:sz w:val="21"/>
        </w:rPr>
        <w:t>6.2.</w:t>
      </w:r>
      <w:r>
        <w:rPr>
          <w:sz w:val="21"/>
        </w:rPr>
        <w:t>项目各分项主要质量技术指标分述如下：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6"/>
        <w:gridCol w:w="1194"/>
        <w:gridCol w:w="6570"/>
      </w:tblGrid>
      <w:tr>
        <w:tc>
          <w:tcPr>
            <w:tcW w:type="dxa" w:w="52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94"/>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6570"/>
            <w:tcBorders>
              <w:top w:val="single" w:color="000000" w:sz="4"/>
              <w:left w:val="none" w:color="000000" w:sz="4"/>
              <w:bottom w:val="single" w:color="000000" w:sz="4"/>
              <w:right w:val="single" w:color="000000" w:sz="4"/>
            </w:tcBorders>
            <w:vAlign w:val="top"/>
          </w:tcPr>
          <w:p>
            <w:pPr>
              <w:jc w:val="center"/>
            </w:pPr>
            <w:r>
              <w:rPr>
                <w:sz w:val="21"/>
              </w:rPr>
              <w:t>项目管理服务主要质量技术指标</w:t>
            </w:r>
          </w:p>
        </w:tc>
      </w:tr>
      <w:tr>
        <w:tc>
          <w:tcPr>
            <w:tcW w:type="dxa" w:w="526"/>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4"/>
            <w:vMerge w:val="restart"/>
            <w:tcBorders>
              <w:top w:val="none" w:color="000000" w:sz="4"/>
              <w:left w:val="none" w:color="000000" w:sz="4"/>
              <w:bottom w:val="single" w:color="000000" w:sz="4"/>
              <w:right w:val="single" w:color="000000" w:sz="4"/>
            </w:tcBorders>
            <w:vAlign w:val="top"/>
          </w:tcPr>
          <w:p>
            <w:pPr>
              <w:jc w:val="center"/>
            </w:pPr>
            <w:r>
              <w:rPr>
                <w:sz w:val="21"/>
              </w:rPr>
              <w:t>清洁卫生</w:t>
            </w:r>
          </w:p>
        </w:tc>
        <w:tc>
          <w:tcPr>
            <w:tcW w:type="dxa" w:w="6570"/>
            <w:vMerge w:val="restart"/>
            <w:tcBorders>
              <w:top w:val="none" w:color="000000" w:sz="4"/>
              <w:left w:val="none" w:color="000000" w:sz="4"/>
              <w:bottom w:val="single" w:color="000000" w:sz="4"/>
              <w:right w:val="single" w:color="000000" w:sz="4"/>
            </w:tcBorders>
            <w:vAlign w:val="top"/>
          </w:tcPr>
          <w:p>
            <w:pPr>
              <w:jc w:val="both"/>
            </w:pPr>
            <w:r>
              <w:rPr>
                <w:sz w:val="21"/>
              </w:rPr>
              <w:t>（一）作业</w:t>
            </w:r>
          </w:p>
          <w:p>
            <w:pPr>
              <w:jc w:val="both"/>
            </w:pPr>
            <w:r>
              <w:rPr>
                <w:sz w:val="21"/>
              </w:rPr>
              <w:t>1、每天两次普扫时间：早上9:00前完成第一次普扫；下午14:00-16:00完成第二次普扫，保持路面、绿地、沟渠干净，无卫生死角。</w:t>
            </w:r>
          </w:p>
          <w:p>
            <w:pPr>
              <w:jc w:val="both"/>
            </w:pPr>
            <w:r>
              <w:rPr>
                <w:sz w:val="21"/>
              </w:rPr>
              <w:t>2、巡回保洁时间：上午9:00-11:30；下午16:00-18：00；晚间20:00-22:00，重大节庆、重大活动期间，保洁时间延长至晚间23:00。</w:t>
            </w:r>
          </w:p>
          <w:p>
            <w:pPr>
              <w:jc w:val="both"/>
            </w:pPr>
            <w:r>
              <w:rPr>
                <w:sz w:val="21"/>
              </w:rPr>
              <w:t>（二）公厕要有专人看管，经常性清洗确保干净、整洁、无异味、无乱张贴涂画（“牛皮癣”），公厕专人看管时间至晚间22:00。</w:t>
            </w:r>
          </w:p>
          <w:p>
            <w:pPr>
              <w:jc w:val="both"/>
            </w:pPr>
            <w:r>
              <w:rPr>
                <w:sz w:val="21"/>
              </w:rPr>
              <w:t>（三）重要的地面要按期冲洗（要求每周冲洗一次，冲洗时间要合理安排），保持地面干净，做到地面见本色。冲洗时，应放置提示牌提醒游人，并控制适当的水压，以免妨碍游人。</w:t>
            </w:r>
          </w:p>
          <w:p>
            <w:pPr>
              <w:jc w:val="both"/>
            </w:pPr>
            <w:r>
              <w:rPr>
                <w:sz w:val="21"/>
              </w:rPr>
              <w:t>（四）在保洁时段，废弃物控制指标按照二级等级要求达标。</w:t>
            </w:r>
          </w:p>
          <w:p>
            <w:pPr>
              <w:jc w:val="both"/>
            </w:pPr>
            <w:r>
              <w:rPr>
                <w:sz w:val="21"/>
              </w:rPr>
              <w:t>（五）每月定期清理一次沉沙井，每两个月对沉沙井和下水井喷施一次药物，确保无四害孽生，下水道口畅通。</w:t>
            </w:r>
          </w:p>
          <w:p>
            <w:pPr>
              <w:jc w:val="both"/>
            </w:pPr>
            <w:r>
              <w:rPr>
                <w:sz w:val="21"/>
              </w:rPr>
              <w:t>（六）果皮箱隔日擦洗一次，保持外观整洁，无污迹尘土，及时清理垃圾箱内的垃圾，做到垃圾不外漏，周边环境整洁。</w:t>
            </w:r>
          </w:p>
          <w:p>
            <w:pPr>
              <w:jc w:val="both"/>
            </w:pPr>
            <w:r>
              <w:rPr>
                <w:sz w:val="21"/>
              </w:rPr>
              <w:t>（七）清扫保洁的垃圾随车收走，不漏收垃圾，不隐匿焚烧垃圾，收集过程中无遗漏扬撒，无渗透滴漏。</w:t>
            </w:r>
          </w:p>
          <w:p>
            <w:pPr>
              <w:jc w:val="both"/>
            </w:pPr>
            <w:r>
              <w:rPr>
                <w:sz w:val="21"/>
              </w:rPr>
              <w:t>（八）每日冲洗保洁车，保持车体外观整洁。</w:t>
            </w:r>
          </w:p>
          <w:p>
            <w:pPr>
              <w:jc w:val="both"/>
            </w:pPr>
            <w:r>
              <w:rPr>
                <w:sz w:val="21"/>
              </w:rPr>
              <w:t>（九）每日将垃圾运至公用事业服务中心指定的垃圾收集站做无害化处理。</w:t>
            </w:r>
          </w:p>
          <w:p>
            <w:pPr>
              <w:jc w:val="both"/>
            </w:pPr>
            <w:r>
              <w:rPr>
                <w:sz w:val="21"/>
              </w:rPr>
              <w:t>（十）及时清除电线杆、树杆、地面等建筑物、构件体上各类城市“牛皮癣”</w:t>
            </w:r>
          </w:p>
          <w:p>
            <w:pPr>
              <w:jc w:val="both"/>
            </w:pPr>
            <w:r>
              <w:rPr>
                <w:sz w:val="21"/>
              </w:rPr>
              <w:t>（十一）每月对广场、路面进行两次清洗，及时清理清除地面上口香糖等污渍。</w:t>
            </w:r>
          </w:p>
          <w:p>
            <w:pPr>
              <w:jc w:val="both"/>
            </w:pPr>
            <w:r>
              <w:rPr>
                <w:sz w:val="21"/>
              </w:rPr>
              <w:t>（十二）每年镇政府举办的美食节，活动结束后的当日，及时清理清扫活动现场，并对广场、公园进行彻底清洗。</w:t>
            </w:r>
          </w:p>
          <w:p>
            <w:pPr>
              <w:jc w:val="both"/>
            </w:pPr>
            <w:r>
              <w:rPr>
                <w:sz w:val="21"/>
              </w:rPr>
              <w:t>（十三）作业间隙或完成时，清洁保洁工具应摆放整齐，保洁范围内有工具房的存放在工具房内，垃圾保洁车、垃圾运输车不得横向占道、乱停乱放。</w:t>
            </w:r>
          </w:p>
          <w:p>
            <w:pPr>
              <w:jc w:val="both"/>
            </w:pPr>
            <w:r>
              <w:rPr>
                <w:sz w:val="21"/>
              </w:rPr>
              <w:t>（十四）清扫保洁作业质量标准：</w:t>
            </w:r>
          </w:p>
          <w:p>
            <w:pPr>
              <w:jc w:val="both"/>
            </w:pPr>
            <w:r>
              <w:rPr>
                <w:sz w:val="21"/>
              </w:rPr>
              <w:t>1、清扫作业完成后，整体干净整洁，达到“八无八净一通”质量标准。</w:t>
            </w:r>
          </w:p>
          <w:p>
            <w:pPr>
              <w:jc w:val="both"/>
            </w:pPr>
            <w:r>
              <w:rPr>
                <w:sz w:val="21"/>
              </w:rPr>
              <w:t>①八净标准：地面净、路沿石净，人行道净，公共区域净、树池绿化带净、墙基净，落水口净，果皮箱净。</w:t>
            </w:r>
          </w:p>
          <w:p>
            <w:pPr>
              <w:jc w:val="both"/>
            </w:pPr>
            <w:r>
              <w:rPr>
                <w:sz w:val="21"/>
              </w:rPr>
              <w:t>②八无标准：无沙石积水、无果皮纸屑、无痰迹、无烟头等废弃物，无人畜粪便，无漏收垃圾堆，无往落水口、明渠扫倒垃圾污物，无乱张贴广告纸。</w:t>
            </w:r>
          </w:p>
          <w:p>
            <w:pPr>
              <w:jc w:val="both"/>
            </w:pPr>
            <w:r>
              <w:rPr>
                <w:sz w:val="21"/>
              </w:rPr>
              <w:t>③一通：下水道口畅通。</w:t>
            </w:r>
          </w:p>
        </w:tc>
      </w:tr>
      <w:tr/>
      <w:tr>
        <w:tc>
          <w:tcPr>
            <w:tcW w:type="dxa" w:w="52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4"/>
            <w:vMerge w:val="restart"/>
            <w:tcBorders>
              <w:top w:val="none" w:color="000000" w:sz="4"/>
              <w:left w:val="none" w:color="000000" w:sz="4"/>
              <w:bottom w:val="single" w:color="000000" w:sz="4"/>
              <w:right w:val="single" w:color="000000" w:sz="4"/>
            </w:tcBorders>
            <w:vAlign w:val="top"/>
          </w:tcPr>
          <w:p>
            <w:pPr>
              <w:jc w:val="center"/>
            </w:pPr>
            <w:r>
              <w:rPr>
                <w:sz w:val="21"/>
              </w:rPr>
              <w:t>绿化养护</w:t>
            </w:r>
          </w:p>
        </w:tc>
        <w:tc>
          <w:tcPr>
            <w:tcW w:type="dxa" w:w="6570"/>
            <w:vMerge w:val="restart"/>
            <w:tcBorders>
              <w:top w:val="none" w:color="000000" w:sz="4"/>
              <w:left w:val="none" w:color="000000" w:sz="4"/>
              <w:bottom w:val="single" w:color="000000" w:sz="4"/>
              <w:right w:val="single" w:color="000000" w:sz="4"/>
            </w:tcBorders>
            <w:vAlign w:val="top"/>
          </w:tcPr>
          <w:p>
            <w:pPr>
              <w:jc w:val="both"/>
            </w:pPr>
            <w:r>
              <w:rPr>
                <w:sz w:val="21"/>
              </w:rPr>
              <w:t>（一）草坪养护标准</w:t>
            </w:r>
          </w:p>
          <w:p>
            <w:pPr>
              <w:jc w:val="both"/>
            </w:pPr>
            <w:r>
              <w:rPr>
                <w:sz w:val="21"/>
              </w:rPr>
              <w:t>1、适时修剪，常年保持草坪植被高度在10cm以下，草坪整齐，无枯枝树叶，无人畜粪便。</w:t>
            </w:r>
          </w:p>
          <w:p>
            <w:pPr>
              <w:jc w:val="both"/>
            </w:pPr>
            <w:r>
              <w:rPr>
                <w:sz w:val="21"/>
              </w:rPr>
              <w:t>2、草坪植被覆盖率达98％以上，无裸露地。</w:t>
            </w:r>
          </w:p>
          <w:p>
            <w:pPr>
              <w:jc w:val="both"/>
            </w:pPr>
            <w:r>
              <w:rPr>
                <w:sz w:val="21"/>
              </w:rPr>
              <w:t>3、适时清理杂草，杂草率3％＜m²</w:t>
            </w:r>
          </w:p>
          <w:p>
            <w:pPr>
              <w:jc w:val="both"/>
            </w:pPr>
            <w:r>
              <w:rPr>
                <w:sz w:val="21"/>
              </w:rPr>
              <w:t>4、每年8月到次年2月，每日早晚进行浇水，每年分四次普施化肥。</w:t>
            </w:r>
          </w:p>
          <w:p>
            <w:pPr>
              <w:jc w:val="both"/>
            </w:pPr>
            <w:r>
              <w:rPr>
                <w:sz w:val="21"/>
              </w:rPr>
              <w:t>5、做好草坪病虫害防治工作，适时消除病虫害。</w:t>
            </w:r>
          </w:p>
          <w:p>
            <w:pPr>
              <w:jc w:val="both"/>
            </w:pPr>
            <w:r>
              <w:rPr>
                <w:sz w:val="21"/>
              </w:rPr>
              <w:t>（二）灌木养护标准</w:t>
            </w:r>
          </w:p>
          <w:p>
            <w:pPr>
              <w:jc w:val="both"/>
            </w:pPr>
            <w:r>
              <w:rPr>
                <w:sz w:val="21"/>
              </w:rPr>
              <w:t>1、修剪工艺精细，景观效果优良。</w:t>
            </w:r>
          </w:p>
          <w:p>
            <w:pPr>
              <w:jc w:val="both"/>
            </w:pPr>
            <w:r>
              <w:rPr>
                <w:sz w:val="21"/>
              </w:rPr>
              <w:t>2、植物生长茂盛，保持植物四季花繁叶茂。</w:t>
            </w:r>
          </w:p>
          <w:p>
            <w:pPr>
              <w:jc w:val="both"/>
            </w:pPr>
            <w:r>
              <w:rPr>
                <w:sz w:val="21"/>
              </w:rPr>
              <w:t>（三）乔木养护标准</w:t>
            </w:r>
          </w:p>
          <w:p>
            <w:pPr>
              <w:jc w:val="both"/>
            </w:pPr>
            <w:r>
              <w:rPr>
                <w:sz w:val="21"/>
              </w:rPr>
              <w:t>植物生长茂盛，枝叶健硕，下沿线整齐，无枯死枝、无虫害、景观效果优良。</w:t>
            </w:r>
          </w:p>
          <w:p>
            <w:pPr>
              <w:jc w:val="both"/>
            </w:pPr>
            <w:r>
              <w:rPr>
                <w:sz w:val="21"/>
              </w:rPr>
              <w:t>（四）因多种原因，广场、公园绿地裸露地较多，许多高大的乔木也历久未整修，项目乙方对破坏了整体景观效果的绿地和乔木需进行一次全面的整修、修复工作，相关整修、修复实施方案需报甲方审查和备案。</w:t>
            </w:r>
          </w:p>
          <w:p>
            <w:pPr>
              <w:jc w:val="both"/>
            </w:pPr>
            <w:r>
              <w:rPr>
                <w:sz w:val="21"/>
              </w:rPr>
              <w:t>（五）因自然灾害造成绿化带苗木受损和破坏，乙方需采取措施，及时进行苗木移植、补植和应急、防护、修复培植等工作。</w:t>
            </w:r>
          </w:p>
          <w:p>
            <w:pPr>
              <w:jc w:val="both"/>
            </w:pPr>
            <w:r>
              <w:rPr>
                <w:sz w:val="21"/>
              </w:rPr>
              <w:t>（六）每年冬季做好苗木防寒、防冻工作，防范低温冻害极端天气对苗木的破坏，确保苗木安全越冬。</w:t>
            </w:r>
          </w:p>
          <w:p>
            <w:pPr>
              <w:jc w:val="both"/>
            </w:pPr>
            <w:r>
              <w:rPr>
                <w:sz w:val="21"/>
              </w:rPr>
              <w:t>（七）每日清扫落叶，加强绿地保洁，保持绿地整洁卫生。</w:t>
            </w:r>
          </w:p>
          <w:p>
            <w:pPr>
              <w:jc w:val="both"/>
            </w:pPr>
            <w:r>
              <w:rPr>
                <w:sz w:val="21"/>
              </w:rPr>
              <w:t>（八）每年对乔木整修不少于1次，对造型灌木、绿篱修剪每年不少于12次，色块灌木修剪每年不少于8次。</w:t>
            </w:r>
          </w:p>
          <w:p>
            <w:pPr>
              <w:jc w:val="both"/>
            </w:pPr>
            <w:r>
              <w:rPr>
                <w:sz w:val="21"/>
              </w:rPr>
              <w:t>（九）全年做好苗木虫害科学防治工作，加强对病虫害监测，采取化学防治和物理防治措施，防治和控制病虫害蔓延。</w:t>
            </w:r>
          </w:p>
        </w:tc>
      </w:tr>
      <w:tr/>
      <w:tr>
        <w:tc>
          <w:tcPr>
            <w:tcW w:type="dxa" w:w="5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94"/>
            <w:tcBorders>
              <w:top w:val="none" w:color="000000" w:sz="4"/>
              <w:left w:val="none" w:color="000000" w:sz="4"/>
              <w:bottom w:val="single" w:color="000000" w:sz="4"/>
              <w:right w:val="single" w:color="000000" w:sz="4"/>
            </w:tcBorders>
            <w:vAlign w:val="top"/>
          </w:tcPr>
          <w:p>
            <w:pPr>
              <w:jc w:val="center"/>
            </w:pPr>
            <w:r>
              <w:rPr>
                <w:sz w:val="21"/>
              </w:rPr>
              <w:t>公共设施维护维修</w:t>
            </w:r>
          </w:p>
        </w:tc>
        <w:tc>
          <w:tcPr>
            <w:tcW w:type="dxa" w:w="6570"/>
            <w:tcBorders>
              <w:top w:val="none" w:color="000000" w:sz="4"/>
              <w:left w:val="none" w:color="000000" w:sz="4"/>
              <w:bottom w:val="single" w:color="000000" w:sz="4"/>
              <w:right w:val="single" w:color="000000" w:sz="4"/>
            </w:tcBorders>
            <w:vAlign w:val="top"/>
          </w:tcPr>
          <w:p>
            <w:pPr>
              <w:jc w:val="both"/>
            </w:pPr>
            <w:r>
              <w:rPr>
                <w:sz w:val="21"/>
              </w:rPr>
              <w:t>1、本项目市政公共基础设施维护维修主要指对广场、公园被损坏、破坏的环卫设施、绿化设施、市政附属设施、管道等项目进行维护管理。</w:t>
            </w:r>
          </w:p>
          <w:p>
            <w:pPr>
              <w:jc w:val="both"/>
            </w:pPr>
            <w:r>
              <w:rPr>
                <w:sz w:val="21"/>
              </w:rPr>
              <w:t>2、维护维修管理标准</w:t>
            </w:r>
            <w:r>
              <w:br/>
            </w:r>
            <w:r>
              <w:rPr>
                <w:sz w:val="21"/>
              </w:rPr>
              <w:t>（1）广场、舞台无破损、坑洞，无沉降积水，人行道、绿道砖体无缺失、松动，井口井盖无缺失损坏。</w:t>
            </w:r>
          </w:p>
          <w:p>
            <w:pPr>
              <w:jc w:val="both"/>
            </w:pPr>
            <w:r>
              <w:rPr>
                <w:sz w:val="21"/>
              </w:rPr>
              <w:t>（2）果皮箱、垃圾桶内外整洁完好，无破损缺失。</w:t>
            </w:r>
          </w:p>
          <w:p>
            <w:pPr>
              <w:jc w:val="both"/>
            </w:pPr>
            <w:r>
              <w:rPr>
                <w:sz w:val="21"/>
              </w:rPr>
              <w:t>（3）市政排水设施无堵塞、无积淤。</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94"/>
            <w:tcBorders>
              <w:top w:val="none" w:color="000000" w:sz="4"/>
              <w:left w:val="none" w:color="000000" w:sz="4"/>
              <w:bottom w:val="single" w:color="000000" w:sz="4"/>
              <w:right w:val="single" w:color="000000" w:sz="4"/>
            </w:tcBorders>
            <w:vAlign w:val="top"/>
          </w:tcPr>
          <w:p>
            <w:pPr>
              <w:jc w:val="center"/>
            </w:pPr>
            <w:r>
              <w:rPr>
                <w:sz w:val="21"/>
              </w:rPr>
              <w:t>给排水系统维护维修</w:t>
            </w:r>
          </w:p>
        </w:tc>
        <w:tc>
          <w:tcPr>
            <w:tcW w:type="dxa" w:w="6570"/>
            <w:tcBorders>
              <w:top w:val="none" w:color="000000" w:sz="4"/>
              <w:left w:val="none" w:color="000000" w:sz="4"/>
              <w:bottom w:val="single" w:color="000000" w:sz="4"/>
              <w:right w:val="single" w:color="000000" w:sz="4"/>
            </w:tcBorders>
            <w:vAlign w:val="top"/>
          </w:tcPr>
          <w:p>
            <w:pPr>
              <w:jc w:val="both"/>
            </w:pPr>
            <w:r>
              <w:rPr>
                <w:sz w:val="21"/>
              </w:rPr>
              <w:t>1、每季度对广场、公园范围内给排水系统，包括对阀门及附属设施进行一次大检，对存在影响给排水的潜在隐患，及时进行保养维护和维修。</w:t>
            </w:r>
          </w:p>
          <w:p>
            <w:pPr>
              <w:jc w:val="both"/>
            </w:pPr>
            <w:r>
              <w:rPr>
                <w:sz w:val="21"/>
              </w:rPr>
              <w:t>2、在日常维护管理中，对影响到广场、公园正常给排水运行的故障，及时抢险维修，确保给排水系统良好运行。</w:t>
            </w:r>
          </w:p>
          <w:p>
            <w:pPr>
              <w:jc w:val="both"/>
            </w:pPr>
            <w:r>
              <w:rPr>
                <w:sz w:val="21"/>
              </w:rPr>
              <w:t>3、广场、公园绿化用水、清洗用水、因管理不善造成的跑冒漏滴，以及其他用水所产生的维护费用由乙方承担。</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94"/>
            <w:tcBorders>
              <w:top w:val="none" w:color="000000" w:sz="4"/>
              <w:left w:val="none" w:color="000000" w:sz="4"/>
              <w:bottom w:val="single" w:color="000000" w:sz="4"/>
              <w:right w:val="single" w:color="000000" w:sz="4"/>
            </w:tcBorders>
            <w:vAlign w:val="top"/>
          </w:tcPr>
          <w:p>
            <w:pPr>
              <w:jc w:val="center"/>
            </w:pPr>
            <w:r>
              <w:rPr>
                <w:sz w:val="21"/>
              </w:rPr>
              <w:t>公共秩序维护管理</w:t>
            </w:r>
          </w:p>
        </w:tc>
        <w:tc>
          <w:tcPr>
            <w:tcW w:type="dxa" w:w="6570"/>
            <w:tcBorders>
              <w:top w:val="none" w:color="000000" w:sz="4"/>
              <w:left w:val="none" w:color="000000" w:sz="4"/>
              <w:bottom w:val="single" w:color="000000" w:sz="4"/>
              <w:right w:val="single" w:color="000000" w:sz="4"/>
            </w:tcBorders>
            <w:vAlign w:val="top"/>
          </w:tcPr>
          <w:p>
            <w:pPr>
              <w:jc w:val="both"/>
            </w:pPr>
            <w:r>
              <w:rPr>
                <w:sz w:val="21"/>
              </w:rPr>
              <w:t>1、广场、公园乱摆卖问题比较突出，乙方在日常管理工作中，需积极协助甲方和相关部门的联合整洁行动，维护好广场、公园的良好秩序。</w:t>
            </w:r>
          </w:p>
          <w:p>
            <w:pPr>
              <w:jc w:val="both"/>
            </w:pPr>
            <w:r>
              <w:rPr>
                <w:sz w:val="21"/>
              </w:rPr>
              <w:t>2.重大节庆、重大活动期间，乙方除配备足够人力加强活动现场保洁工作之外，还需根据甲方的部署安排，协助做好相关工作。</w:t>
            </w:r>
          </w:p>
          <w:p>
            <w:pPr>
              <w:jc w:val="both"/>
            </w:pPr>
            <w:r>
              <w:rPr>
                <w:sz w:val="21"/>
              </w:rPr>
              <w:t>3.乙方在日常管理工作中，需做好广场、公园公共场所突发事件预防工作。一旦出现公共突发事件，乙方需协助相关部门有序做好事故的处置和救援工作。</w:t>
            </w:r>
          </w:p>
          <w:p>
            <w:pPr>
              <w:jc w:val="both"/>
            </w:pPr>
            <w:r>
              <w:rPr>
                <w:sz w:val="21"/>
              </w:rPr>
              <w:t>4.乙方需在每晚10:00前对广场、公园噪声扰民予以制止，防止和减轻环境噪声对周边居民正常生活、工作和学习的干扰。</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94"/>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6570"/>
            <w:tcBorders>
              <w:top w:val="none" w:color="000000" w:sz="4"/>
              <w:left w:val="none" w:color="000000" w:sz="4"/>
              <w:bottom w:val="single" w:color="000000" w:sz="4"/>
              <w:right w:val="single" w:color="000000" w:sz="4"/>
            </w:tcBorders>
            <w:vAlign w:val="top"/>
          </w:tcPr>
          <w:p>
            <w:pPr>
              <w:jc w:val="both"/>
            </w:pPr>
            <w:r>
              <w:rPr>
                <w:sz w:val="21"/>
              </w:rPr>
              <w:t>乙方需对涉及甲方的信息严格保密，未经甲方许可，不得将相关信息泄露给第三方，否则甲方有保留追究乙方法律责任的权利</w:t>
            </w:r>
          </w:p>
        </w:tc>
      </w:tr>
    </w:tbl>
    <w:p>
      <w:r>
        <w:rPr>
          <w:b/>
          <w:sz w:val="21"/>
        </w:rPr>
        <w:t xml:space="preserve">7.  </w:t>
      </w:r>
      <w:r>
        <w:rPr>
          <w:b/>
          <w:sz w:val="21"/>
        </w:rPr>
        <w:t>服务期限</w:t>
      </w:r>
    </w:p>
    <w:p>
      <w:pPr>
        <w:ind w:firstLine="420"/>
        <w:jc w:val="both"/>
      </w:pPr>
      <w:r>
        <w:rPr>
          <w:sz w:val="21"/>
        </w:rPr>
        <w:t>本项目服务期限为三年（合同签订之日起三年），</w:t>
      </w:r>
      <w:r>
        <w:rPr>
          <w:sz w:val="21"/>
        </w:rPr>
        <w:t>每年</w:t>
      </w:r>
      <w:r>
        <w:rPr>
          <w:sz w:val="21"/>
        </w:rPr>
        <w:t>12月份的最后5个工作日，甲方对乙方一年来的工作进行综合考核评定。</w:t>
      </w:r>
    </w:p>
    <w:p>
      <w:pPr>
        <w:ind w:firstLine="420"/>
        <w:jc w:val="both"/>
      </w:pPr>
      <w:r>
        <w:rPr>
          <w:sz w:val="21"/>
        </w:rPr>
        <w:t>乙方承诺，若一年中，各项月考核扣分在</w:t>
      </w:r>
      <w:r>
        <w:rPr>
          <w:sz w:val="21"/>
        </w:rPr>
        <w:t>40分以上的（不含40分）累计三次或三次以上的或在城市精细化管理第三方专业机构明察暗访考评中，尤其是文明创建、全市环境卫生大检查中，广场、公园范围内有重大扣分，造成恶劣影响的，甲方可单方终止合同履行，</w:t>
      </w:r>
      <w:r>
        <w:rPr>
          <w:sz w:val="21"/>
        </w:rPr>
        <w:t>并无须退还履约保证金给乙方，</w:t>
      </w:r>
      <w:r>
        <w:rPr>
          <w:sz w:val="21"/>
        </w:rPr>
        <w:t>乙方不得以任何理由和借口追究甲方的责任。</w:t>
      </w:r>
    </w:p>
    <w:p>
      <w:r>
        <w:rPr>
          <w:b/>
          <w:sz w:val="21"/>
        </w:rPr>
        <w:t xml:space="preserve">8.  </w:t>
      </w:r>
      <w:r>
        <w:rPr>
          <w:b/>
          <w:sz w:val="21"/>
        </w:rPr>
        <w:t>其它</w:t>
      </w:r>
    </w:p>
    <w:p>
      <w:r>
        <w:rPr>
          <w:sz w:val="21"/>
        </w:rPr>
        <w:t>8.1.</w:t>
      </w:r>
      <w:r>
        <w:rPr>
          <w:sz w:val="21"/>
        </w:rPr>
        <w:t>乙方按照国家政策的有关规定与员工签订劳动合同，按时支付人工工资，并对符合条件的员工按规定缴纳社会保险</w:t>
      </w:r>
      <w:r>
        <w:rPr>
          <w:sz w:val="21"/>
        </w:rPr>
        <w:t>等</w:t>
      </w:r>
      <w:r>
        <w:rPr>
          <w:sz w:val="21"/>
        </w:rPr>
        <w:t>；保障员工享受国家规定的福利、假期、劳动补贴、带薪年假、节日补贴等。</w:t>
      </w:r>
    </w:p>
    <w:p>
      <w:r>
        <w:rPr>
          <w:sz w:val="21"/>
        </w:rPr>
        <w:t>8.2.</w:t>
      </w:r>
      <w:r>
        <w:rPr>
          <w:sz w:val="21"/>
        </w:rPr>
        <w:t>合同期内，乙方未能按照合同规定的项目服务标准，按质按量完成相关服务工作，或发生三次以上员工罢工或者无故停止工作，视为乙方违约，甲方有权解除合同，并不予退还乙方支付的履约保证金。</w:t>
      </w:r>
    </w:p>
    <w:p>
      <w:r>
        <w:rPr>
          <w:sz w:val="21"/>
        </w:rPr>
        <w:t>8.3.</w:t>
      </w:r>
      <w:r>
        <w:rPr>
          <w:sz w:val="21"/>
        </w:rPr>
        <w:t>如因乙方管理不善被甲方终止合同，乙方有义务为甲方继续履行合同，直到新的作业单位接管业务，并赔偿甲方聘用新的作业单位额外支付的费用或其他损失。</w:t>
      </w:r>
    </w:p>
    <w:p>
      <w:r>
        <w:rPr>
          <w:sz w:val="21"/>
        </w:rPr>
        <w:t>8.4.</w:t>
      </w:r>
      <w:r>
        <w:rPr>
          <w:sz w:val="21"/>
        </w:rPr>
        <w:t>双方需要变更或中途终止合同，需提前一个月以正式书面的形式通知另一方，另一方在收到书面通知后</w:t>
      </w:r>
      <w:r>
        <w:rPr>
          <w:sz w:val="21"/>
        </w:rPr>
        <w:t>15日内应予以答复，拖延方应向另一方赔偿一个月服务费作为违约金。</w:t>
      </w:r>
    </w:p>
    <w:p>
      <w:r>
        <w:rPr>
          <w:sz w:val="21"/>
        </w:rPr>
        <w:t>8.5.</w:t>
      </w:r>
      <w:r>
        <w:rPr>
          <w:sz w:val="21"/>
        </w:rPr>
        <w:t>甲方对乙方的作业内容、作业质量进行全方面监督和指导，对作业不达标和不符合要求而责令限时落实整改的，乙方需不折不扣地落实整改事项任务，对拖延或拒不落实整改的，甲方有权</w:t>
      </w:r>
      <w:r>
        <w:rPr>
          <w:sz w:val="21"/>
        </w:rPr>
        <w:t>按次要求乙方支付违约金</w:t>
      </w:r>
      <w:r>
        <w:rPr>
          <w:sz w:val="21"/>
        </w:rPr>
        <w:t>5000元或</w:t>
      </w:r>
      <w:r>
        <w:rPr>
          <w:sz w:val="21"/>
        </w:rPr>
        <w:t>实施其他处罚方法。</w:t>
      </w:r>
    </w:p>
    <w:p>
      <w:r>
        <w:rPr>
          <w:sz w:val="21"/>
        </w:rPr>
        <w:t>8.6.</w:t>
      </w:r>
      <w:r>
        <w:rPr>
          <w:sz w:val="21"/>
        </w:rPr>
        <w:t>合同履行期限内，甲方根据实际需要或对项目实施调整和完善，要求增加人力，所增加的人力数按照相应的人均工资标准增加服务费和其他费用，并以书面的形式双方签署补充合同。</w:t>
      </w:r>
    </w:p>
    <w:p>
      <w:r>
        <w:rPr>
          <w:sz w:val="21"/>
        </w:rPr>
        <w:t>8.7.</w:t>
      </w:r>
      <w:r>
        <w:rPr>
          <w:sz w:val="21"/>
        </w:rPr>
        <w:t>乙方如因安全生产意识薄弱，导致工伤等意外事故发生，由乙方负责处理和承担相应的责任，甲方概不负任何责任。</w:t>
      </w:r>
    </w:p>
    <w:p>
      <w:r>
        <w:rPr>
          <w:sz w:val="21"/>
        </w:rPr>
        <w:t>8.8.</w:t>
      </w:r>
      <w:r>
        <w:rPr>
          <w:sz w:val="21"/>
        </w:rPr>
        <w:t>乙方需加强与城市管理等部门的沟通和协调，妥善处理处置日常废弃垃圾、建筑垃圾和园林绿化垃圾的倾倒和排放，如因乙方不按相关规定乱倒乱放垃圾，由此造成的责任由乙方承担。</w:t>
      </w:r>
    </w:p>
    <w:p>
      <w:r>
        <w:rPr>
          <w:sz w:val="21"/>
        </w:rPr>
        <w:t>8.9.</w:t>
      </w:r>
      <w:r>
        <w:rPr>
          <w:sz w:val="21"/>
        </w:rPr>
        <w:t>乙方在市政维护维修施工作业中，要认真抓好现场文明施工管理工作，防范安全事故发生，如因疏于安全管理，或违反操作流程，造成安全事故发生，由此造成的责任由乙方承担。</w:t>
      </w:r>
    </w:p>
    <w:p>
      <w:r>
        <w:rPr>
          <w:sz w:val="21"/>
        </w:rPr>
        <w:t>8.10.</w:t>
      </w:r>
      <w:r>
        <w:rPr>
          <w:sz w:val="21"/>
        </w:rPr>
        <w:t>乙方应在进场一个月内设置固定办公场所和固定联系电话。</w:t>
      </w:r>
    </w:p>
    <w:p>
      <w:pPr>
        <w:jc w:val="both"/>
      </w:pPr>
      <w:r>
        <w:rPr>
          <w:b/>
          <w:sz w:val="21"/>
        </w:rPr>
        <w:t>三、付款方式：</w:t>
      </w:r>
    </w:p>
    <w:p>
      <w:pPr>
        <w:jc w:val="left"/>
      </w:pPr>
      <w:r>
        <w:rPr>
          <w:sz w:val="21"/>
        </w:rPr>
        <w:t>①服务费按月支付，甲方根据检查和考核结果于每月20日前向乙方支付上一个月的服务费。（每月服务费须经甲方现场考核评分，根据评分结果是和合同的约定确定实际应付款金额后支付，付款时乙方应出具与实际应付款金额相符的发票，否则造成不能按时付款的责任由乙方自行承担）。</w:t>
      </w:r>
    </w:p>
    <w:p>
      <w:pPr>
        <w:jc w:val="left"/>
      </w:pPr>
      <w:r>
        <w:rPr>
          <w:sz w:val="21"/>
        </w:rPr>
        <w:t>②付款时间为甲方向政府</w:t>
      </w:r>
      <w:r>
        <w:rPr>
          <w:sz w:val="21"/>
        </w:rPr>
        <w:t>财政</w:t>
      </w:r>
      <w:r>
        <w:rPr>
          <w:sz w:val="21"/>
        </w:rPr>
        <w:t>支付部门提出支付申请的时间，不含政府支付部门审查时间。</w:t>
      </w:r>
    </w:p>
    <w:p>
      <w:pPr>
        <w:jc w:val="both"/>
      </w:pPr>
      <w:r>
        <w:rPr>
          <w:sz w:val="21"/>
        </w:rPr>
        <w:t>注：本项目资金来源为财政资金，相关付款程序严格遵守东莞市（或项目所在镇街）政府财政资金支付程序规定。</w:t>
      </w:r>
    </w:p>
    <w:p>
      <w:pPr>
        <w:jc w:val="both"/>
      </w:pPr>
      <w:r>
        <w:rPr>
          <w:b/>
          <w:sz w:val="21"/>
        </w:rPr>
        <w:t>四、合同解除的条件：</w:t>
      </w:r>
    </w:p>
    <w:p>
      <w:pPr>
        <w:jc w:val="both"/>
      </w:pPr>
      <w:r>
        <w:rPr>
          <w:sz w:val="21"/>
        </w:rPr>
        <w:t>1、甲方未按照合同规定之期限支付经费，且又不说明理由的，乙方可以单方解除合同。</w:t>
      </w:r>
    </w:p>
    <w:p>
      <w:pPr>
        <w:jc w:val="both"/>
      </w:pPr>
      <w:r>
        <w:rPr>
          <w:sz w:val="21"/>
        </w:rPr>
        <w:t>2、乙方出现两次无正当理由拒不执行甲方提出的整改意见，甲方可以单方解除合同。</w:t>
      </w:r>
    </w:p>
    <w:p>
      <w:pPr>
        <w:jc w:val="both"/>
      </w:pPr>
      <w:r>
        <w:rPr>
          <w:sz w:val="21"/>
        </w:rPr>
        <w:t>3、乙方出现重大事故，甲方可以单方解除合同。</w:t>
      </w:r>
    </w:p>
    <w:p>
      <w:pPr>
        <w:jc w:val="both"/>
      </w:pPr>
      <w:r>
        <w:rPr>
          <w:sz w:val="21"/>
        </w:rPr>
        <w:t>4、乙方没达到项目所规定的要求，甲方可以单方解除合同。</w:t>
      </w:r>
    </w:p>
    <w:p>
      <w:pPr>
        <w:jc w:val="both"/>
      </w:pPr>
      <w:r>
        <w:rPr>
          <w:sz w:val="21"/>
        </w:rPr>
        <w:t>5、因不可抗力因素导致合同不能正常履行的（包括但不仅限于政府行政上的原因），甲乙双方均不需承担任何责任。</w:t>
      </w:r>
      <w:r>
        <w:rPr>
          <w:sz w:val="21"/>
        </w:rPr>
        <w:t>因本条第</w:t>
      </w:r>
      <w:r>
        <w:rPr>
          <w:sz w:val="21"/>
        </w:rPr>
        <w:t>2、3、4款解除本合同的，甲方无须退还履约保证金给乙方。</w:t>
      </w:r>
    </w:p>
    <w:p>
      <w:pPr>
        <w:jc w:val="both"/>
      </w:pPr>
      <w:r>
        <w:rPr>
          <w:b/>
          <w:sz w:val="21"/>
        </w:rPr>
        <w:t>五、违约责任：</w:t>
      </w:r>
    </w:p>
    <w:p>
      <w:pPr>
        <w:jc w:val="both"/>
      </w:pPr>
      <w:r>
        <w:rPr>
          <w:sz w:val="21"/>
        </w:rPr>
        <w:t>1、合同期内，乙方未能按照合同规定的项目服务标准，按质按量完成相关服务工作，或发生三次以上员工罢工或者无故停止工作，视为乙方违约，甲方有权解除合同，并不予退还乙方支付的履约保证金。</w:t>
      </w:r>
    </w:p>
    <w:p>
      <w:pPr>
        <w:jc w:val="both"/>
      </w:pPr>
      <w:r>
        <w:rPr>
          <w:sz w:val="21"/>
        </w:rPr>
        <w:t>2、如因乙方管理不善被甲方终止</w:t>
      </w:r>
      <w:r>
        <w:rPr>
          <w:sz w:val="21"/>
        </w:rPr>
        <w:t>或解除</w:t>
      </w:r>
      <w:r>
        <w:rPr>
          <w:sz w:val="21"/>
        </w:rPr>
        <w:t>合同，乙方有义务为甲方继续履行合同，直到新的作业单位接管业务，并赔偿甲方聘用新的作业单位额外支付的费用或其他损失。</w:t>
      </w:r>
    </w:p>
    <w:p>
      <w:pPr>
        <w:jc w:val="both"/>
      </w:pPr>
      <w:r>
        <w:rPr>
          <w:sz w:val="21"/>
        </w:rPr>
        <w:t>3、</w:t>
      </w:r>
      <w:r>
        <w:rPr>
          <w:sz w:val="21"/>
        </w:rPr>
        <w:t>双方需要变更或中途终止合同，必须提前一个月以正式书面的形式通知另一方，另一方在收到书面通知后</w:t>
      </w:r>
      <w:r>
        <w:rPr>
          <w:sz w:val="21"/>
        </w:rPr>
        <w:t>15日内应予以答复，拖延方应向另一方赔偿一个月服务费作为违约金。</w:t>
      </w:r>
    </w:p>
    <w:p>
      <w:pPr>
        <w:jc w:val="both"/>
      </w:pPr>
      <w:r>
        <w:rPr>
          <w:sz w:val="21"/>
        </w:rPr>
        <w:t>4、合同双方有一方无故解除合同，致使合同不能履行，违约方应支付本合同金额的百分之二十，来承担违约责任</w:t>
      </w:r>
      <w:r>
        <w:rPr>
          <w:sz w:val="21"/>
        </w:rPr>
        <w:t>，违约金给另一方</w:t>
      </w:r>
      <w:r>
        <w:rPr>
          <w:sz w:val="21"/>
        </w:rPr>
        <w:t>。</w:t>
      </w:r>
    </w:p>
    <w:p>
      <w:pPr>
        <w:jc w:val="both"/>
      </w:pPr>
      <w:r>
        <w:rPr>
          <w:sz w:val="21"/>
        </w:rPr>
        <w:t>5、合同履行过程中，出现本合同约定的解除条件，行使合同解除权的一方，仍可以行使追究违约方违约责任的权利。</w:t>
      </w:r>
    </w:p>
    <w:p>
      <w:pPr>
        <w:jc w:val="both"/>
      </w:pPr>
      <w:r>
        <w:rPr>
          <w:b/>
          <w:sz w:val="21"/>
        </w:rPr>
        <w:t>六</w:t>
      </w:r>
      <w:r>
        <w:rPr>
          <w:b/>
          <w:sz w:val="21"/>
        </w:rPr>
        <w:t>、争议解决办法：</w:t>
      </w:r>
    </w:p>
    <w:p>
      <w:pPr>
        <w:jc w:val="both"/>
      </w:pPr>
      <w:r>
        <w:rPr>
          <w:sz w:val="21"/>
        </w:rPr>
        <w:t>1、</w:t>
      </w:r>
      <w:r>
        <w:rPr>
          <w:sz w:val="21"/>
        </w:rPr>
        <w:t>凡与本合同有关而引起的一切争议，甲乙双方应首先通过友好协商解决，如经协商后仍不能达成协议时，任何一方可以向法院提出诉讼。</w:t>
      </w:r>
    </w:p>
    <w:p>
      <w:pPr>
        <w:jc w:val="both"/>
      </w:pPr>
      <w:r>
        <w:rPr>
          <w:sz w:val="21"/>
        </w:rPr>
        <w:t>2、</w:t>
      </w:r>
      <w:r>
        <w:rPr>
          <w:sz w:val="21"/>
        </w:rPr>
        <w:t>因</w:t>
      </w:r>
      <w:r>
        <w:rPr>
          <w:sz w:val="21"/>
        </w:rPr>
        <w:t>本合同发生</w:t>
      </w:r>
      <w:r>
        <w:rPr>
          <w:sz w:val="21"/>
        </w:rPr>
        <w:t>纠纷</w:t>
      </w:r>
      <w:r>
        <w:rPr>
          <w:sz w:val="21"/>
        </w:rPr>
        <w:t>诉</w:t>
      </w:r>
      <w:r>
        <w:rPr>
          <w:sz w:val="21"/>
        </w:rPr>
        <w:t>的，由甲方所在地人民</w:t>
      </w:r>
      <w:r>
        <w:rPr>
          <w:sz w:val="21"/>
        </w:rPr>
        <w:t>法院</w:t>
      </w:r>
      <w:r>
        <w:rPr>
          <w:sz w:val="21"/>
        </w:rPr>
        <w:t>管辖</w:t>
      </w:r>
      <w:r>
        <w:rPr>
          <w:sz w:val="21"/>
        </w:rPr>
        <w:t>。</w:t>
      </w:r>
    </w:p>
    <w:p>
      <w:pPr>
        <w:jc w:val="both"/>
      </w:pPr>
      <w:r>
        <w:rPr>
          <w:sz w:val="21"/>
        </w:rPr>
        <w:t>3、</w:t>
      </w:r>
      <w:r>
        <w:rPr>
          <w:sz w:val="21"/>
        </w:rPr>
        <w:t>在进行法院审理期间，除提交法院审理的事项外，合同其他部分仍继续履行。</w:t>
      </w:r>
    </w:p>
    <w:p>
      <w:pPr>
        <w:jc w:val="both"/>
      </w:pPr>
      <w:r>
        <w:rPr>
          <w:sz w:val="21"/>
        </w:rPr>
        <w:t>4、本合同按照中华人民共和国的法律进行解释。</w:t>
      </w:r>
    </w:p>
    <w:p>
      <w:pPr>
        <w:jc w:val="both"/>
      </w:pPr>
      <w:r>
        <w:rPr>
          <w:b/>
          <w:sz w:val="21"/>
        </w:rPr>
        <w:t>七</w:t>
      </w:r>
      <w:r>
        <w:rPr>
          <w:b/>
          <w:sz w:val="21"/>
        </w:rPr>
        <w:t>、合同生效</w:t>
      </w:r>
      <w:r>
        <w:rPr>
          <w:b/>
          <w:sz w:val="21"/>
        </w:rPr>
        <w:t>及终止</w:t>
      </w:r>
    </w:p>
    <w:p>
      <w:pPr>
        <w:jc w:val="both"/>
      </w:pPr>
      <w:r>
        <w:rPr>
          <w:sz w:val="21"/>
        </w:rPr>
        <w:t>1、本合同自甲乙双方签字盖章之日起生效。</w:t>
      </w:r>
    </w:p>
    <w:p>
      <w:pPr>
        <w:jc w:val="both"/>
      </w:pPr>
      <w:r>
        <w:rPr>
          <w:sz w:val="21"/>
        </w:rPr>
        <w:t>2、合同期满本合同自然终止。</w:t>
      </w:r>
    </w:p>
    <w:p>
      <w:pPr>
        <w:jc w:val="both"/>
      </w:pPr>
      <w:r>
        <w:rPr>
          <w:b/>
          <w:sz w:val="21"/>
        </w:rPr>
        <w:t>八</w:t>
      </w:r>
      <w:r>
        <w:rPr>
          <w:b/>
          <w:sz w:val="21"/>
        </w:rPr>
        <w:t>、其它</w:t>
      </w:r>
    </w:p>
    <w:p>
      <w:pPr>
        <w:jc w:val="both"/>
      </w:pPr>
      <w:r>
        <w:rPr>
          <w:sz w:val="21"/>
        </w:rPr>
        <w:t>1、本合同所有附件和中标通知书均为合同的有效组成部分，与本合同具有同样法律效力。</w:t>
      </w:r>
    </w:p>
    <w:p>
      <w:pPr>
        <w:jc w:val="both"/>
      </w:pPr>
      <w:r>
        <w:rPr>
          <w:sz w:val="21"/>
        </w:rPr>
        <w:t>2、在执行本合同的过程中，所有经甲乙双方签署确认的文件（包括会议纪要、补充协议、往来信函）即成为本合同的有效组成部分，其生效日期为双方签字盖公章或确认之日期。</w:t>
      </w:r>
    </w:p>
    <w:p>
      <w:pPr>
        <w:jc w:val="both"/>
      </w:pPr>
      <w:r>
        <w:rPr>
          <w:sz w:val="21"/>
        </w:rPr>
        <w:t>3、除甲方事先书面同意外，乙方不得部分或全部转让其应履行的合同项下的义务。</w:t>
      </w:r>
    </w:p>
    <w:p>
      <w:pPr>
        <w:jc w:val="both"/>
      </w:pPr>
      <w:r>
        <w:rPr>
          <w:sz w:val="21"/>
        </w:rPr>
        <w:t>4、本合同正本</w:t>
      </w:r>
      <w:r>
        <w:rPr>
          <w:sz w:val="21"/>
        </w:rPr>
        <w:t>三</w:t>
      </w:r>
      <w:r>
        <w:rPr>
          <w:sz w:val="21"/>
        </w:rPr>
        <w:t>份，甲、乙各执</w:t>
      </w:r>
      <w:r>
        <w:rPr>
          <w:sz w:val="21"/>
        </w:rPr>
        <w:t>一</w:t>
      </w:r>
      <w:r>
        <w:rPr>
          <w:sz w:val="21"/>
        </w:rPr>
        <w:t>份，副本</w:t>
      </w:r>
      <w:r>
        <w:rPr>
          <w:sz w:val="21"/>
        </w:rPr>
        <w:t>二</w:t>
      </w:r>
      <w:r>
        <w:rPr>
          <w:sz w:val="21"/>
        </w:rPr>
        <w:t>份，甲方</w:t>
      </w:r>
      <w:r>
        <w:rPr>
          <w:sz w:val="21"/>
        </w:rPr>
        <w:t>一</w:t>
      </w:r>
      <w:r>
        <w:rPr>
          <w:sz w:val="21"/>
        </w:rPr>
        <w:t>份，乙方</w:t>
      </w:r>
      <w:r>
        <w:rPr>
          <w:sz w:val="21"/>
        </w:rPr>
        <w:t>一</w:t>
      </w:r>
      <w:r>
        <w:rPr>
          <w:sz w:val="21"/>
        </w:rPr>
        <w:t>份，采购代理机构一份（用于办理合同备案手续，在合同签订之日起</w:t>
      </w:r>
      <w:r>
        <w:rPr>
          <w:sz w:val="21"/>
        </w:rPr>
        <w:t>7个工作日内由乙方递交）。</w:t>
      </w:r>
    </w:p>
    <w:p>
      <w:pPr>
        <w:jc w:val="both"/>
      </w:pPr>
      <w:r>
        <w:rPr>
          <w:sz w:val="21"/>
        </w:rPr>
        <w:t>5、本合同合计页</w:t>
      </w:r>
      <w:r>
        <w:rPr>
          <w:sz w:val="21"/>
        </w:rPr>
        <w:t>A4纸张，缺页之合同为无效合同。</w:t>
      </w:r>
    </w:p>
    <w:p>
      <w:pPr>
        <w:jc w:val="both"/>
      </w:pPr>
    </w:p>
    <w:p>
      <w:pPr>
        <w:jc w:val="both"/>
      </w:pPr>
    </w:p>
    <w:p>
      <w:pPr>
        <w:jc w:val="both"/>
      </w:pPr>
    </w:p>
    <w:p>
      <w:pPr>
        <w:jc w:val="both"/>
      </w:pPr>
    </w:p>
    <w:p>
      <w:pPr>
        <w:jc w:val="both"/>
      </w:pPr>
      <w:r>
        <w:rPr>
          <w:b/>
          <w:sz w:val="21"/>
        </w:rPr>
        <w:t>甲</w:t>
      </w:r>
      <w:r>
        <w:rPr>
          <w:b/>
          <w:sz w:val="21"/>
        </w:rPr>
        <w:t xml:space="preserve">   </w:t>
      </w:r>
      <w:r>
        <w:rPr>
          <w:b/>
          <w:sz w:val="21"/>
        </w:rPr>
        <w:t>方（盖章）：</w:t>
      </w:r>
      <w:r>
        <w:rPr>
          <w:sz w:val="21"/>
        </w:rPr>
        <w:t>东莞市黄江镇人民公园管理处</w:t>
      </w:r>
      <w:r>
        <w:rPr>
          <w:sz w:val="21"/>
        </w:rPr>
        <w:t xml:space="preserve"> </w:t>
      </w:r>
    </w:p>
    <w:p>
      <w:pPr>
        <w:jc w:val="both"/>
      </w:pPr>
      <w:r>
        <w:rPr>
          <w:b/>
          <w:sz w:val="21"/>
        </w:rPr>
        <w:t>签约代表（签署）：</w:t>
      </w:r>
      <w:r>
        <w:rPr>
          <w:b/>
          <w:sz w:val="21"/>
        </w:rPr>
        <w:t xml:space="preserve"> </w:t>
      </w:r>
    </w:p>
    <w:p>
      <w:pPr>
        <w:jc w:val="both"/>
      </w:pPr>
    </w:p>
    <w:p>
      <w:pPr>
        <w:jc w:val="both"/>
      </w:pPr>
    </w:p>
    <w:p>
      <w:pPr>
        <w:jc w:val="both"/>
      </w:pPr>
      <w:r>
        <w:rPr>
          <w:b/>
          <w:sz w:val="21"/>
        </w:rPr>
        <w:t>乙</w:t>
      </w:r>
      <w:r>
        <w:rPr>
          <w:b/>
          <w:sz w:val="21"/>
        </w:rPr>
        <w:t xml:space="preserve">   </w:t>
      </w:r>
      <w:r>
        <w:rPr>
          <w:b/>
          <w:sz w:val="21"/>
        </w:rPr>
        <w:t>方（盖章）：</w:t>
      </w:r>
      <w:r>
        <w:rPr>
          <w:sz w:val="21"/>
        </w:rPr>
        <w:t xml:space="preserve">   </w:t>
      </w:r>
    </w:p>
    <w:p>
      <w:pPr>
        <w:jc w:val="both"/>
      </w:pPr>
      <w:r>
        <w:rPr>
          <w:b/>
          <w:sz w:val="21"/>
        </w:rPr>
        <w:t>签约代表（签署）：</w:t>
      </w:r>
    </w:p>
    <w:p>
      <w:pPr>
        <w:jc w:val="both"/>
      </w:pPr>
    </w:p>
    <w:p>
      <w:pPr>
        <w:jc w:val="both"/>
      </w:pPr>
    </w:p>
    <w:p>
      <w:pPr>
        <w:jc w:val="both"/>
      </w:pPr>
    </w:p>
    <w:p>
      <w:pPr>
        <w:jc w:val="both"/>
      </w:pPr>
      <w:r>
        <w:rPr>
          <w:b/>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b/>
          <w:sz w:val="21"/>
        </w:rPr>
        <w:t xml:space="preserve">    </w:t>
      </w:r>
    </w:p>
    <w:p>
      <w:pPr>
        <w:jc w:val="both"/>
      </w:pPr>
    </w:p>
    <w:p>
      <w:pPr>
        <w:jc w:val="both"/>
      </w:pPr>
      <w:r>
        <w:rPr>
          <w:b/>
          <w:sz w:val="21"/>
        </w:rPr>
        <w:t>合同附件</w:t>
      </w:r>
      <w:r>
        <w:rPr>
          <w:sz w:val="21"/>
        </w:rPr>
        <w:t xml:space="preserve"> </w:t>
      </w:r>
    </w:p>
    <w:p>
      <w:pPr>
        <w:jc w:val="both"/>
      </w:pPr>
    </w:p>
    <w:p>
      <w:pPr>
        <w:jc w:val="both"/>
      </w:pPr>
      <w:r>
        <w:rPr>
          <w:sz w:val="21"/>
        </w:rPr>
        <w:t>附件</w:t>
      </w:r>
      <w:r>
        <w:rPr>
          <w:sz w:val="21"/>
        </w:rPr>
        <w:t>1中标通知书</w:t>
      </w:r>
    </w:p>
    <w:p>
      <w:pPr>
        <w:jc w:val="both"/>
      </w:pPr>
      <w:r>
        <w:rPr>
          <w:sz w:val="21"/>
        </w:rPr>
        <w:t>附件</w:t>
      </w:r>
      <w:r>
        <w:rPr>
          <w:sz w:val="21"/>
        </w:rPr>
        <w:t>2考核办法</w:t>
      </w:r>
    </w:p>
    <w:p>
      <w:pPr>
        <w:jc w:val="both"/>
      </w:pPr>
    </w:p>
    <w:p>
      <w:pPr>
        <w:jc w:val="both"/>
      </w:pPr>
    </w:p>
    <w:p>
      <w:pPr>
        <w:jc w:val="left"/>
      </w:pPr>
    </w:p>
    <w:p>
      <w:pPr>
        <w:jc w:val="both"/>
      </w:pPr>
      <w:r>
        <w:rPr>
          <w:b/>
          <w:sz w:val="21"/>
        </w:rPr>
        <w:t>附</w:t>
      </w:r>
      <w:r>
        <w:rPr>
          <w:b/>
          <w:sz w:val="21"/>
        </w:rPr>
        <w:t>2-1：公园日常清扫保洁作业检查考核考评方法：</w:t>
      </w:r>
    </w:p>
    <w:tbl>
      <w:tblPr>
        <w:tblW w:w="0" w:type="auto"/>
        <w:tblBorders>
          <w:top w:val="none" w:color="000000" w:sz="4"/>
          <w:left w:val="none" w:color="000000" w:sz="4"/>
          <w:bottom w:val="none" w:color="000000" w:sz="4"/>
          <w:right w:val="none" w:color="000000" w:sz="4"/>
          <w:insideH w:val="none"/>
          <w:insideV w:val="none"/>
        </w:tblBorders>
      </w:tblPr>
      <w:tblGrid>
        <w:gridCol w:w="639"/>
        <w:gridCol w:w="4841"/>
        <w:gridCol w:w="765"/>
        <w:gridCol w:w="1224"/>
        <w:gridCol w:w="793"/>
      </w:tblGrid>
      <w:tr>
        <w:tc>
          <w:tcPr>
            <w:tcW w:type="dxa" w:w="639"/>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4841"/>
            <w:tcBorders>
              <w:top w:val="single" w:color="000000" w:sz="4"/>
              <w:left w:val="none" w:color="000000" w:sz="4"/>
              <w:bottom w:val="single" w:color="000000" w:sz="4"/>
              <w:right w:val="single" w:color="000000" w:sz="4"/>
            </w:tcBorders>
            <w:vAlign w:val="top"/>
          </w:tcPr>
          <w:p>
            <w:pPr>
              <w:ind w:firstLine="204"/>
              <w:jc w:val="center"/>
            </w:pPr>
            <w:r>
              <w:rPr>
                <w:sz w:val="21"/>
              </w:rPr>
              <w:t>现场考核内容</w:t>
            </w:r>
          </w:p>
        </w:tc>
        <w:tc>
          <w:tcPr>
            <w:tcW w:type="dxa" w:w="765"/>
            <w:tcBorders>
              <w:top w:val="single" w:color="000000" w:sz="4"/>
              <w:left w:val="none" w:color="000000" w:sz="4"/>
              <w:bottom w:val="single" w:color="000000" w:sz="4"/>
              <w:right w:val="single" w:color="000000" w:sz="4"/>
            </w:tcBorders>
            <w:vAlign w:val="top"/>
          </w:tcPr>
          <w:p>
            <w:pPr>
              <w:jc w:val="both"/>
            </w:pPr>
            <w:r>
              <w:rPr>
                <w:sz w:val="21"/>
              </w:rPr>
              <w:t>分数</w:t>
            </w:r>
          </w:p>
        </w:tc>
        <w:tc>
          <w:tcPr>
            <w:tcW w:type="dxa" w:w="1224"/>
            <w:tcBorders>
              <w:top w:val="single" w:color="000000" w:sz="4"/>
              <w:left w:val="none" w:color="000000" w:sz="4"/>
              <w:bottom w:val="single" w:color="000000" w:sz="4"/>
              <w:right w:val="single" w:color="000000" w:sz="4"/>
            </w:tcBorders>
            <w:vAlign w:val="top"/>
          </w:tcPr>
          <w:p>
            <w:pPr>
              <w:jc w:val="both"/>
            </w:pPr>
            <w:r>
              <w:rPr>
                <w:sz w:val="21"/>
              </w:rPr>
              <w:t>检查扣分</w:t>
            </w:r>
          </w:p>
        </w:tc>
        <w:tc>
          <w:tcPr>
            <w:tcW w:type="dxa" w:w="793"/>
            <w:tcBorders>
              <w:top w:val="single" w:color="000000" w:sz="4"/>
              <w:left w:val="none" w:color="000000" w:sz="4"/>
              <w:bottom w:val="single" w:color="000000" w:sz="4"/>
              <w:right w:val="single" w:color="000000" w:sz="4"/>
            </w:tcBorders>
            <w:vAlign w:val="top"/>
          </w:tcPr>
          <w:p>
            <w:pPr>
              <w:jc w:val="both"/>
            </w:pPr>
            <w:r>
              <w:rPr>
                <w:sz w:val="21"/>
              </w:rPr>
              <w:t>得分</w:t>
            </w:r>
          </w:p>
        </w:tc>
      </w:tr>
      <w:tr>
        <w:tc>
          <w:tcPr>
            <w:tcW w:type="dxa" w:w="639"/>
            <w:tcBorders>
              <w:top w:val="none" w:color="000000" w:sz="4"/>
              <w:left w:val="single" w:color="000000" w:sz="4"/>
              <w:bottom w:val="single" w:color="000000" w:sz="4"/>
              <w:right w:val="single" w:color="000000" w:sz="4"/>
            </w:tcBorders>
            <w:vAlign w:val="top"/>
          </w:tcPr>
          <w:p>
            <w:pPr>
              <w:ind w:firstLine="204"/>
              <w:jc w:val="both"/>
            </w:pPr>
            <w:r>
              <w:rPr>
                <w:sz w:val="21"/>
              </w:rPr>
              <w:t>1</w:t>
            </w:r>
          </w:p>
        </w:tc>
        <w:tc>
          <w:tcPr>
            <w:tcW w:type="dxa" w:w="4841"/>
            <w:tcBorders>
              <w:top w:val="none" w:color="000000" w:sz="4"/>
              <w:left w:val="none" w:color="000000" w:sz="4"/>
              <w:bottom w:val="single" w:color="000000" w:sz="4"/>
              <w:right w:val="single" w:color="000000" w:sz="4"/>
            </w:tcBorders>
            <w:vAlign w:val="top"/>
          </w:tcPr>
          <w:p>
            <w:pPr>
              <w:ind w:firstLine="204"/>
              <w:jc w:val="both"/>
            </w:pPr>
            <w:r>
              <w:rPr>
                <w:sz w:val="21"/>
              </w:rPr>
              <w:t>全天没有清扫，垃圾成堆，卫生状况明显脏乱差，每次扣2分。</w:t>
            </w:r>
          </w:p>
        </w:tc>
        <w:tc>
          <w:tcPr>
            <w:tcW w:type="dxa" w:w="765"/>
            <w:tcBorders>
              <w:top w:val="none" w:color="000000" w:sz="4"/>
              <w:left w:val="none" w:color="000000" w:sz="4"/>
              <w:bottom w:val="single" w:color="000000" w:sz="4"/>
              <w:right w:val="single" w:color="000000" w:sz="4"/>
            </w:tcBorders>
            <w:vAlign w:val="top"/>
          </w:tcPr>
          <w:p>
            <w:pPr>
              <w:ind w:firstLine="204"/>
              <w:jc w:val="both"/>
            </w:pPr>
            <w:r>
              <w:rPr>
                <w:sz w:val="21"/>
              </w:rPr>
              <w:t>25</w:t>
            </w:r>
          </w:p>
        </w:tc>
        <w:tc>
          <w:tcPr>
            <w:tcW w:type="dxa" w:w="1224"/>
            <w:tcBorders>
              <w:top w:val="none" w:color="000000" w:sz="4"/>
              <w:left w:val="none" w:color="000000" w:sz="4"/>
              <w:bottom w:val="single" w:color="000000" w:sz="4"/>
              <w:right w:val="single" w:color="000000" w:sz="4"/>
            </w:tcBorders>
            <w:vAlign w:val="top"/>
          </w:tcPr>
          <w:p>
            <w:pPr>
              <w:ind w:firstLine="204"/>
              <w:jc w:val="both"/>
            </w:pPr>
          </w:p>
        </w:tc>
        <w:tc>
          <w:tcPr>
            <w:tcW w:type="dxa" w:w="793"/>
            <w:tcBorders>
              <w:top w:val="none" w:color="000000" w:sz="4"/>
              <w:left w:val="none" w:color="000000" w:sz="4"/>
              <w:bottom w:val="single" w:color="000000" w:sz="4"/>
              <w:right w:val="single" w:color="000000" w:sz="4"/>
            </w:tcBorders>
            <w:vAlign w:val="top"/>
          </w:tcPr>
          <w:p>
            <w:pPr>
              <w:ind w:firstLine="204"/>
              <w:jc w:val="both"/>
            </w:pPr>
          </w:p>
        </w:tc>
      </w:tr>
      <w:tr>
        <w:tc>
          <w:tcPr>
            <w:tcW w:type="dxa" w:w="639"/>
            <w:tcBorders>
              <w:top w:val="none" w:color="000000" w:sz="4"/>
              <w:left w:val="single" w:color="000000" w:sz="4"/>
              <w:bottom w:val="single" w:color="000000" w:sz="4"/>
              <w:right w:val="single" w:color="000000" w:sz="4"/>
            </w:tcBorders>
            <w:vAlign w:val="top"/>
          </w:tcPr>
          <w:p>
            <w:pPr>
              <w:ind w:firstLine="204"/>
              <w:jc w:val="both"/>
            </w:pPr>
            <w:r>
              <w:rPr>
                <w:sz w:val="21"/>
              </w:rPr>
              <w:t>2</w:t>
            </w:r>
          </w:p>
        </w:tc>
        <w:tc>
          <w:tcPr>
            <w:tcW w:type="dxa" w:w="4841"/>
            <w:tcBorders>
              <w:top w:val="none" w:color="000000" w:sz="4"/>
              <w:left w:val="none" w:color="000000" w:sz="4"/>
              <w:bottom w:val="single" w:color="000000" w:sz="4"/>
              <w:right w:val="single" w:color="000000" w:sz="4"/>
            </w:tcBorders>
            <w:vAlign w:val="top"/>
          </w:tcPr>
          <w:p>
            <w:pPr>
              <w:jc w:val="both"/>
            </w:pPr>
            <w:r>
              <w:rPr>
                <w:sz w:val="21"/>
              </w:rPr>
              <w:t>垃圾箱没有及时清掏，垃圾外溢，周边脏乱差没有及时清洗，地面残留大量油渍和污染物，每次扣2分。</w:t>
            </w:r>
          </w:p>
        </w:tc>
        <w:tc>
          <w:tcPr>
            <w:tcW w:type="dxa" w:w="765"/>
            <w:tcBorders>
              <w:top w:val="none" w:color="000000" w:sz="4"/>
              <w:left w:val="none" w:color="000000" w:sz="4"/>
              <w:bottom w:val="single" w:color="000000" w:sz="4"/>
              <w:right w:val="single" w:color="000000" w:sz="4"/>
            </w:tcBorders>
            <w:vAlign w:val="top"/>
          </w:tcPr>
          <w:p>
            <w:pPr>
              <w:ind w:firstLine="204"/>
              <w:jc w:val="both"/>
            </w:pPr>
            <w:r>
              <w:rPr>
                <w:sz w:val="21"/>
              </w:rPr>
              <w:t>25</w:t>
            </w:r>
          </w:p>
        </w:tc>
        <w:tc>
          <w:tcPr>
            <w:tcW w:type="dxa" w:w="1224"/>
            <w:tcBorders>
              <w:top w:val="none" w:color="000000" w:sz="4"/>
              <w:left w:val="none" w:color="000000" w:sz="4"/>
              <w:bottom w:val="single" w:color="000000" w:sz="4"/>
              <w:right w:val="single" w:color="000000" w:sz="4"/>
            </w:tcBorders>
            <w:vAlign w:val="top"/>
          </w:tcPr>
          <w:p>
            <w:pPr>
              <w:ind w:firstLine="204"/>
              <w:jc w:val="both"/>
            </w:pPr>
          </w:p>
        </w:tc>
        <w:tc>
          <w:tcPr>
            <w:tcW w:type="dxa" w:w="793"/>
            <w:tcBorders>
              <w:top w:val="none" w:color="000000" w:sz="4"/>
              <w:left w:val="none" w:color="000000" w:sz="4"/>
              <w:bottom w:val="single" w:color="000000" w:sz="4"/>
              <w:right w:val="single" w:color="000000" w:sz="4"/>
            </w:tcBorders>
            <w:vAlign w:val="top"/>
          </w:tcPr>
          <w:p>
            <w:pPr>
              <w:ind w:firstLine="204"/>
              <w:jc w:val="both"/>
            </w:pPr>
          </w:p>
        </w:tc>
      </w:tr>
      <w:tr>
        <w:tc>
          <w:tcPr>
            <w:tcW w:type="dxa" w:w="639"/>
            <w:tcBorders>
              <w:top w:val="none" w:color="000000" w:sz="4"/>
              <w:left w:val="single" w:color="000000" w:sz="4"/>
              <w:bottom w:val="single" w:color="000000" w:sz="4"/>
              <w:right w:val="single" w:color="000000" w:sz="4"/>
            </w:tcBorders>
            <w:vAlign w:val="top"/>
          </w:tcPr>
          <w:p>
            <w:pPr>
              <w:ind w:firstLine="204"/>
              <w:jc w:val="both"/>
            </w:pPr>
            <w:r>
              <w:rPr>
                <w:sz w:val="21"/>
              </w:rPr>
              <w:t>3</w:t>
            </w:r>
          </w:p>
        </w:tc>
        <w:tc>
          <w:tcPr>
            <w:tcW w:type="dxa" w:w="4841"/>
            <w:tcBorders>
              <w:top w:val="none" w:color="000000" w:sz="4"/>
              <w:left w:val="none" w:color="000000" w:sz="4"/>
              <w:bottom w:val="single" w:color="000000" w:sz="4"/>
              <w:right w:val="single" w:color="000000" w:sz="4"/>
            </w:tcBorders>
            <w:vAlign w:val="top"/>
          </w:tcPr>
          <w:p>
            <w:pPr>
              <w:jc w:val="both"/>
            </w:pPr>
            <w:r>
              <w:rPr>
                <w:sz w:val="21"/>
              </w:rPr>
              <w:t>在重大节假日和迎检工作中，未按采购方和环境卫生主管部门要求落实责任任务，每次扣1分。</w:t>
            </w:r>
          </w:p>
        </w:tc>
        <w:tc>
          <w:tcPr>
            <w:tcW w:type="dxa" w:w="765"/>
            <w:tcBorders>
              <w:top w:val="none" w:color="000000" w:sz="4"/>
              <w:left w:val="none" w:color="000000" w:sz="4"/>
              <w:bottom w:val="single" w:color="000000" w:sz="4"/>
              <w:right w:val="single" w:color="000000" w:sz="4"/>
            </w:tcBorders>
            <w:vAlign w:val="top"/>
          </w:tcPr>
          <w:p>
            <w:pPr>
              <w:ind w:firstLine="204"/>
              <w:jc w:val="both"/>
            </w:pPr>
            <w:r>
              <w:rPr>
                <w:sz w:val="21"/>
              </w:rPr>
              <w:t>25</w:t>
            </w:r>
          </w:p>
        </w:tc>
        <w:tc>
          <w:tcPr>
            <w:tcW w:type="dxa" w:w="1224"/>
            <w:tcBorders>
              <w:top w:val="none" w:color="000000" w:sz="4"/>
              <w:left w:val="none" w:color="000000" w:sz="4"/>
              <w:bottom w:val="single" w:color="000000" w:sz="4"/>
              <w:right w:val="single" w:color="000000" w:sz="4"/>
            </w:tcBorders>
            <w:vAlign w:val="top"/>
          </w:tcPr>
          <w:p>
            <w:pPr>
              <w:ind w:firstLine="204"/>
              <w:jc w:val="both"/>
            </w:pPr>
          </w:p>
        </w:tc>
        <w:tc>
          <w:tcPr>
            <w:tcW w:type="dxa" w:w="793"/>
            <w:tcBorders>
              <w:top w:val="none" w:color="000000" w:sz="4"/>
              <w:left w:val="none" w:color="000000" w:sz="4"/>
              <w:bottom w:val="single" w:color="000000" w:sz="4"/>
              <w:right w:val="single" w:color="000000" w:sz="4"/>
            </w:tcBorders>
            <w:vAlign w:val="top"/>
          </w:tcPr>
          <w:p>
            <w:pPr>
              <w:ind w:firstLine="204"/>
              <w:jc w:val="both"/>
            </w:pPr>
          </w:p>
        </w:tc>
      </w:tr>
      <w:tr>
        <w:tc>
          <w:tcPr>
            <w:tcW w:type="dxa" w:w="639"/>
            <w:tcBorders>
              <w:top w:val="none" w:color="000000" w:sz="4"/>
              <w:left w:val="single" w:color="000000" w:sz="4"/>
              <w:bottom w:val="single" w:color="000000" w:sz="4"/>
              <w:right w:val="single" w:color="000000" w:sz="4"/>
            </w:tcBorders>
            <w:vAlign w:val="top"/>
          </w:tcPr>
          <w:p>
            <w:pPr>
              <w:ind w:firstLine="204"/>
              <w:jc w:val="both"/>
            </w:pPr>
            <w:r>
              <w:rPr>
                <w:sz w:val="21"/>
              </w:rPr>
              <w:t>4</w:t>
            </w:r>
          </w:p>
        </w:tc>
        <w:tc>
          <w:tcPr>
            <w:tcW w:type="dxa" w:w="4841"/>
            <w:tcBorders>
              <w:top w:val="none" w:color="000000" w:sz="4"/>
              <w:left w:val="none" w:color="000000" w:sz="4"/>
              <w:bottom w:val="single" w:color="000000" w:sz="4"/>
              <w:right w:val="single" w:color="000000" w:sz="4"/>
            </w:tcBorders>
            <w:vAlign w:val="top"/>
          </w:tcPr>
          <w:p>
            <w:pPr>
              <w:jc w:val="both"/>
            </w:pPr>
            <w:r>
              <w:rPr>
                <w:sz w:val="21"/>
              </w:rPr>
              <w:t>由于管理不善，工作不到位，卫生要求不达标，引起市民群众普遍不满而被投诉&lt;采购方，主管部门及其他部门转办来电、来访投诉&gt;，经现场查实，确系中标方责任，每次扣1分。</w:t>
            </w:r>
          </w:p>
        </w:tc>
        <w:tc>
          <w:tcPr>
            <w:tcW w:type="dxa" w:w="765"/>
            <w:tcBorders>
              <w:top w:val="none" w:color="000000" w:sz="4"/>
              <w:left w:val="none" w:color="000000" w:sz="4"/>
              <w:bottom w:val="single" w:color="000000" w:sz="4"/>
              <w:right w:val="single" w:color="000000" w:sz="4"/>
            </w:tcBorders>
            <w:vAlign w:val="top"/>
          </w:tcPr>
          <w:p>
            <w:pPr>
              <w:ind w:firstLine="204"/>
              <w:jc w:val="both"/>
            </w:pPr>
            <w:r>
              <w:rPr>
                <w:sz w:val="21"/>
              </w:rPr>
              <w:t>25</w:t>
            </w:r>
          </w:p>
        </w:tc>
        <w:tc>
          <w:tcPr>
            <w:tcW w:type="dxa" w:w="1224"/>
            <w:tcBorders>
              <w:top w:val="none" w:color="000000" w:sz="4"/>
              <w:left w:val="none" w:color="000000" w:sz="4"/>
              <w:bottom w:val="single" w:color="000000" w:sz="4"/>
              <w:right w:val="single" w:color="000000" w:sz="4"/>
            </w:tcBorders>
            <w:vAlign w:val="top"/>
          </w:tcPr>
          <w:p>
            <w:pPr>
              <w:ind w:firstLine="204"/>
              <w:jc w:val="both"/>
            </w:pPr>
          </w:p>
        </w:tc>
        <w:tc>
          <w:tcPr>
            <w:tcW w:type="dxa" w:w="793"/>
            <w:tcBorders>
              <w:top w:val="none" w:color="000000" w:sz="4"/>
              <w:left w:val="none" w:color="000000" w:sz="4"/>
              <w:bottom w:val="single" w:color="000000" w:sz="4"/>
              <w:right w:val="single" w:color="000000" w:sz="4"/>
            </w:tcBorders>
            <w:vAlign w:val="top"/>
          </w:tcPr>
          <w:p>
            <w:pPr>
              <w:ind w:firstLine="204"/>
              <w:jc w:val="both"/>
            </w:pPr>
          </w:p>
        </w:tc>
      </w:tr>
      <w:tr>
        <w:tc>
          <w:tcPr>
            <w:tcW w:type="dxa" w:w="639"/>
            <w:tcBorders>
              <w:top w:val="none" w:color="000000" w:sz="4"/>
              <w:left w:val="single" w:color="000000" w:sz="4"/>
              <w:bottom w:val="single" w:color="000000" w:sz="4"/>
              <w:right w:val="single" w:color="000000" w:sz="4"/>
            </w:tcBorders>
            <w:vAlign w:val="top"/>
          </w:tcPr>
          <w:p>
            <w:pPr>
              <w:jc w:val="both"/>
            </w:pPr>
            <w:r>
              <w:rPr>
                <w:sz w:val="21"/>
              </w:rPr>
              <w:t>合计</w:t>
            </w:r>
          </w:p>
        </w:tc>
        <w:tc>
          <w:tcPr>
            <w:tcW w:type="dxa" w:w="4841"/>
            <w:tcBorders>
              <w:top w:val="none" w:color="000000" w:sz="4"/>
              <w:left w:val="none" w:color="000000" w:sz="4"/>
              <w:bottom w:val="single" w:color="000000" w:sz="4"/>
              <w:right w:val="single" w:color="000000" w:sz="4"/>
            </w:tcBorders>
            <w:vAlign w:val="top"/>
          </w:tcPr>
          <w:p>
            <w:pPr>
              <w:ind w:firstLine="204"/>
              <w:jc w:val="both"/>
            </w:pPr>
          </w:p>
        </w:tc>
        <w:tc>
          <w:tcPr>
            <w:tcW w:type="dxa" w:w="765"/>
            <w:tcBorders>
              <w:top w:val="none" w:color="000000" w:sz="4"/>
              <w:left w:val="none" w:color="000000" w:sz="4"/>
              <w:bottom w:val="single" w:color="000000" w:sz="4"/>
              <w:right w:val="single" w:color="000000" w:sz="4"/>
            </w:tcBorders>
            <w:vAlign w:val="top"/>
          </w:tcPr>
          <w:p>
            <w:pPr>
              <w:ind w:firstLine="204"/>
              <w:jc w:val="both"/>
            </w:pPr>
            <w:r>
              <w:rPr>
                <w:sz w:val="21"/>
              </w:rPr>
              <w:t>100</w:t>
            </w:r>
          </w:p>
        </w:tc>
        <w:tc>
          <w:tcPr>
            <w:tcW w:type="dxa" w:w="1224"/>
            <w:tcBorders>
              <w:top w:val="none" w:color="000000" w:sz="4"/>
              <w:left w:val="none" w:color="000000" w:sz="4"/>
              <w:bottom w:val="single" w:color="000000" w:sz="4"/>
              <w:right w:val="single" w:color="000000" w:sz="4"/>
            </w:tcBorders>
            <w:vAlign w:val="top"/>
          </w:tcPr>
          <w:p>
            <w:pPr>
              <w:ind w:firstLine="204"/>
              <w:jc w:val="both"/>
            </w:pPr>
          </w:p>
        </w:tc>
        <w:tc>
          <w:tcPr>
            <w:tcW w:type="dxa" w:w="793"/>
            <w:tcBorders>
              <w:top w:val="none" w:color="000000" w:sz="4"/>
              <w:left w:val="none" w:color="000000" w:sz="4"/>
              <w:bottom w:val="single" w:color="000000" w:sz="4"/>
              <w:right w:val="single" w:color="000000" w:sz="4"/>
            </w:tcBorders>
            <w:vAlign w:val="top"/>
          </w:tcPr>
          <w:p>
            <w:pPr>
              <w:ind w:firstLine="204"/>
              <w:jc w:val="both"/>
            </w:pPr>
          </w:p>
        </w:tc>
      </w:tr>
    </w:tbl>
    <w:p>
      <w:pPr>
        <w:jc w:val="both"/>
      </w:pPr>
      <w:r>
        <w:rPr>
          <w:sz w:val="21"/>
        </w:rPr>
        <w:t>评分说明：</w:t>
      </w:r>
    </w:p>
    <w:p>
      <w:pPr>
        <w:jc w:val="both"/>
      </w:pPr>
      <w:r>
        <w:rPr>
          <w:sz w:val="21"/>
        </w:rPr>
        <w:t>1.  考核满分为</w:t>
      </w:r>
      <w:r>
        <w:rPr>
          <w:sz w:val="21"/>
        </w:rPr>
        <w:t>100分，考核分=（100-考</w:t>
      </w:r>
      <w:r>
        <w:rPr>
          <w:sz w:val="21"/>
        </w:rPr>
        <w:t>扣</w:t>
      </w:r>
      <w:r>
        <w:rPr>
          <w:sz w:val="21"/>
        </w:rPr>
        <w:t>分）。</w:t>
      </w:r>
    </w:p>
    <w:p>
      <w:pPr>
        <w:jc w:val="both"/>
      </w:pPr>
      <w:r>
        <w:rPr>
          <w:sz w:val="21"/>
        </w:rPr>
        <w:t>2.  95分以下（91-94分），每分扣200元</w:t>
      </w:r>
      <w:r>
        <w:rPr>
          <w:sz w:val="21"/>
        </w:rPr>
        <w:t>计</w:t>
      </w:r>
      <w:r>
        <w:rPr>
          <w:sz w:val="21"/>
        </w:rPr>
        <w:t>为违约金</w:t>
      </w:r>
      <w:r>
        <w:rPr>
          <w:sz w:val="21"/>
        </w:rPr>
        <w:t>。</w:t>
      </w:r>
    </w:p>
    <w:p>
      <w:pPr>
        <w:jc w:val="both"/>
      </w:pPr>
      <w:r>
        <w:rPr>
          <w:sz w:val="21"/>
        </w:rPr>
        <w:t>3.  90分以下，按每分扣款400元扣减当月的服务经费</w:t>
      </w:r>
      <w:r>
        <w:rPr>
          <w:sz w:val="21"/>
        </w:rPr>
        <w:t>计</w:t>
      </w:r>
      <w:r>
        <w:rPr>
          <w:sz w:val="21"/>
        </w:rPr>
        <w:t>为违约金</w:t>
      </w:r>
      <w:r>
        <w:rPr>
          <w:sz w:val="21"/>
        </w:rPr>
        <w:t>，连续累计</w:t>
      </w:r>
      <w:r>
        <w:rPr>
          <w:sz w:val="21"/>
        </w:rPr>
        <w:t>3次仍达不到90分的，除扣减作业经费外，采购方可采取其他处罚，直至单方面解除合同。</w:t>
      </w:r>
    </w:p>
    <w:p/>
    <w:p>
      <w:pPr>
        <w:jc w:val="both"/>
      </w:pPr>
      <w:r>
        <w:rPr>
          <w:b/>
          <w:sz w:val="21"/>
        </w:rPr>
        <w:t>附</w:t>
      </w:r>
      <w:r>
        <w:rPr>
          <w:b/>
          <w:sz w:val="21"/>
        </w:rPr>
        <w:t>2-2：公园日常绿化养护检查考评办法：</w:t>
      </w:r>
    </w:p>
    <w:tbl>
      <w:tblPr>
        <w:tblW w:w="0" w:type="auto"/>
        <w:tblBorders>
          <w:top w:val="none" w:color="000000" w:sz="4"/>
          <w:left w:val="none" w:color="000000" w:sz="4"/>
          <w:bottom w:val="none" w:color="000000" w:sz="4"/>
          <w:right w:val="none" w:color="000000" w:sz="4"/>
          <w:insideH w:val="none"/>
          <w:insideV w:val="none"/>
        </w:tblBorders>
      </w:tblPr>
      <w:tblGrid>
        <w:gridCol w:w="834"/>
        <w:gridCol w:w="626"/>
        <w:gridCol w:w="1001"/>
        <w:gridCol w:w="1864"/>
        <w:gridCol w:w="1864"/>
        <w:gridCol w:w="751"/>
        <w:gridCol w:w="626"/>
        <w:gridCol w:w="681"/>
      </w:tblGrid>
      <w:tr>
        <w:tc>
          <w:tcPr>
            <w:tcW w:type="dxa" w:w="834"/>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626"/>
            <w:tcBorders>
              <w:top w:val="single" w:color="000000" w:sz="4"/>
              <w:left w:val="none" w:color="000000" w:sz="4"/>
              <w:bottom w:val="single" w:color="000000" w:sz="4"/>
              <w:right w:val="single" w:color="000000" w:sz="4"/>
            </w:tcBorders>
            <w:vAlign w:val="top"/>
          </w:tcPr>
          <w:p>
            <w:pPr>
              <w:jc w:val="center"/>
            </w:pPr>
            <w:r>
              <w:rPr>
                <w:sz w:val="21"/>
              </w:rPr>
              <w:t>总分</w:t>
            </w:r>
          </w:p>
        </w:tc>
        <w:tc>
          <w:tcPr>
            <w:tcW w:type="dxa" w:w="1001"/>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1864"/>
            <w:tcBorders>
              <w:top w:val="single" w:color="000000" w:sz="4"/>
              <w:left w:val="none" w:color="000000" w:sz="4"/>
              <w:bottom w:val="single" w:color="000000" w:sz="4"/>
              <w:right w:val="single" w:color="000000" w:sz="4"/>
            </w:tcBorders>
            <w:vAlign w:val="top"/>
          </w:tcPr>
          <w:p>
            <w:pPr>
              <w:jc w:val="center"/>
            </w:pPr>
            <w:r>
              <w:rPr>
                <w:sz w:val="21"/>
              </w:rPr>
              <w:t>检查方法及评估依据</w:t>
            </w:r>
          </w:p>
        </w:tc>
        <w:tc>
          <w:tcPr>
            <w:tcW w:type="dxa" w:w="1864"/>
            <w:tcBorders>
              <w:top w:val="single" w:color="000000" w:sz="4"/>
              <w:left w:val="none" w:color="000000" w:sz="4"/>
              <w:bottom w:val="single" w:color="000000" w:sz="4"/>
              <w:right w:val="single" w:color="000000" w:sz="4"/>
            </w:tcBorders>
            <w:vAlign w:val="top"/>
          </w:tcPr>
          <w:p>
            <w:pPr>
              <w:jc w:val="center"/>
            </w:pPr>
            <w:r>
              <w:rPr>
                <w:sz w:val="21"/>
              </w:rPr>
              <w:t>扣分方法</w:t>
            </w:r>
          </w:p>
        </w:tc>
        <w:tc>
          <w:tcPr>
            <w:tcW w:type="dxa" w:w="751"/>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626"/>
            <w:tcBorders>
              <w:top w:val="single" w:color="000000" w:sz="4"/>
              <w:left w:val="none" w:color="000000" w:sz="4"/>
              <w:bottom w:val="single" w:color="000000" w:sz="4"/>
              <w:right w:val="single" w:color="000000" w:sz="4"/>
            </w:tcBorders>
            <w:vAlign w:val="top"/>
          </w:tcPr>
          <w:p>
            <w:pPr>
              <w:jc w:val="center"/>
            </w:pPr>
            <w:r>
              <w:rPr>
                <w:sz w:val="21"/>
              </w:rPr>
              <w:t>检查扣分</w:t>
            </w:r>
          </w:p>
        </w:tc>
        <w:tc>
          <w:tcPr>
            <w:tcW w:type="dxa" w:w="681"/>
            <w:tcBorders>
              <w:top w:val="single" w:color="000000" w:sz="4"/>
              <w:left w:val="none" w:color="000000" w:sz="4"/>
              <w:bottom w:val="single" w:color="000000" w:sz="4"/>
              <w:right w:val="single" w:color="000000" w:sz="4"/>
            </w:tcBorders>
            <w:vAlign w:val="top"/>
          </w:tcPr>
          <w:p>
            <w:pPr>
              <w:jc w:val="center"/>
            </w:pPr>
            <w:r>
              <w:rPr>
                <w:sz w:val="21"/>
              </w:rPr>
              <w:t>应得分</w:t>
            </w:r>
          </w:p>
        </w:tc>
      </w:tr>
      <w:tr>
        <w:tc>
          <w:tcPr>
            <w:tcW w:type="dxa" w:w="834"/>
            <w:vMerge w:val="restart"/>
            <w:tcBorders>
              <w:top w:val="none" w:color="000000" w:sz="4"/>
              <w:left w:val="single" w:color="000000" w:sz="4"/>
              <w:bottom w:val="single" w:color="000000" w:sz="4"/>
              <w:right w:val="single" w:color="000000" w:sz="4"/>
            </w:tcBorders>
            <w:vAlign w:val="top"/>
          </w:tcPr>
          <w:p>
            <w:pPr>
              <w:jc w:val="center"/>
            </w:pPr>
            <w:r>
              <w:rPr>
                <w:sz w:val="21"/>
              </w:rPr>
              <w:t>绿化管理养护</w:t>
            </w:r>
          </w:p>
        </w:tc>
        <w:tc>
          <w:tcPr>
            <w:tcW w:type="dxa" w:w="626"/>
            <w:vMerge w:val="restart"/>
            <w:tcBorders>
              <w:top w:val="none" w:color="000000" w:sz="4"/>
              <w:left w:val="none" w:color="000000" w:sz="4"/>
              <w:bottom w:val="single" w:color="000000" w:sz="4"/>
              <w:right w:val="single" w:color="000000" w:sz="4"/>
            </w:tcBorders>
            <w:vAlign w:val="top"/>
          </w:tcPr>
          <w:p>
            <w:pPr>
              <w:jc w:val="center"/>
            </w:pPr>
            <w:r>
              <w:rPr>
                <w:sz w:val="21"/>
              </w:rPr>
              <w:t>100分</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草地养护</w:t>
            </w:r>
          </w:p>
          <w:p>
            <w:pPr>
              <w:jc w:val="both"/>
            </w:pPr>
            <w:r>
              <w:rPr>
                <w:sz w:val="21"/>
              </w:rPr>
              <w:t>（15分）</w:t>
            </w:r>
          </w:p>
        </w:tc>
        <w:tc>
          <w:tcPr>
            <w:tcW w:type="dxa" w:w="1864"/>
            <w:tcBorders>
              <w:top w:val="none" w:color="000000" w:sz="4"/>
              <w:left w:val="none" w:color="000000" w:sz="4"/>
              <w:bottom w:val="single" w:color="000000" w:sz="4"/>
              <w:right w:val="single" w:color="000000" w:sz="4"/>
            </w:tcBorders>
            <w:vAlign w:val="top"/>
          </w:tcPr>
          <w:p>
            <w:r>
              <w:rPr>
                <w:sz w:val="21"/>
              </w:rPr>
              <w:t>随机抽排查10平方绿化地，每平方绿化地杂草不超过3株。</w:t>
            </w:r>
          </w:p>
          <w:p>
            <w:r>
              <w:rPr>
                <w:sz w:val="21"/>
              </w:rPr>
              <w:t>绿化带（单边）草皮及小灌木类的生长不超出路牙并及时修剪</w:t>
            </w:r>
          </w:p>
        </w:tc>
        <w:tc>
          <w:tcPr>
            <w:tcW w:type="dxa" w:w="1864"/>
            <w:tcBorders>
              <w:top w:val="none" w:color="000000" w:sz="4"/>
              <w:left w:val="none" w:color="000000" w:sz="4"/>
              <w:bottom w:val="single" w:color="000000" w:sz="4"/>
              <w:right w:val="single" w:color="000000" w:sz="4"/>
            </w:tcBorders>
            <w:vAlign w:val="top"/>
          </w:tcPr>
          <w:p>
            <w:r>
              <w:rPr>
                <w:sz w:val="21"/>
              </w:rPr>
              <w:t>每平方米杂草超过3株的，每超过1株扣0.1分，扣完为止</w:t>
            </w:r>
          </w:p>
          <w:p>
            <w:r>
              <w:rPr>
                <w:sz w:val="21"/>
              </w:rPr>
              <w:t>超过路牙不修剪的，超出部分每30米扣0.1分，扣完为止</w:t>
            </w:r>
          </w:p>
        </w:tc>
        <w:tc>
          <w:tcPr>
            <w:tcW w:type="dxa" w:w="751"/>
            <w:tcBorders>
              <w:top w:val="none" w:color="000000" w:sz="4"/>
              <w:left w:val="none" w:color="000000" w:sz="4"/>
              <w:bottom w:val="single" w:color="000000" w:sz="4"/>
              <w:right w:val="single" w:color="000000" w:sz="4"/>
            </w:tcBorders>
            <w:vAlign w:val="top"/>
          </w:tcPr>
          <w:p>
            <w:pPr>
              <w:jc w:val="center"/>
            </w:pPr>
            <w:r>
              <w:rPr>
                <w:sz w:val="21"/>
              </w:rPr>
              <w:t>15分</w:t>
            </w:r>
          </w:p>
        </w:tc>
        <w:tc>
          <w:tcPr>
            <w:tcW w:type="dxa" w:w="626"/>
            <w:tcBorders>
              <w:top w:val="none" w:color="000000" w:sz="4"/>
              <w:left w:val="none" w:color="000000" w:sz="4"/>
              <w:bottom w:val="single" w:color="000000" w:sz="4"/>
              <w:right w:val="single" w:color="000000" w:sz="4"/>
            </w:tcBorders>
            <w:vAlign w:val="top"/>
          </w:tcPr>
          <w:p>
            <w:pPr>
              <w:ind w:firstLine="214"/>
              <w:jc w:val="both"/>
            </w:pPr>
          </w:p>
        </w:tc>
        <w:tc>
          <w:tcPr>
            <w:tcW w:type="dxa" w:w="681"/>
            <w:tcBorders>
              <w:top w:val="none" w:color="000000" w:sz="4"/>
              <w:left w:val="none" w:color="000000" w:sz="4"/>
              <w:bottom w:val="single" w:color="000000" w:sz="4"/>
              <w:right w:val="single" w:color="000000" w:sz="4"/>
            </w:tcBorders>
            <w:vAlign w:val="top"/>
          </w:tcPr>
          <w:p>
            <w:pPr>
              <w:ind w:firstLine="214"/>
              <w:jc w:val="both"/>
            </w:pPr>
          </w:p>
        </w:tc>
      </w:tr>
      <w:tr>
        <w:tc>
          <w:tcPr>
            <w:tcW w:type="dxa" w:w="834"/>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vAlign w:val="top"/>
          </w:tcPr>
          <w:p>
            <w:pPr>
              <w:jc w:val="center"/>
            </w:pPr>
            <w:r>
              <w:rPr>
                <w:sz w:val="21"/>
              </w:rPr>
              <w:t>乔木灌木修剪造型</w:t>
            </w:r>
          </w:p>
          <w:p>
            <w:pPr>
              <w:jc w:val="both"/>
            </w:pPr>
            <w:r>
              <w:rPr>
                <w:sz w:val="21"/>
              </w:rPr>
              <w:t>（20分）</w:t>
            </w:r>
          </w:p>
        </w:tc>
        <w:tc>
          <w:tcPr>
            <w:tcW w:type="dxa" w:w="1864"/>
            <w:tcBorders>
              <w:top w:val="none" w:color="000000" w:sz="4"/>
              <w:left w:val="none" w:color="000000" w:sz="4"/>
              <w:bottom w:val="single" w:color="000000" w:sz="4"/>
              <w:right w:val="single" w:color="000000" w:sz="4"/>
            </w:tcBorders>
            <w:vAlign w:val="top"/>
          </w:tcPr>
          <w:p>
            <w:r>
              <w:rPr>
                <w:sz w:val="21"/>
              </w:rPr>
              <w:t>乔木因枝条过密，过低，有枯枝残枝头不超过2厘米。</w:t>
            </w:r>
          </w:p>
          <w:p>
            <w:r>
              <w:rPr>
                <w:sz w:val="21"/>
              </w:rPr>
              <w:t>灌木或绿篱能及时修剪不影响美观。</w:t>
            </w:r>
          </w:p>
        </w:tc>
        <w:tc>
          <w:tcPr>
            <w:tcW w:type="dxa" w:w="1864"/>
            <w:tcBorders>
              <w:top w:val="none" w:color="000000" w:sz="4"/>
              <w:left w:val="none" w:color="000000" w:sz="4"/>
              <w:bottom w:val="single" w:color="000000" w:sz="4"/>
              <w:right w:val="single" w:color="000000" w:sz="4"/>
            </w:tcBorders>
            <w:vAlign w:val="top"/>
          </w:tcPr>
          <w:p>
            <w:r>
              <w:rPr>
                <w:sz w:val="21"/>
              </w:rPr>
              <w:t>超过</w:t>
            </w:r>
            <w:r>
              <w:rPr>
                <w:sz w:val="21"/>
              </w:rPr>
              <w:t>2</w:t>
            </w:r>
            <w:r>
              <w:rPr>
                <w:sz w:val="21"/>
              </w:rPr>
              <w:t>厘米的，每株扣0.1分，扣完为止。</w:t>
            </w:r>
          </w:p>
          <w:p>
            <w:r>
              <w:rPr>
                <w:sz w:val="21"/>
              </w:rPr>
              <w:t>因修剪不当或不修剪，影响美观的，每株扣0.1分或每平方米扣0.1分扣完为止。</w:t>
            </w:r>
          </w:p>
        </w:tc>
        <w:tc>
          <w:tcPr>
            <w:tcW w:type="dxa" w:w="751"/>
            <w:tcBorders>
              <w:top w:val="none" w:color="000000" w:sz="4"/>
              <w:left w:val="none" w:color="000000" w:sz="4"/>
              <w:bottom w:val="single" w:color="000000" w:sz="4"/>
              <w:right w:val="single" w:color="000000" w:sz="4"/>
            </w:tcBorders>
            <w:vAlign w:val="top"/>
          </w:tcPr>
          <w:p>
            <w:pPr>
              <w:jc w:val="both"/>
            </w:pPr>
            <w:r>
              <w:rPr>
                <w:sz w:val="21"/>
              </w:rPr>
              <w:t>20分</w:t>
            </w:r>
          </w:p>
        </w:tc>
        <w:tc>
          <w:tcPr>
            <w:tcW w:type="dxa" w:w="626"/>
            <w:tcBorders>
              <w:top w:val="none" w:color="000000" w:sz="4"/>
              <w:left w:val="none" w:color="000000" w:sz="4"/>
              <w:bottom w:val="single" w:color="000000" w:sz="4"/>
              <w:right w:val="single" w:color="000000" w:sz="4"/>
            </w:tcBorders>
            <w:vAlign w:val="top"/>
          </w:tcPr>
          <w:p>
            <w:pPr>
              <w:ind w:firstLine="214"/>
              <w:jc w:val="both"/>
            </w:pPr>
          </w:p>
        </w:tc>
        <w:tc>
          <w:tcPr>
            <w:tcW w:type="dxa" w:w="681"/>
            <w:tcBorders>
              <w:top w:val="none" w:color="000000" w:sz="4"/>
              <w:left w:val="none" w:color="000000" w:sz="4"/>
              <w:bottom w:val="single" w:color="000000" w:sz="4"/>
              <w:right w:val="single" w:color="000000" w:sz="4"/>
            </w:tcBorders>
            <w:vAlign w:val="top"/>
          </w:tcPr>
          <w:p>
            <w:pPr>
              <w:ind w:firstLine="214"/>
              <w:jc w:val="both"/>
            </w:pPr>
          </w:p>
        </w:tc>
      </w:tr>
      <w:tr>
        <w:tc>
          <w:tcPr>
            <w:tcW w:type="dxa" w:w="834"/>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vAlign w:val="top"/>
          </w:tcPr>
          <w:p>
            <w:pPr>
              <w:jc w:val="center"/>
            </w:pPr>
            <w:r>
              <w:rPr>
                <w:sz w:val="21"/>
              </w:rPr>
              <w:t>绿地清洁卫生</w:t>
            </w:r>
          </w:p>
          <w:p>
            <w:pPr>
              <w:jc w:val="both"/>
            </w:pPr>
            <w:r>
              <w:rPr>
                <w:sz w:val="21"/>
              </w:rPr>
              <w:t>（30分）</w:t>
            </w:r>
          </w:p>
        </w:tc>
        <w:tc>
          <w:tcPr>
            <w:tcW w:type="dxa" w:w="1864"/>
            <w:tcBorders>
              <w:top w:val="none" w:color="000000" w:sz="4"/>
              <w:left w:val="none" w:color="000000" w:sz="4"/>
              <w:bottom w:val="single" w:color="000000" w:sz="4"/>
              <w:right w:val="single" w:color="000000" w:sz="4"/>
            </w:tcBorders>
            <w:vAlign w:val="top"/>
          </w:tcPr>
          <w:p>
            <w:pPr>
              <w:jc w:val="both"/>
            </w:pPr>
            <w:r>
              <w:rPr>
                <w:sz w:val="21"/>
              </w:rPr>
              <w:t>1、每天完成绿地清洁工作，做好保洁。2、在绿地区内未发生焚烧物</w:t>
            </w:r>
          </w:p>
          <w:p>
            <w:r>
              <w:rPr>
                <w:sz w:val="21"/>
              </w:rPr>
              <w:t>绿地修剪后的枯枝干叶等，在修剪当天及时清扫保洁。</w:t>
            </w:r>
          </w:p>
        </w:tc>
        <w:tc>
          <w:tcPr>
            <w:tcW w:type="dxa" w:w="1864"/>
            <w:tcBorders>
              <w:top w:val="none" w:color="000000" w:sz="4"/>
              <w:left w:val="none" w:color="000000" w:sz="4"/>
              <w:bottom w:val="single" w:color="000000" w:sz="4"/>
              <w:right w:val="single" w:color="000000" w:sz="4"/>
            </w:tcBorders>
            <w:vAlign w:val="top"/>
          </w:tcPr>
          <w:p>
            <w:r>
              <w:rPr>
                <w:sz w:val="21"/>
              </w:rPr>
              <w:t>草地每100平方米，分离绿化带每平方米，100米长度范围内有纸屑，胶袋，石块，杂物等超过5单位，每单位扣2分，扣完为止</w:t>
            </w:r>
          </w:p>
          <w:p>
            <w:r>
              <w:rPr>
                <w:sz w:val="21"/>
              </w:rPr>
              <w:t>绿地发生焚烧杂物的，每处扣1分，扣完为止。</w:t>
            </w:r>
          </w:p>
          <w:p>
            <w:r>
              <w:rPr>
                <w:sz w:val="21"/>
              </w:rPr>
              <w:t>未能及时运走和清扫保洁物的，每处扣0.1分，扣完为止。</w:t>
            </w:r>
          </w:p>
        </w:tc>
        <w:tc>
          <w:tcPr>
            <w:tcW w:type="dxa" w:w="751"/>
            <w:tcBorders>
              <w:top w:val="none" w:color="000000" w:sz="4"/>
              <w:left w:val="none" w:color="000000" w:sz="4"/>
              <w:bottom w:val="single" w:color="000000" w:sz="4"/>
              <w:right w:val="single" w:color="000000" w:sz="4"/>
            </w:tcBorders>
            <w:vAlign w:val="top"/>
          </w:tcPr>
          <w:p>
            <w:pPr>
              <w:jc w:val="both"/>
            </w:pPr>
            <w:r>
              <w:rPr>
                <w:sz w:val="21"/>
              </w:rPr>
              <w:t>30分</w:t>
            </w:r>
          </w:p>
        </w:tc>
        <w:tc>
          <w:tcPr>
            <w:tcW w:type="dxa" w:w="626"/>
            <w:tcBorders>
              <w:top w:val="none" w:color="000000" w:sz="4"/>
              <w:left w:val="none" w:color="000000" w:sz="4"/>
              <w:bottom w:val="single" w:color="000000" w:sz="4"/>
              <w:right w:val="single" w:color="000000" w:sz="4"/>
            </w:tcBorders>
            <w:vAlign w:val="top"/>
          </w:tcPr>
          <w:p>
            <w:pPr>
              <w:ind w:firstLine="214"/>
              <w:jc w:val="both"/>
            </w:pPr>
          </w:p>
        </w:tc>
        <w:tc>
          <w:tcPr>
            <w:tcW w:type="dxa" w:w="681"/>
            <w:tcBorders>
              <w:top w:val="none" w:color="000000" w:sz="4"/>
              <w:left w:val="none" w:color="000000" w:sz="4"/>
              <w:bottom w:val="single" w:color="000000" w:sz="4"/>
              <w:right w:val="single" w:color="000000" w:sz="4"/>
            </w:tcBorders>
            <w:vAlign w:val="top"/>
          </w:tcPr>
          <w:p>
            <w:pPr>
              <w:ind w:firstLine="214"/>
              <w:jc w:val="both"/>
            </w:pPr>
          </w:p>
        </w:tc>
      </w:tr>
      <w:tr>
        <w:tc>
          <w:tcPr>
            <w:tcW w:type="dxa" w:w="834"/>
            <w:vMerge/>
            <w:tcBorders>
              <w:top w:val="none" w:color="000000" w:sz="4"/>
              <w:left w:val="single" w:color="000000" w:sz="4"/>
              <w:bottom w:val="single" w:color="000000" w:sz="4"/>
              <w:right w:val="single" w:color="000000" w:sz="4"/>
            </w:tcBorders>
          </w:tcPr>
          <w:p/>
        </w:tc>
        <w:tc>
          <w:tcPr>
            <w:tcW w:type="dxa" w:w="626"/>
            <w:vMerge/>
            <w:tcBorders>
              <w:top w:val="none" w:color="000000" w:sz="4"/>
              <w:left w:val="none" w:color="000000" w:sz="4"/>
              <w:bottom w:val="single" w:color="000000" w:sz="4"/>
              <w:right w:val="single" w:color="000000" w:sz="4"/>
            </w:tcBorders>
          </w:tcPr>
          <w:p/>
        </w:tc>
        <w:tc>
          <w:tcPr>
            <w:tcW w:type="dxa" w:w="1001"/>
            <w:tcBorders>
              <w:top w:val="none" w:color="000000" w:sz="4"/>
              <w:left w:val="none" w:color="000000" w:sz="4"/>
              <w:bottom w:val="single" w:color="000000" w:sz="4"/>
              <w:right w:val="single" w:color="000000" w:sz="4"/>
            </w:tcBorders>
            <w:vAlign w:val="top"/>
          </w:tcPr>
          <w:p>
            <w:pPr>
              <w:jc w:val="center"/>
            </w:pPr>
            <w:r>
              <w:rPr>
                <w:sz w:val="21"/>
              </w:rPr>
              <w:t>苗木草地的生长养护</w:t>
            </w:r>
          </w:p>
          <w:p>
            <w:pPr>
              <w:jc w:val="both"/>
            </w:pPr>
            <w:r>
              <w:rPr>
                <w:sz w:val="21"/>
              </w:rPr>
              <w:t>（35分）</w:t>
            </w:r>
          </w:p>
        </w:tc>
        <w:tc>
          <w:tcPr>
            <w:tcW w:type="dxa" w:w="1864"/>
            <w:tcBorders>
              <w:top w:val="none" w:color="000000" w:sz="4"/>
              <w:left w:val="none" w:color="000000" w:sz="4"/>
              <w:bottom w:val="single" w:color="000000" w:sz="4"/>
              <w:right w:val="single" w:color="000000" w:sz="4"/>
            </w:tcBorders>
            <w:vAlign w:val="top"/>
          </w:tcPr>
          <w:p>
            <w:r>
              <w:rPr>
                <w:sz w:val="21"/>
              </w:rPr>
              <w:t>管理养护（能及时淋水，施肥，松土，除杂等）得当，未有病虫害发生，苗木长势茂盛。</w:t>
            </w:r>
          </w:p>
          <w:p>
            <w:r>
              <w:rPr>
                <w:sz w:val="21"/>
              </w:rPr>
              <w:t>管理养护（能及时淋水，施肥，松土除杂等）得当未有病虫害发生，草地长势茂盛。</w:t>
            </w:r>
          </w:p>
          <w:p>
            <w:r>
              <w:rPr>
                <w:sz w:val="21"/>
              </w:rPr>
              <w:t>苗木缺损能及时采取补救措施。</w:t>
            </w:r>
          </w:p>
        </w:tc>
        <w:tc>
          <w:tcPr>
            <w:tcW w:type="dxa" w:w="1864"/>
            <w:tcBorders>
              <w:top w:val="none" w:color="000000" w:sz="4"/>
              <w:left w:val="none" w:color="000000" w:sz="4"/>
              <w:bottom w:val="single" w:color="000000" w:sz="4"/>
              <w:right w:val="single" w:color="000000" w:sz="4"/>
            </w:tcBorders>
            <w:vAlign w:val="top"/>
          </w:tcPr>
          <w:p>
            <w:r>
              <w:rPr>
                <w:sz w:val="21"/>
              </w:rPr>
              <w:t>因养护不当，及病虫害而导致苗木长势太弱，不够茂盛，每株乔、灌木，扣0.2分，扣完为止</w:t>
            </w:r>
          </w:p>
          <w:p>
            <w:r>
              <w:rPr>
                <w:sz w:val="21"/>
              </w:rPr>
              <w:t>因养护不当，及病虫害而导致苗木长势太弱，不够茂盛，草地或绿篱，每30平方米扣0.5分，扣完为止。</w:t>
            </w:r>
          </w:p>
          <w:p>
            <w:r>
              <w:rPr>
                <w:sz w:val="21"/>
              </w:rPr>
              <w:t>未及时采用补救措施的，每株扣0.1分，乔木、草地或绿篱，每10平方米扣0.5分，扣完为止。</w:t>
            </w:r>
          </w:p>
        </w:tc>
        <w:tc>
          <w:tcPr>
            <w:tcW w:type="dxa" w:w="751"/>
            <w:tcBorders>
              <w:top w:val="none" w:color="000000" w:sz="4"/>
              <w:left w:val="none" w:color="000000" w:sz="4"/>
              <w:bottom w:val="single" w:color="000000" w:sz="4"/>
              <w:right w:val="single" w:color="000000" w:sz="4"/>
            </w:tcBorders>
            <w:vAlign w:val="top"/>
          </w:tcPr>
          <w:p>
            <w:pPr>
              <w:jc w:val="both"/>
            </w:pPr>
            <w:r>
              <w:rPr>
                <w:sz w:val="21"/>
              </w:rPr>
              <w:t>35分</w:t>
            </w:r>
          </w:p>
        </w:tc>
        <w:tc>
          <w:tcPr>
            <w:tcW w:type="dxa" w:w="626"/>
            <w:tcBorders>
              <w:top w:val="none" w:color="000000" w:sz="4"/>
              <w:left w:val="none" w:color="000000" w:sz="4"/>
              <w:bottom w:val="single" w:color="000000" w:sz="4"/>
              <w:right w:val="single" w:color="000000" w:sz="4"/>
            </w:tcBorders>
            <w:vAlign w:val="top"/>
          </w:tcPr>
          <w:p>
            <w:pPr>
              <w:ind w:firstLine="214"/>
              <w:jc w:val="both"/>
            </w:pPr>
          </w:p>
        </w:tc>
        <w:tc>
          <w:tcPr>
            <w:tcW w:type="dxa" w:w="681"/>
            <w:tcBorders>
              <w:top w:val="none" w:color="000000" w:sz="4"/>
              <w:left w:val="none" w:color="000000" w:sz="4"/>
              <w:bottom w:val="single" w:color="000000" w:sz="4"/>
              <w:right w:val="single" w:color="000000" w:sz="4"/>
            </w:tcBorders>
            <w:vAlign w:val="top"/>
          </w:tcPr>
          <w:p>
            <w:pPr>
              <w:ind w:firstLine="214"/>
              <w:jc w:val="both"/>
            </w:pPr>
          </w:p>
        </w:tc>
      </w:tr>
      <w:tr>
        <w:tc>
          <w:tcPr>
            <w:tcW w:type="dxa" w:w="834"/>
            <w:tcBorders>
              <w:top w:val="none" w:color="000000" w:sz="4"/>
              <w:left w:val="single" w:color="000000" w:sz="4"/>
              <w:bottom w:val="single" w:color="000000" w:sz="4"/>
              <w:right w:val="single" w:color="000000" w:sz="4"/>
            </w:tcBorders>
            <w:vAlign w:val="top"/>
          </w:tcPr>
          <w:p>
            <w:pPr>
              <w:ind w:firstLine="204"/>
              <w:jc w:val="center"/>
            </w:pPr>
            <w:r>
              <w:rPr>
                <w:sz w:val="21"/>
              </w:rPr>
              <w:t>合计</w:t>
            </w:r>
          </w:p>
        </w:tc>
        <w:tc>
          <w:tcPr>
            <w:tcW w:type="dxa" w:w="626"/>
            <w:tcBorders>
              <w:top w:val="none" w:color="000000" w:sz="4"/>
              <w:left w:val="none" w:color="000000" w:sz="4"/>
              <w:bottom w:val="single" w:color="000000" w:sz="4"/>
              <w:right w:val="single" w:color="000000" w:sz="4"/>
            </w:tcBorders>
            <w:vAlign w:val="top"/>
          </w:tcPr>
          <w:p>
            <w:pPr>
              <w:ind w:firstLine="214"/>
              <w:jc w:val="center"/>
            </w:pPr>
          </w:p>
        </w:tc>
        <w:tc>
          <w:tcPr>
            <w:tcW w:type="dxa" w:w="1001"/>
            <w:tcBorders>
              <w:top w:val="none" w:color="000000" w:sz="4"/>
              <w:left w:val="none" w:color="000000" w:sz="4"/>
              <w:bottom w:val="single" w:color="000000" w:sz="4"/>
              <w:right w:val="single" w:color="000000" w:sz="4"/>
            </w:tcBorders>
            <w:vAlign w:val="top"/>
          </w:tcPr>
          <w:p>
            <w:pPr>
              <w:ind w:firstLine="214"/>
              <w:jc w:val="center"/>
            </w:pPr>
          </w:p>
        </w:tc>
        <w:tc>
          <w:tcPr>
            <w:tcW w:type="dxa" w:w="1864"/>
            <w:tcBorders>
              <w:top w:val="none" w:color="000000" w:sz="4"/>
              <w:left w:val="none" w:color="000000" w:sz="4"/>
              <w:bottom w:val="single" w:color="000000" w:sz="4"/>
              <w:right w:val="single" w:color="000000" w:sz="4"/>
            </w:tcBorders>
            <w:vAlign w:val="top"/>
          </w:tcPr>
          <w:p>
            <w:pPr>
              <w:ind w:firstLine="214"/>
              <w:jc w:val="both"/>
            </w:pPr>
          </w:p>
        </w:tc>
        <w:tc>
          <w:tcPr>
            <w:tcW w:type="dxa" w:w="1864"/>
            <w:tcBorders>
              <w:top w:val="none" w:color="000000" w:sz="4"/>
              <w:left w:val="none" w:color="000000" w:sz="4"/>
              <w:bottom w:val="single" w:color="000000" w:sz="4"/>
              <w:right w:val="single" w:color="000000" w:sz="4"/>
            </w:tcBorders>
            <w:vAlign w:val="top"/>
          </w:tcPr>
          <w:p>
            <w:pPr>
              <w:ind w:firstLine="214"/>
              <w:jc w:val="both"/>
            </w:pPr>
          </w:p>
        </w:tc>
        <w:tc>
          <w:tcPr>
            <w:tcW w:type="dxa" w:w="751"/>
            <w:tcBorders>
              <w:top w:val="none" w:color="000000" w:sz="4"/>
              <w:left w:val="none" w:color="000000" w:sz="4"/>
              <w:bottom w:val="single" w:color="000000" w:sz="4"/>
              <w:right w:val="single" w:color="000000" w:sz="4"/>
            </w:tcBorders>
            <w:vAlign w:val="top"/>
          </w:tcPr>
          <w:p>
            <w:pPr>
              <w:ind w:firstLine="214"/>
              <w:jc w:val="center"/>
            </w:pPr>
          </w:p>
        </w:tc>
        <w:tc>
          <w:tcPr>
            <w:tcW w:type="dxa" w:w="626"/>
            <w:tcBorders>
              <w:top w:val="none" w:color="000000" w:sz="4"/>
              <w:left w:val="none" w:color="000000" w:sz="4"/>
              <w:bottom w:val="single" w:color="000000" w:sz="4"/>
              <w:right w:val="single" w:color="000000" w:sz="4"/>
            </w:tcBorders>
            <w:vAlign w:val="top"/>
          </w:tcPr>
          <w:p>
            <w:pPr>
              <w:ind w:firstLine="214"/>
              <w:jc w:val="both"/>
            </w:pPr>
          </w:p>
        </w:tc>
        <w:tc>
          <w:tcPr>
            <w:tcW w:type="dxa" w:w="681"/>
            <w:tcBorders>
              <w:top w:val="none" w:color="000000" w:sz="4"/>
              <w:left w:val="none" w:color="000000" w:sz="4"/>
              <w:bottom w:val="single" w:color="000000" w:sz="4"/>
              <w:right w:val="single" w:color="000000" w:sz="4"/>
            </w:tcBorders>
            <w:vAlign w:val="top"/>
          </w:tcPr>
          <w:p>
            <w:pPr>
              <w:ind w:firstLine="214"/>
              <w:jc w:val="both"/>
            </w:pPr>
          </w:p>
        </w:tc>
      </w:tr>
    </w:tbl>
    <w:p>
      <w:pPr>
        <w:jc w:val="both"/>
      </w:pPr>
      <w:r>
        <w:rPr>
          <w:sz w:val="21"/>
        </w:rPr>
        <w:t>评分说明：</w:t>
      </w:r>
    </w:p>
    <w:p>
      <w:pPr>
        <w:jc w:val="both"/>
      </w:pPr>
      <w:r>
        <w:rPr>
          <w:sz w:val="21"/>
        </w:rPr>
        <w:t>1.  考核满分为</w:t>
      </w:r>
      <w:r>
        <w:rPr>
          <w:sz w:val="21"/>
        </w:rPr>
        <w:t>100分，考核分=（100-考扣分）</w:t>
      </w:r>
    </w:p>
    <w:p>
      <w:pPr>
        <w:jc w:val="both"/>
      </w:pPr>
      <w:r>
        <w:rPr>
          <w:sz w:val="21"/>
        </w:rPr>
        <w:t>2.  95分以下（91-94）每分扣200元</w:t>
      </w:r>
      <w:r>
        <w:rPr>
          <w:sz w:val="21"/>
        </w:rPr>
        <w:t>计</w:t>
      </w:r>
      <w:r>
        <w:rPr>
          <w:sz w:val="21"/>
        </w:rPr>
        <w:t>为违约金</w:t>
      </w:r>
      <w:r>
        <w:rPr>
          <w:sz w:val="21"/>
        </w:rPr>
        <w:t>。</w:t>
      </w:r>
    </w:p>
    <w:p>
      <w:pPr>
        <w:jc w:val="both"/>
      </w:pPr>
      <w:r>
        <w:rPr>
          <w:sz w:val="21"/>
        </w:rPr>
        <w:t>3.  90分以下的，按每分扣款400元扣减当月的承包经费</w:t>
      </w:r>
      <w:r>
        <w:rPr>
          <w:sz w:val="21"/>
        </w:rPr>
        <w:t>计</w:t>
      </w:r>
      <w:r>
        <w:rPr>
          <w:sz w:val="21"/>
        </w:rPr>
        <w:t>为违约金</w:t>
      </w:r>
      <w:r>
        <w:rPr>
          <w:sz w:val="21"/>
        </w:rPr>
        <w:t>，连续累计</w:t>
      </w:r>
      <w:r>
        <w:rPr>
          <w:sz w:val="21"/>
        </w:rPr>
        <w:t>3次仍达不到90分的，除扣减作业经费外，可单方面解除合同。</w:t>
      </w:r>
    </w:p>
    <w:p>
      <w:pPr>
        <w:jc w:val="both"/>
      </w:pPr>
    </w:p>
    <w:p>
      <w:pPr>
        <w:jc w:val="both"/>
      </w:pPr>
      <w:r>
        <w:rPr>
          <w:b/>
          <w:sz w:val="21"/>
        </w:rPr>
        <w:t>附</w:t>
      </w:r>
      <w:r>
        <w:rPr>
          <w:b/>
          <w:sz w:val="21"/>
        </w:rPr>
        <w:t>2-3:公共基础设施维护管理考核评分表</w:t>
      </w:r>
    </w:p>
    <w:tbl>
      <w:tblPr>
        <w:tblW w:w="0" w:type="auto"/>
        <w:tblBorders>
          <w:top w:val="none" w:color="000000" w:sz="4"/>
          <w:left w:val="none" w:color="000000" w:sz="4"/>
          <w:bottom w:val="none" w:color="000000" w:sz="4"/>
          <w:right w:val="none" w:color="000000" w:sz="4"/>
          <w:insideH w:val="none"/>
          <w:insideV w:val="none"/>
        </w:tblBorders>
      </w:tblPr>
      <w:tblGrid>
        <w:gridCol w:w="1236"/>
        <w:gridCol w:w="3833"/>
        <w:gridCol w:w="791"/>
        <w:gridCol w:w="791"/>
        <w:gridCol w:w="791"/>
        <w:gridCol w:w="791"/>
      </w:tblGrid>
      <w:tr>
        <w:tc>
          <w:tcPr>
            <w:tcW w:type="dxa" w:w="1236"/>
            <w:tcBorders>
              <w:top w:val="single" w:color="000000" w:sz="4"/>
              <w:left w:val="single" w:color="000000" w:sz="4"/>
              <w:bottom w:val="single" w:color="000000" w:sz="4"/>
              <w:right w:val="single" w:color="000000" w:sz="4"/>
            </w:tcBorders>
            <w:vAlign w:val="top"/>
          </w:tcPr>
          <w:p>
            <w:pPr>
              <w:jc w:val="center"/>
            </w:pPr>
            <w:r>
              <w:rPr>
                <w:sz w:val="21"/>
              </w:rPr>
              <w:t>考核项目</w:t>
            </w:r>
          </w:p>
        </w:tc>
        <w:tc>
          <w:tcPr>
            <w:tcW w:type="dxa" w:w="3833"/>
            <w:tcBorders>
              <w:top w:val="single" w:color="000000" w:sz="4"/>
              <w:left w:val="none" w:color="000000" w:sz="4"/>
              <w:bottom w:val="single" w:color="000000" w:sz="4"/>
              <w:right w:val="single" w:color="000000" w:sz="4"/>
            </w:tcBorders>
            <w:vAlign w:val="top"/>
          </w:tcPr>
          <w:p>
            <w:pPr>
              <w:ind w:firstLine="204"/>
              <w:jc w:val="center"/>
            </w:pPr>
            <w:r>
              <w:rPr>
                <w:sz w:val="21"/>
              </w:rPr>
              <w:t>扣分项目及标准</w:t>
            </w:r>
          </w:p>
        </w:tc>
        <w:tc>
          <w:tcPr>
            <w:tcW w:type="dxa" w:w="791"/>
            <w:tcBorders>
              <w:top w:val="single" w:color="000000" w:sz="4"/>
              <w:left w:val="none" w:color="000000" w:sz="4"/>
              <w:bottom w:val="single" w:color="000000" w:sz="4"/>
              <w:right w:val="single" w:color="000000" w:sz="4"/>
            </w:tcBorders>
            <w:vAlign w:val="top"/>
          </w:tcPr>
          <w:p>
            <w:pPr>
              <w:jc w:val="center"/>
            </w:pPr>
            <w:r>
              <w:rPr>
                <w:sz w:val="21"/>
              </w:rPr>
              <w:t>总分</w:t>
            </w:r>
          </w:p>
        </w:tc>
        <w:tc>
          <w:tcPr>
            <w:tcW w:type="dxa" w:w="791"/>
            <w:tcBorders>
              <w:top w:val="single" w:color="000000" w:sz="4"/>
              <w:left w:val="none" w:color="000000" w:sz="4"/>
              <w:bottom w:val="single" w:color="000000" w:sz="4"/>
              <w:right w:val="single" w:color="000000" w:sz="4"/>
            </w:tcBorders>
            <w:vAlign w:val="top"/>
          </w:tcPr>
          <w:p>
            <w:pPr>
              <w:jc w:val="center"/>
            </w:pPr>
            <w:r>
              <w:rPr>
                <w:sz w:val="21"/>
              </w:rPr>
              <w:t>扣分</w:t>
            </w:r>
          </w:p>
        </w:tc>
        <w:tc>
          <w:tcPr>
            <w:tcW w:type="dxa" w:w="791"/>
            <w:tcBorders>
              <w:top w:val="single" w:color="000000" w:sz="4"/>
              <w:left w:val="none" w:color="000000" w:sz="4"/>
              <w:bottom w:val="single" w:color="000000" w:sz="4"/>
              <w:right w:val="single" w:color="000000" w:sz="4"/>
            </w:tcBorders>
            <w:vAlign w:val="top"/>
          </w:tcPr>
          <w:p>
            <w:pPr>
              <w:jc w:val="center"/>
            </w:pPr>
            <w:r>
              <w:rPr>
                <w:sz w:val="21"/>
              </w:rPr>
              <w:t>得分</w:t>
            </w:r>
          </w:p>
        </w:tc>
        <w:tc>
          <w:tcPr>
            <w:tcW w:type="dxa" w:w="791"/>
            <w:tcBorders>
              <w:top w:val="single" w:color="000000" w:sz="4"/>
              <w:left w:val="none" w:color="000000" w:sz="4"/>
              <w:bottom w:val="single" w:color="000000" w:sz="4"/>
              <w:right w:val="single" w:color="000000" w:sz="4"/>
            </w:tcBorders>
            <w:vAlign w:val="top"/>
          </w:tcPr>
          <w:p>
            <w:pPr>
              <w:jc w:val="center"/>
            </w:pPr>
            <w:r>
              <w:rPr>
                <w:sz w:val="21"/>
              </w:rPr>
              <w:t>扣分原因</w:t>
            </w:r>
          </w:p>
        </w:tc>
      </w:tr>
      <w:tr>
        <w:tc>
          <w:tcPr>
            <w:tcW w:type="dxa" w:w="1236"/>
            <w:tcBorders>
              <w:top w:val="none" w:color="000000" w:sz="4"/>
              <w:left w:val="single" w:color="000000" w:sz="4"/>
              <w:bottom w:val="single" w:color="000000" w:sz="4"/>
              <w:right w:val="single" w:color="000000" w:sz="4"/>
            </w:tcBorders>
            <w:vAlign w:val="top"/>
          </w:tcPr>
          <w:p>
            <w:pPr>
              <w:ind w:firstLine="204"/>
              <w:jc w:val="center"/>
            </w:pPr>
            <w:r>
              <w:rPr>
                <w:sz w:val="21"/>
              </w:rPr>
              <w:t>资料考核</w:t>
            </w:r>
          </w:p>
        </w:tc>
        <w:tc>
          <w:tcPr>
            <w:tcW w:type="dxa" w:w="3833"/>
            <w:tcBorders>
              <w:top w:val="none" w:color="000000" w:sz="4"/>
              <w:left w:val="none" w:color="000000" w:sz="4"/>
              <w:bottom w:val="single" w:color="000000" w:sz="4"/>
              <w:right w:val="single" w:color="000000" w:sz="4"/>
            </w:tcBorders>
            <w:vAlign w:val="top"/>
          </w:tcPr>
          <w:p>
            <w:pPr>
              <w:jc w:val="both"/>
            </w:pPr>
            <w:r>
              <w:rPr>
                <w:sz w:val="21"/>
              </w:rPr>
              <w:t>维护管理月报表（巡查、养护、维修）未上报，出现一次扣2分。</w:t>
            </w:r>
          </w:p>
        </w:tc>
        <w:tc>
          <w:tcPr>
            <w:tcW w:type="dxa" w:w="791"/>
            <w:tcBorders>
              <w:top w:val="none" w:color="000000" w:sz="4"/>
              <w:left w:val="none" w:color="000000" w:sz="4"/>
              <w:bottom w:val="single" w:color="000000" w:sz="4"/>
              <w:right w:val="single" w:color="000000" w:sz="4"/>
            </w:tcBorders>
            <w:vAlign w:val="top"/>
          </w:tcPr>
          <w:p>
            <w:pPr>
              <w:ind w:firstLine="204"/>
              <w:jc w:val="both"/>
            </w:pPr>
            <w:r>
              <w:rPr>
                <w:sz w:val="21"/>
              </w:rPr>
              <w:t>10</w:t>
            </w: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r>
      <w:tr>
        <w:tc>
          <w:tcPr>
            <w:tcW w:type="dxa" w:w="1236"/>
            <w:tcBorders>
              <w:top w:val="none" w:color="000000" w:sz="4"/>
              <w:left w:val="single" w:color="000000" w:sz="4"/>
              <w:bottom w:val="single" w:color="000000" w:sz="4"/>
              <w:right w:val="single" w:color="000000" w:sz="4"/>
            </w:tcBorders>
            <w:vAlign w:val="top"/>
          </w:tcPr>
          <w:p>
            <w:pPr>
              <w:ind w:firstLine="204"/>
              <w:jc w:val="center"/>
            </w:pPr>
            <w:r>
              <w:rPr>
                <w:sz w:val="21"/>
              </w:rPr>
              <w:t>现场考核</w:t>
            </w:r>
          </w:p>
        </w:tc>
        <w:tc>
          <w:tcPr>
            <w:tcW w:type="dxa" w:w="3833"/>
            <w:tcBorders>
              <w:top w:val="none" w:color="000000" w:sz="4"/>
              <w:left w:val="none" w:color="000000" w:sz="4"/>
              <w:bottom w:val="single" w:color="000000" w:sz="4"/>
              <w:right w:val="single" w:color="000000" w:sz="4"/>
            </w:tcBorders>
            <w:vAlign w:val="top"/>
          </w:tcPr>
          <w:p>
            <w:pPr>
              <w:jc w:val="both"/>
            </w:pPr>
            <w:r>
              <w:rPr>
                <w:sz w:val="21"/>
              </w:rPr>
              <w:t>1、人行道路面有坑洞、沉陷，地面砖体松动、缺失无落实维修计划或无实施维修，每处扣2分。</w:t>
            </w:r>
          </w:p>
          <w:p>
            <w:pPr>
              <w:jc w:val="both"/>
            </w:pPr>
            <w:r>
              <w:rPr>
                <w:sz w:val="21"/>
              </w:rPr>
              <w:t>2、广场、舞台、人行步梯、休闲坐凳等石材松动、缺损无落实及时修复，每处扣2分。</w:t>
            </w:r>
          </w:p>
          <w:p>
            <w:pPr>
              <w:jc w:val="both"/>
            </w:pPr>
            <w:r>
              <w:rPr>
                <w:sz w:val="21"/>
              </w:rPr>
              <w:t>3、垃圾箱积尘垢，内外破损无维修更换；绿化喷淋等设施锈蚀、破坏无维修，每处扣2分</w:t>
            </w:r>
          </w:p>
          <w:p>
            <w:pPr>
              <w:jc w:val="both"/>
            </w:pPr>
            <w:r>
              <w:rPr>
                <w:sz w:val="21"/>
              </w:rPr>
              <w:t>4、各类宣传栏外观不整洁，宣传页面脱落无恢复，每处扣2分。</w:t>
            </w:r>
          </w:p>
          <w:p>
            <w:pPr>
              <w:jc w:val="both"/>
            </w:pPr>
            <w:r>
              <w:rPr>
                <w:sz w:val="21"/>
              </w:rPr>
              <w:t>5、乱张贴或喷涂在建筑物、构筑物上的各类城市“牛皮癣”未及时清除，或清除不合要求，不规范，每处扣1分。</w:t>
            </w:r>
          </w:p>
          <w:p>
            <w:pPr>
              <w:jc w:val="both"/>
            </w:pPr>
            <w:r>
              <w:rPr>
                <w:sz w:val="21"/>
              </w:rPr>
              <w:t>6、沉沙井未疏通、井盖被损坏，给排水系统不畅流，扣2分。</w:t>
            </w:r>
          </w:p>
        </w:tc>
        <w:tc>
          <w:tcPr>
            <w:tcW w:type="dxa" w:w="791"/>
            <w:tcBorders>
              <w:top w:val="none" w:color="000000" w:sz="4"/>
              <w:left w:val="none" w:color="000000" w:sz="4"/>
              <w:bottom w:val="single" w:color="000000" w:sz="4"/>
              <w:right w:val="single" w:color="000000" w:sz="4"/>
            </w:tcBorders>
            <w:vAlign w:val="top"/>
          </w:tcPr>
          <w:p>
            <w:pPr>
              <w:ind w:firstLine="204"/>
              <w:jc w:val="both"/>
            </w:pPr>
            <w:r>
              <w:rPr>
                <w:sz w:val="21"/>
              </w:rPr>
              <w:t>70</w:t>
            </w: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r>
      <w:tr>
        <w:tc>
          <w:tcPr>
            <w:tcW w:type="dxa" w:w="1236"/>
            <w:tcBorders>
              <w:top w:val="none" w:color="000000" w:sz="4"/>
              <w:left w:val="single" w:color="000000" w:sz="4"/>
              <w:bottom w:val="single" w:color="000000" w:sz="4"/>
              <w:right w:val="single" w:color="000000" w:sz="4"/>
            </w:tcBorders>
            <w:vAlign w:val="top"/>
          </w:tcPr>
          <w:p>
            <w:pPr>
              <w:jc w:val="center"/>
            </w:pPr>
            <w:r>
              <w:rPr>
                <w:sz w:val="21"/>
              </w:rPr>
              <w:t>安全生产突发事件处置</w:t>
            </w:r>
          </w:p>
        </w:tc>
        <w:tc>
          <w:tcPr>
            <w:tcW w:type="dxa" w:w="3833"/>
            <w:tcBorders>
              <w:top w:val="none" w:color="000000" w:sz="4"/>
              <w:left w:val="none" w:color="000000" w:sz="4"/>
              <w:bottom w:val="single" w:color="000000" w:sz="4"/>
              <w:right w:val="single" w:color="000000" w:sz="4"/>
            </w:tcBorders>
            <w:vAlign w:val="top"/>
          </w:tcPr>
          <w:p>
            <w:pPr>
              <w:jc w:val="both"/>
            </w:pPr>
            <w:r>
              <w:rPr>
                <w:sz w:val="21"/>
              </w:rPr>
              <w:t>1、公共设施维护管理安全文明措施落实不到位，存在安全隐患，每次扣2分。</w:t>
            </w:r>
          </w:p>
          <w:p>
            <w:pPr>
              <w:jc w:val="both"/>
            </w:pPr>
            <w:r>
              <w:rPr>
                <w:sz w:val="21"/>
              </w:rPr>
              <w:t>2、防范和处置设施安全、水电安全、消防安全、绿地安全等突发事件不及时、不作为，每次扣3分</w:t>
            </w:r>
          </w:p>
        </w:tc>
        <w:tc>
          <w:tcPr>
            <w:tcW w:type="dxa" w:w="791"/>
            <w:tcBorders>
              <w:top w:val="none" w:color="000000" w:sz="4"/>
              <w:left w:val="none" w:color="000000" w:sz="4"/>
              <w:bottom w:val="single" w:color="000000" w:sz="4"/>
              <w:right w:val="single" w:color="000000" w:sz="4"/>
            </w:tcBorders>
            <w:vAlign w:val="top"/>
          </w:tcPr>
          <w:p>
            <w:pPr>
              <w:ind w:firstLine="204"/>
              <w:jc w:val="both"/>
            </w:pPr>
            <w:r>
              <w:rPr>
                <w:sz w:val="21"/>
              </w:rPr>
              <w:t>20</w:t>
            </w: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c>
          <w:tcPr>
            <w:tcW w:type="dxa" w:w="791"/>
            <w:tcBorders>
              <w:top w:val="none" w:color="000000" w:sz="4"/>
              <w:left w:val="none" w:color="000000" w:sz="4"/>
              <w:bottom w:val="single" w:color="000000" w:sz="4"/>
              <w:right w:val="single" w:color="000000" w:sz="4"/>
            </w:tcBorders>
            <w:vAlign w:val="top"/>
          </w:tcPr>
          <w:p>
            <w:pPr>
              <w:ind w:firstLine="204"/>
              <w:jc w:val="center"/>
            </w:pPr>
          </w:p>
        </w:tc>
      </w:tr>
    </w:tbl>
    <w:p>
      <w:pPr>
        <w:jc w:val="both"/>
      </w:pPr>
      <w:r>
        <w:rPr>
          <w:sz w:val="21"/>
        </w:rPr>
        <w:t>说明：</w:t>
      </w:r>
      <w:r>
        <w:rPr>
          <w:sz w:val="21"/>
        </w:rPr>
        <w:t>1.满分为100分，90分以上&lt;含90分&gt;为合格。</w:t>
      </w:r>
    </w:p>
    <w:p>
      <w:pPr>
        <w:ind w:firstLine="630"/>
        <w:jc w:val="both"/>
      </w:pPr>
      <w:r>
        <w:rPr>
          <w:sz w:val="21"/>
        </w:rPr>
        <w:t>2.90分以下，每分扣减经费300元</w:t>
      </w:r>
      <w:r>
        <w:rPr>
          <w:sz w:val="21"/>
        </w:rPr>
        <w:t>计</w:t>
      </w:r>
      <w:r>
        <w:rPr>
          <w:sz w:val="21"/>
        </w:rPr>
        <w:t>为违约金</w:t>
      </w:r>
      <w:r>
        <w:rPr>
          <w:sz w:val="21"/>
        </w:rPr>
        <w:t>。</w:t>
      </w:r>
    </w:p>
    <w:p>
      <w:pPr>
        <w:ind w:firstLine="630"/>
        <w:jc w:val="both"/>
      </w:pPr>
      <w:r>
        <w:rPr>
          <w:sz w:val="21"/>
        </w:rPr>
        <w:t>3.每月进行一次考核，全月总扣分情况纳入年度综合考核评定。</w:t>
      </w:r>
    </w:p>
    <w:p>
      <w:pPr>
        <w:jc w:val="both"/>
      </w:pPr>
    </w:p>
    <w:p/>
    <w:p>
      <w:r>
        <w:rPr/>
        <w:t xml:space="preserve"> </w:t>
      </w:r>
    </w:p>
    <w:p>
      <w:pPr>
        <w:numPr>
          <w:ilvl w:val="0"/>
          <w:numId w:val="1"/>
        </w:numPr>
        <w:jc w:val="both"/>
      </w:pPr>
    </w:p>
    <w:p>
      <w:pPr>
        <w:numPr>
          <w:ilvl w:val="1"/>
          <w:numId w:val="1"/>
        </w:numPr>
      </w:pPr>
    </w:p>
    <w:p>
      <w:pPr>
        <w:numPr>
          <w:ilvl w:val="2"/>
          <w:numId w:val="1"/>
        </w:numPr>
      </w:pPr>
    </w:p>
    <w:p>
      <w:pPr>
        <w:numPr>
          <w:ilvl w:val="3"/>
          <w:numId w:val="1"/>
        </w:numPr>
      </w:pPr>
    </w:p>
    <w:p>
      <w:pPr>
        <w:numPr>
          <w:ilvl w:val="4"/>
          <w:numId w:val="1"/>
        </w:numPr>
      </w:pPr>
    </w:p>
    <w:p>
      <w:pPr>
        <w:numPr>
          <w:ilvl w:val="5"/>
          <w:numId w:val="1"/>
        </w:numPr>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441900022-2022-00399</w:t>
      </w:r>
    </w:p>
    <w:p>
      <w:pPr>
        <w:jc w:val="center"/>
      </w:pPr>
      <w:r>
        <w:rPr>
          <w:b/>
          <w:sz w:val="24"/>
        </w:rPr>
        <w:t>采购项目编号：</w:t>
      </w:r>
      <w:r>
        <w:rPr>
          <w:b/>
          <w:sz w:val="24"/>
        </w:rPr>
        <w:t>441900022-2022-00399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黄江镇黄江公园环卫绿化服务项目（重新招标）</w:t>
      </w:r>
      <w:r>
        <w:rPr/>
        <w:t>项目的招标[采购项目编号为：</w:t>
      </w:r>
      <w:r>
        <w:rPr>
          <w:u w:val="single"/>
        </w:rPr>
        <w:t>441900022-2022-00399</w:t>
      </w:r>
      <w:r>
        <w:rPr/>
        <w:t>]，我方愿参与投标。</w:t>
      </w:r>
    </w:p>
    <w:p>
      <w:pPr>
        <w:ind w:firstLine="480"/>
      </w:pPr>
      <w:r>
        <w:rPr/>
        <w:t>我方确认收到贵方提供的</w:t>
      </w:r>
      <w:r>
        <w:rPr>
          <w:u w:val="single"/>
        </w:rPr>
        <w:t>黄江镇黄江公园环卫绿化服务项目（重新招标）</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黄江镇黄江公园环卫绿化服务项目（重新招标）</w:t>
      </w:r>
      <w:r>
        <w:rPr/>
        <w:t>项目采购[采购项目编号为</w:t>
      </w:r>
      <w:r>
        <w:rPr/>
        <w:t>441900022-2022-00399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黄江镇黄江公园环卫绿化服务项目（重新招标）</w:t>
      </w:r>
      <w:r>
        <w:rPr/>
        <w:t>招标中获中标（采购项目编号：</w:t>
      </w:r>
      <w:r>
        <w:rPr/>
        <w:t>441900022-2022-00399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黄江镇黄江公园环卫绿化服务项目（重新招标）</w:t>
      </w:r>
      <w:r>
        <w:rPr/>
        <w:t>项目（采购项目编号：</w:t>
      </w:r>
      <w:r>
        <w:rPr/>
        <w:t>441900022-2022-00399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bullet"/>
      <w:lvlText w:val="⚫"/>
      <w:lvlJc w:val="left"/>
      <w:pPr>
        <w:ind w:left="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